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DC2" w:rsidRDefault="0019324F">
      <w:pPr>
        <w:pStyle w:val="BlackStrips"/>
      </w:pPr>
      <w:r>
        <w:t xml:space="preserve">Charltons - </w:t>
      </w:r>
      <w:r>
        <w:t>香港法律</w:t>
      </w:r>
      <w:r>
        <w:t xml:space="preserve"> - 2019</w:t>
      </w:r>
      <w:r>
        <w:t>年</w:t>
      </w:r>
      <w:r>
        <w:t>9</w:t>
      </w:r>
      <w:r>
        <w:t>月</w:t>
      </w:r>
      <w:r>
        <w:t>4</w:t>
      </w:r>
      <w:r>
        <w:t>日</w:t>
      </w:r>
    </w:p>
    <w:p w:rsidR="00652DC2" w:rsidRDefault="0019324F">
      <w:pPr>
        <w:pStyle w:val="ReadOnline"/>
        <w:rPr>
          <w:lang w:eastAsia="zh-CN"/>
        </w:rPr>
      </w:pPr>
      <w:hyperlink r:id="rId7">
        <w:r>
          <w:rPr>
            <w:lang w:eastAsia="zh-CN"/>
          </w:rPr>
          <w:t>online version</w:t>
        </w:r>
      </w:hyperlink>
    </w:p>
    <w:p w:rsidR="00652DC2" w:rsidRDefault="0019324F">
      <w:pPr>
        <w:pStyle w:val="Title"/>
        <w:rPr>
          <w:lang w:eastAsia="zh-CN"/>
        </w:rPr>
      </w:pPr>
      <w:r>
        <w:rPr>
          <w:lang w:eastAsia="zh-CN"/>
        </w:rPr>
        <w:t>证券及期货事务监察委员会提醒上市公司在公司收购和出售项目上的责任</w:t>
      </w:r>
    </w:p>
    <w:p w:rsidR="00652DC2" w:rsidRDefault="0019324F">
      <w:pPr>
        <w:pStyle w:val="Heading2"/>
        <w:rPr>
          <w:lang w:eastAsia="zh-CN"/>
        </w:rPr>
      </w:pPr>
      <w:bookmarkStart w:id="0" w:name="引言"/>
      <w:r>
        <w:rPr>
          <w:lang w:eastAsia="zh-CN"/>
        </w:rPr>
        <w:t>引言</w:t>
      </w:r>
      <w:bookmarkEnd w:id="0"/>
    </w:p>
    <w:p w:rsidR="00652DC2" w:rsidRDefault="0019324F">
      <w:pPr>
        <w:pStyle w:val="FirstParagraph"/>
        <w:rPr>
          <w:lang w:eastAsia="zh-CN"/>
        </w:rPr>
      </w:pPr>
      <w:r>
        <w:rPr>
          <w:lang w:eastAsia="zh-CN"/>
        </w:rPr>
        <w:t>证券及期货事务监察委员会（证监会）在</w:t>
      </w:r>
      <w:r>
        <w:rPr>
          <w:lang w:eastAsia="zh-CN"/>
        </w:rPr>
        <w:t>2019</w:t>
      </w:r>
      <w:r>
        <w:rPr>
          <w:lang w:eastAsia="zh-CN"/>
        </w:rPr>
        <w:t>年</w:t>
      </w:r>
      <w:r>
        <w:rPr>
          <w:lang w:eastAsia="zh-CN"/>
        </w:rPr>
        <w:t>7</w:t>
      </w:r>
      <w:r>
        <w:rPr>
          <w:lang w:eastAsia="zh-CN"/>
        </w:rPr>
        <w:t>月</w:t>
      </w:r>
      <w:r>
        <w:rPr>
          <w:lang w:eastAsia="zh-CN"/>
        </w:rPr>
        <w:t>4</w:t>
      </w:r>
      <w:r>
        <w:rPr>
          <w:lang w:eastAsia="zh-CN"/>
        </w:rPr>
        <w:t>号发布的《有关董事在考虑企业收购或出售项目时的操守及责任的声明》</w:t>
      </w:r>
      <w:hyperlink w:anchor="_ftn1">
        <w:r>
          <w:rPr>
            <w:lang w:eastAsia="zh-CN"/>
          </w:rPr>
          <w:t>[1]</w:t>
        </w:r>
      </w:hyperlink>
      <w:r>
        <w:rPr>
          <w:lang w:eastAsia="zh-CN"/>
        </w:rPr>
        <w:t>中提醒香港联交所上市公司的董事及其顾问，在评估或批准收购或出售某家公司或某项业务时，必须履行其法定及其他法律责任。证监会的声明中描述了企业收购和出售项目中常见的失当行为，其注意到在</w:t>
      </w:r>
      <w:r>
        <w:rPr>
          <w:lang w:eastAsia="zh-CN"/>
        </w:rPr>
        <w:t>2017</w:t>
      </w:r>
      <w:r>
        <w:rPr>
          <w:lang w:eastAsia="zh-CN"/>
        </w:rPr>
        <w:t>年及</w:t>
      </w:r>
      <w:r>
        <w:rPr>
          <w:lang w:eastAsia="zh-CN"/>
        </w:rPr>
        <w:t>2018</w:t>
      </w:r>
      <w:r>
        <w:rPr>
          <w:lang w:eastAsia="zh-CN"/>
        </w:rPr>
        <w:t>年向超过</w:t>
      </w:r>
      <w:r>
        <w:rPr>
          <w:lang w:eastAsia="zh-CN"/>
        </w:rPr>
        <w:t>46</w:t>
      </w:r>
      <w:r>
        <w:rPr>
          <w:lang w:eastAsia="zh-CN"/>
        </w:rPr>
        <w:t>家上市公司发出的关注函，当中</w:t>
      </w:r>
      <w:r>
        <w:rPr>
          <w:lang w:eastAsia="zh-CN"/>
        </w:rPr>
        <w:t>55%</w:t>
      </w:r>
      <w:r>
        <w:rPr>
          <w:lang w:eastAsia="zh-CN"/>
        </w:rPr>
        <w:t>的关注函涉及建议</w:t>
      </w:r>
      <w:r>
        <w:rPr>
          <w:lang w:eastAsia="zh-CN"/>
        </w:rPr>
        <w:t>企业收购或出售项目。</w:t>
      </w:r>
    </w:p>
    <w:p w:rsidR="00652DC2" w:rsidRDefault="0019324F">
      <w:pPr>
        <w:pStyle w:val="BodyText"/>
        <w:rPr>
          <w:lang w:eastAsia="zh-CN"/>
        </w:rPr>
      </w:pPr>
      <w:r>
        <w:rPr>
          <w:lang w:eastAsia="zh-CN"/>
        </w:rPr>
        <w:t>过去的两年里，证监会采取前置式监管，通过行使《证券及期货条例》所赋予的调查权，以及《证券及期货（证券市场）上市规则》所赋予其反对公司上市或者暂停上市公司证券交易的权力，尽早介入一系列严重的失当行为个案。证监会定时发布通讯阐述一些它介入的案例，其中最近的一次的通讯发布于</w:t>
      </w:r>
      <w:r>
        <w:rPr>
          <w:lang w:eastAsia="zh-CN"/>
        </w:rPr>
        <w:t>2019</w:t>
      </w:r>
      <w:r>
        <w:rPr>
          <w:lang w:eastAsia="zh-CN"/>
        </w:rPr>
        <w:t>年</w:t>
      </w:r>
      <w:r>
        <w:rPr>
          <w:lang w:eastAsia="zh-CN"/>
        </w:rPr>
        <w:t>2</w:t>
      </w:r>
      <w:r>
        <w:rPr>
          <w:lang w:eastAsia="zh-CN"/>
        </w:rPr>
        <w:t>月。证监会在</w:t>
      </w:r>
      <w:r>
        <w:rPr>
          <w:lang w:eastAsia="zh-CN"/>
        </w:rPr>
        <w:t>2019</w:t>
      </w:r>
      <w:r>
        <w:rPr>
          <w:lang w:eastAsia="zh-CN"/>
        </w:rPr>
        <w:t>年</w:t>
      </w:r>
      <w:r>
        <w:rPr>
          <w:lang w:eastAsia="zh-CN"/>
        </w:rPr>
        <w:t>2</w:t>
      </w:r>
      <w:r>
        <w:rPr>
          <w:lang w:eastAsia="zh-CN"/>
        </w:rPr>
        <w:t>月的《证监会监管通讯：上市公司》</w:t>
      </w:r>
      <w:hyperlink w:anchor="_ftn2">
        <w:r>
          <w:rPr>
            <w:lang w:eastAsia="zh-CN"/>
          </w:rPr>
          <w:t>[2]</w:t>
        </w:r>
      </w:hyperlink>
      <w:r>
        <w:rPr>
          <w:lang w:eastAsia="zh-CN"/>
        </w:rPr>
        <w:t>中列举了以下证监会介</w:t>
      </w:r>
      <w:r>
        <w:rPr>
          <w:rFonts w:eastAsiaTheme="minorEastAsia" w:hint="eastAsia"/>
          <w:lang w:eastAsia="zh-CN"/>
        </w:rPr>
        <w:t>入</w:t>
      </w:r>
      <w:r>
        <w:rPr>
          <w:lang w:eastAsia="zh-CN"/>
        </w:rPr>
        <w:t>所建议交易的典型例子：</w:t>
      </w:r>
    </w:p>
    <w:p w:rsidR="00652DC2" w:rsidRDefault="0019324F">
      <w:pPr>
        <w:pStyle w:val="Compact"/>
        <w:numPr>
          <w:ilvl w:val="0"/>
          <w:numId w:val="2"/>
        </w:numPr>
        <w:rPr>
          <w:lang w:eastAsia="zh-CN"/>
        </w:rPr>
      </w:pPr>
      <w:r>
        <w:rPr>
          <w:lang w:eastAsia="zh-CN"/>
        </w:rPr>
        <w:t>对证监会而言压迫或不公平的损害上市公司股东或者有</w:t>
      </w:r>
      <w:r>
        <w:rPr>
          <w:lang w:eastAsia="zh-CN"/>
        </w:rPr>
        <w:t>意投资人士的交易；</w:t>
      </w:r>
    </w:p>
    <w:p w:rsidR="00652DC2" w:rsidRDefault="0019324F">
      <w:pPr>
        <w:pStyle w:val="Compact"/>
        <w:numPr>
          <w:ilvl w:val="0"/>
          <w:numId w:val="2"/>
        </w:numPr>
        <w:rPr>
          <w:lang w:eastAsia="zh-CN"/>
        </w:rPr>
      </w:pPr>
      <w:r>
        <w:rPr>
          <w:lang w:eastAsia="zh-CN"/>
        </w:rPr>
        <w:t>涉及对上市公司、其股东或者有意投资人士作出欺诈或者其它严重失当行为的交易；</w:t>
      </w:r>
    </w:p>
    <w:p w:rsidR="00652DC2" w:rsidRDefault="0019324F">
      <w:pPr>
        <w:pStyle w:val="Compact"/>
        <w:numPr>
          <w:ilvl w:val="0"/>
          <w:numId w:val="2"/>
        </w:numPr>
        <w:rPr>
          <w:lang w:eastAsia="zh-CN"/>
        </w:rPr>
      </w:pPr>
      <w:r>
        <w:rPr>
          <w:lang w:eastAsia="zh-CN"/>
        </w:rPr>
        <w:t>上市公司的股东或有意投资人士未获得他们可合理期望获得的所有关于该公司业务或事务的信息的交易；</w:t>
      </w:r>
    </w:p>
    <w:p w:rsidR="00652DC2" w:rsidRDefault="0019324F">
      <w:pPr>
        <w:pStyle w:val="FirstParagraph"/>
        <w:rPr>
          <w:lang w:eastAsia="zh-CN"/>
        </w:rPr>
      </w:pPr>
      <w:r>
        <w:rPr>
          <w:lang w:eastAsia="zh-CN"/>
        </w:rPr>
        <w:t>上市公司董事在评估、建议或批准企业交易时，必须真诚地以公司利益为前提及以适当和合理水平的谨慎、技能和勤勉尽责的态度行事。证监会最新声明连同《有关董事在企业交易估值方面的职责指引》</w:t>
      </w:r>
      <w:hyperlink w:anchor="_ftn3">
        <w:r>
          <w:rPr>
            <w:lang w:eastAsia="zh-CN"/>
          </w:rPr>
          <w:t>[3]</w:t>
        </w:r>
      </w:hyperlink>
      <w:r>
        <w:rPr>
          <w:lang w:eastAsia="zh-CN"/>
        </w:rPr>
        <w:t>以及《致财务顾问的通函</w:t>
      </w:r>
      <w:r>
        <w:rPr>
          <w:lang w:eastAsia="zh-CN"/>
        </w:rPr>
        <w:t>-</w:t>
      </w:r>
      <w:r>
        <w:rPr>
          <w:lang w:eastAsia="zh-CN"/>
        </w:rPr>
        <w:t>关于在企业交易估值方面的顾问服务工作》</w:t>
      </w:r>
      <w:hyperlink w:anchor="_ftn4">
        <w:r>
          <w:rPr>
            <w:lang w:eastAsia="zh-CN"/>
          </w:rPr>
          <w:t>[4]</w:t>
        </w:r>
      </w:hyperlink>
      <w:r>
        <w:rPr>
          <w:lang w:eastAsia="zh-CN"/>
        </w:rPr>
        <w:t>应一并阅读。</w:t>
      </w:r>
    </w:p>
    <w:p w:rsidR="00652DC2" w:rsidRDefault="0019324F">
      <w:pPr>
        <w:pStyle w:val="Heading2"/>
        <w:rPr>
          <w:lang w:eastAsia="zh-CN"/>
        </w:rPr>
      </w:pPr>
      <w:bookmarkStart w:id="1" w:name="失当行为类型"/>
      <w:r>
        <w:rPr>
          <w:lang w:eastAsia="zh-CN"/>
        </w:rPr>
        <w:t>失当行为类型</w:t>
      </w:r>
      <w:bookmarkEnd w:id="1"/>
    </w:p>
    <w:p w:rsidR="00652DC2" w:rsidRDefault="0019324F">
      <w:pPr>
        <w:pStyle w:val="FirstParagraph"/>
        <w:rPr>
          <w:lang w:eastAsia="zh-CN"/>
        </w:rPr>
      </w:pPr>
      <w:r>
        <w:rPr>
          <w:lang w:eastAsia="zh-CN"/>
        </w:rPr>
        <w:t>证监会在</w:t>
      </w:r>
      <w:r>
        <w:rPr>
          <w:lang w:eastAsia="zh-CN"/>
        </w:rPr>
        <w:t>7</w:t>
      </w:r>
      <w:r>
        <w:rPr>
          <w:lang w:eastAsia="zh-CN"/>
        </w:rPr>
        <w:t>月份的声明中列举了</w:t>
      </w:r>
      <w:r>
        <w:rPr>
          <w:lang w:eastAsia="zh-CN"/>
        </w:rPr>
        <w:t>8</w:t>
      </w:r>
      <w:r>
        <w:rPr>
          <w:lang w:eastAsia="zh-CN"/>
        </w:rPr>
        <w:t>种常见的关于公司收购和出售项目的失当行为。</w:t>
      </w:r>
    </w:p>
    <w:p w:rsidR="00652DC2" w:rsidRDefault="0019324F">
      <w:pPr>
        <w:pStyle w:val="BodyText"/>
        <w:rPr>
          <w:lang w:eastAsia="zh-CN"/>
        </w:rPr>
      </w:pPr>
      <w:r>
        <w:rPr>
          <w:lang w:eastAsia="zh-CN"/>
        </w:rPr>
        <w:t>1</w:t>
      </w:r>
      <w:r>
        <w:rPr>
          <w:lang w:eastAsia="zh-CN"/>
        </w:rPr>
        <w:t>．欠缺独立的专业估值</w:t>
      </w:r>
    </w:p>
    <w:p w:rsidR="00652DC2" w:rsidRDefault="0019324F">
      <w:pPr>
        <w:pStyle w:val="BodyText"/>
        <w:rPr>
          <w:lang w:eastAsia="zh-CN"/>
        </w:rPr>
      </w:pPr>
      <w:r>
        <w:rPr>
          <w:lang w:eastAsia="zh-CN"/>
        </w:rPr>
        <w:t>香港法例或香港联交所《上市规则》没有明文规定上市公司董事须就拟进行的收购或出售项目取得独立的专业估值。然而，如果未取得专业的估值，上市公司董事则很可能违反了作为上市公司董事的责任，未能在合理期望下，以适当水平的谨慎、技能和勤勉行事以保证公司和股东的最大利益</w:t>
      </w:r>
      <w:r>
        <w:rPr>
          <w:lang w:eastAsia="zh-CN"/>
        </w:rPr>
        <w:t>。</w:t>
      </w:r>
    </w:p>
    <w:p w:rsidR="00652DC2" w:rsidRDefault="0019324F">
      <w:pPr>
        <w:pStyle w:val="BodyText"/>
        <w:rPr>
          <w:lang w:eastAsia="zh-CN"/>
        </w:rPr>
      </w:pPr>
      <w:r>
        <w:rPr>
          <w:lang w:eastAsia="zh-CN"/>
        </w:rPr>
        <w:t>证监会注意到许多未聘请独立的专业估值师的上市公司在公告中未能向股东提供他们期望获</w:t>
      </w:r>
      <w:r>
        <w:rPr>
          <w:lang w:eastAsia="zh-CN"/>
        </w:rPr>
        <w:t>得的关于目标业务的资料。这些上市公司经常会作出一些相对简单的公告，指出代价是经公平磋商后厘定的，但当中的考虑因素往往含糊其辞（例如目标公司在业界的领先地位）。</w:t>
      </w:r>
    </w:p>
    <w:p w:rsidR="00652DC2" w:rsidRDefault="0019324F">
      <w:pPr>
        <w:pStyle w:val="BodyText"/>
        <w:rPr>
          <w:lang w:eastAsia="zh-CN"/>
        </w:rPr>
      </w:pPr>
      <w:r>
        <w:rPr>
          <w:lang w:eastAsia="zh-CN"/>
        </w:rPr>
        <w:t xml:space="preserve">2. </w:t>
      </w:r>
      <w:r>
        <w:rPr>
          <w:lang w:eastAsia="zh-CN"/>
        </w:rPr>
        <w:t>欠缺独立判断及问责性</w:t>
      </w:r>
    </w:p>
    <w:p w:rsidR="00652DC2" w:rsidRDefault="0019324F">
      <w:pPr>
        <w:pStyle w:val="BodyText"/>
        <w:rPr>
          <w:lang w:eastAsia="zh-CN"/>
        </w:rPr>
      </w:pPr>
      <w:r>
        <w:rPr>
          <w:lang w:eastAsia="zh-CN"/>
        </w:rPr>
        <w:t>证监会还批评了一些依赖估值报告的董事，因为有关估值报告不能为上市公司拟进行的收购项目的评估提供可靠基准。估值报告存在以下不足之处：</w:t>
      </w:r>
    </w:p>
    <w:p w:rsidR="00652DC2" w:rsidRDefault="0019324F">
      <w:pPr>
        <w:pStyle w:val="Compact"/>
        <w:numPr>
          <w:ilvl w:val="0"/>
          <w:numId w:val="3"/>
        </w:numPr>
        <w:rPr>
          <w:lang w:eastAsia="zh-CN"/>
        </w:rPr>
      </w:pPr>
      <w:r>
        <w:rPr>
          <w:lang w:eastAsia="zh-CN"/>
        </w:rPr>
        <w:lastRenderedPageBreak/>
        <w:t>估值师经常仅依赖于卖方的预测，没有对这些预测进行任何尽职调查或其他评估；</w:t>
      </w:r>
    </w:p>
    <w:p w:rsidR="00652DC2" w:rsidRDefault="0019324F">
      <w:pPr>
        <w:pStyle w:val="Compact"/>
        <w:numPr>
          <w:ilvl w:val="0"/>
          <w:numId w:val="3"/>
        </w:numPr>
        <w:rPr>
          <w:lang w:eastAsia="zh-CN"/>
        </w:rPr>
      </w:pPr>
      <w:r>
        <w:rPr>
          <w:lang w:eastAsia="zh-CN"/>
        </w:rPr>
        <w:t>利润预测经常是无事实根据的，有时更是卖方提供的利润保障。在许多案例中，估值师的估值仅仅根据溢利预测或保证，以及特定倍数</w:t>
      </w:r>
      <w:r>
        <w:rPr>
          <w:lang w:eastAsia="zh-CN"/>
        </w:rPr>
        <w:t>（来自一系列据称可作比较且仅包括在数据上对进行该买卖项目有利的公司）计算所得，而此计算方式旨在支持目标业务的预设估值；</w:t>
      </w:r>
    </w:p>
    <w:p w:rsidR="00652DC2" w:rsidRDefault="0019324F">
      <w:pPr>
        <w:pStyle w:val="Compact"/>
        <w:numPr>
          <w:ilvl w:val="0"/>
          <w:numId w:val="3"/>
        </w:numPr>
        <w:rPr>
          <w:lang w:eastAsia="zh-CN"/>
        </w:rPr>
      </w:pPr>
      <w:r>
        <w:rPr>
          <w:lang w:eastAsia="zh-CN"/>
        </w:rPr>
        <w:t>一些估值师拒绝对预测的可靠性承担责任。</w:t>
      </w:r>
    </w:p>
    <w:p w:rsidR="00652DC2" w:rsidRDefault="0019324F">
      <w:pPr>
        <w:pStyle w:val="FirstParagraph"/>
        <w:rPr>
          <w:lang w:eastAsia="zh-CN"/>
        </w:rPr>
      </w:pPr>
      <w:r>
        <w:rPr>
          <w:lang w:eastAsia="zh-CN"/>
        </w:rPr>
        <w:t>证监会在声明中指出，董事依据这种不全面的估值报告作出公司收购或出售的决定，是非常轻率的做法。证监会还提醒上市公司，如果公司董事（作为公司知情者）和估值师谋划利用估值报告，以人为方式支持预设价格估计，便可能涉嫌欺诈上市公司的股东。</w:t>
      </w:r>
    </w:p>
    <w:p w:rsidR="00652DC2" w:rsidRDefault="0019324F">
      <w:pPr>
        <w:pStyle w:val="BodyText"/>
        <w:rPr>
          <w:lang w:eastAsia="zh-CN"/>
        </w:rPr>
      </w:pPr>
      <w:r>
        <w:rPr>
          <w:lang w:eastAsia="zh-CN"/>
        </w:rPr>
        <w:t xml:space="preserve">3. </w:t>
      </w:r>
      <w:r>
        <w:rPr>
          <w:lang w:eastAsia="zh-CN"/>
        </w:rPr>
        <w:t>盈利的质素</w:t>
      </w:r>
    </w:p>
    <w:p w:rsidR="00652DC2" w:rsidRDefault="0019324F">
      <w:pPr>
        <w:pStyle w:val="BodyText"/>
        <w:rPr>
          <w:lang w:eastAsia="zh-CN"/>
        </w:rPr>
      </w:pPr>
      <w:r>
        <w:rPr>
          <w:lang w:eastAsia="zh-CN"/>
        </w:rPr>
        <w:t>证监会提醒董事若将下述资料作为厘定收购价的依据，董事须就</w:t>
      </w:r>
      <w:r>
        <w:rPr>
          <w:lang w:eastAsia="zh-CN"/>
        </w:rPr>
        <w:t>目标公司的卖方或管理层所提供的预测、假设或</w:t>
      </w:r>
      <w:r>
        <w:rPr>
          <w:lang w:eastAsia="zh-CN"/>
        </w:rPr>
        <w:t>业务规划进行独立尽职调查。董事们还需要注意目标公司的盈利质素以及明显的风险因素</w:t>
      </w:r>
      <w:r>
        <w:rPr>
          <w:lang w:eastAsia="zh-CN"/>
        </w:rPr>
        <w:t>,</w:t>
      </w:r>
      <w:r>
        <w:rPr>
          <w:lang w:eastAsia="zh-CN"/>
        </w:rPr>
        <w:t>例如过往亏损、突然而原因不明的销售额增加、利润率不合理地高于同业。此外，非经常性的可疑项目以及明显有可疑或无法持续的收益来源皆属于其他危险信号，都应该被列入调查范围内。证监会在声明中举例，上市公司同意支付巨额的收购价，从而涉足门槛不高的新行业，但却没有解释为何公司不直接以相对较低的成本，自行开展同一业务。</w:t>
      </w:r>
    </w:p>
    <w:p w:rsidR="00652DC2" w:rsidRDefault="0019324F">
      <w:pPr>
        <w:pStyle w:val="BodyText"/>
        <w:rPr>
          <w:lang w:eastAsia="zh-CN"/>
        </w:rPr>
      </w:pPr>
      <w:r>
        <w:rPr>
          <w:lang w:eastAsia="zh-CN"/>
        </w:rPr>
        <w:t xml:space="preserve">4. </w:t>
      </w:r>
      <w:r>
        <w:rPr>
          <w:lang w:eastAsia="zh-CN"/>
        </w:rPr>
        <w:t>公平呈列可作比较的公司</w:t>
      </w:r>
    </w:p>
    <w:p w:rsidR="00652DC2" w:rsidRDefault="0019324F">
      <w:pPr>
        <w:pStyle w:val="BodyText"/>
        <w:rPr>
          <w:lang w:eastAsia="zh-CN"/>
        </w:rPr>
      </w:pPr>
      <w:r>
        <w:rPr>
          <w:lang w:eastAsia="zh-CN"/>
        </w:rPr>
        <w:t>证监会强调，在根据其他上市公司的倍数来进行估值时，选择适合作比较的公司是十分重要的。证监会在声</w:t>
      </w:r>
      <w:r>
        <w:rPr>
          <w:lang w:eastAsia="zh-CN"/>
        </w:rPr>
        <w:t>明中指出估值师和公司董事必须要选择与目标公司具有适度相似的特征的公司进行比较，并确保在估值内所提述可作比较的公司是公平及具代表性的例子。</w:t>
      </w:r>
    </w:p>
    <w:p w:rsidR="00652DC2" w:rsidRDefault="0019324F">
      <w:pPr>
        <w:pStyle w:val="BodyText"/>
        <w:rPr>
          <w:lang w:eastAsia="zh-CN"/>
        </w:rPr>
      </w:pPr>
      <w:r>
        <w:rPr>
          <w:lang w:eastAsia="zh-CN"/>
        </w:rPr>
        <w:t>用来编制任何可作比较的公司的基准必须得到充分的理由支持，及在估值报告内清楚说明。董事应该避免特意挑选具有较高交易倍数的公司，而不理会其他表现较差的公司，或是选择比目标公司具有明显较长时期及较高利润的往绩纪录的公司，而不就目标公司与获选择作比较的公司之间的差异作出调整。</w:t>
      </w:r>
    </w:p>
    <w:p w:rsidR="00652DC2" w:rsidRDefault="0019324F">
      <w:pPr>
        <w:pStyle w:val="BodyText"/>
        <w:rPr>
          <w:lang w:eastAsia="zh-CN"/>
        </w:rPr>
      </w:pPr>
      <w:r>
        <w:rPr>
          <w:lang w:eastAsia="zh-CN"/>
        </w:rPr>
        <w:t xml:space="preserve">5. </w:t>
      </w:r>
      <w:r>
        <w:rPr>
          <w:lang w:eastAsia="zh-CN"/>
        </w:rPr>
        <w:t>对财务状况的影响</w:t>
      </w:r>
    </w:p>
    <w:p w:rsidR="00652DC2" w:rsidRDefault="0019324F">
      <w:pPr>
        <w:pStyle w:val="BodyText"/>
        <w:rPr>
          <w:lang w:eastAsia="zh-CN"/>
        </w:rPr>
      </w:pPr>
      <w:r>
        <w:rPr>
          <w:lang w:eastAsia="zh-CN"/>
        </w:rPr>
        <w:t>证监会在声明中指出，有时董事没有评估拟进行的收购项目可能对上市公司的资源及财务状况所构成的不利影响。很多时候，上市公司需要额外资金，以支付收购费用，和为目标公司提供所需的资本，务求达致卖方的预测。如此一来，上市公司的财务状况通常会受显著影响。在一些个案中，证监会发现董事没有考虑到为维持目标业务所需的资本开支、如何拨付有关开支以及对上市公司的财务状况所构成的影响。</w:t>
      </w:r>
    </w:p>
    <w:p w:rsidR="00652DC2" w:rsidRDefault="0019324F">
      <w:pPr>
        <w:pStyle w:val="BodyText"/>
        <w:rPr>
          <w:lang w:eastAsia="zh-CN"/>
        </w:rPr>
      </w:pPr>
      <w:r>
        <w:rPr>
          <w:lang w:eastAsia="zh-CN"/>
        </w:rPr>
        <w:t xml:space="preserve">6. </w:t>
      </w:r>
      <w:r>
        <w:rPr>
          <w:lang w:eastAsia="zh-CN"/>
        </w:rPr>
        <w:t>赔偿</w:t>
      </w:r>
    </w:p>
    <w:p w:rsidR="00652DC2" w:rsidRDefault="0019324F">
      <w:pPr>
        <w:pStyle w:val="BodyText"/>
        <w:rPr>
          <w:lang w:eastAsia="zh-CN"/>
        </w:rPr>
      </w:pPr>
      <w:r>
        <w:rPr>
          <w:lang w:eastAsia="zh-CN"/>
        </w:rPr>
        <w:t>很多上市公司都是基于卖方所编制的溢利预测，及卖方所作出的承诺（表示在未能达到预测的溢利时会向上市公司作出赔偿）而预先支付代价。然而，董</w:t>
      </w:r>
      <w:r>
        <w:rPr>
          <w:lang w:eastAsia="zh-CN"/>
        </w:rPr>
        <w:t>事往往没有查核卖方的支付能力，亦没有采取其他保障措施（例如以代管方式持有资金），以保障上市公司的利益。虽然有时有关代价是经参照卖方所提供的溢利保证而厘定的，但是最高的赔偿金额仍远低于上市公司将支付的代价。</w:t>
      </w:r>
    </w:p>
    <w:p w:rsidR="00652DC2" w:rsidRDefault="0019324F">
      <w:pPr>
        <w:pStyle w:val="BodyText"/>
        <w:rPr>
          <w:lang w:eastAsia="zh-CN"/>
        </w:rPr>
      </w:pPr>
      <w:r>
        <w:rPr>
          <w:lang w:eastAsia="zh-CN"/>
        </w:rPr>
        <w:t xml:space="preserve">7. </w:t>
      </w:r>
      <w:r>
        <w:rPr>
          <w:lang w:eastAsia="zh-CN"/>
        </w:rPr>
        <w:t>涉嫌有关连的人士</w:t>
      </w:r>
    </w:p>
    <w:p w:rsidR="00652DC2" w:rsidRDefault="0019324F">
      <w:pPr>
        <w:pStyle w:val="BodyText"/>
        <w:rPr>
          <w:lang w:eastAsia="zh-CN"/>
        </w:rPr>
      </w:pPr>
      <w:r>
        <w:rPr>
          <w:lang w:eastAsia="zh-CN"/>
        </w:rPr>
        <w:t>证监会在声明中指出，在某些交易中，据称独立的第三方之间存在未经披露的关系或安排。虽然他们可能不符合香港联交所《上市规则》下关连人士或关连交易的定义，但有关人士若因为未经披露的关系、安排或协议而致使他们损害上市公司及其股东的利益，或引致其股份的市场出现扭曲，便可能会遭受证监会根据《证</w:t>
      </w:r>
      <w:r>
        <w:rPr>
          <w:lang w:eastAsia="zh-CN"/>
        </w:rPr>
        <w:t>券及期货条例》及其他适用法例向他们采取执法行动。</w:t>
      </w:r>
    </w:p>
    <w:p w:rsidR="00652DC2" w:rsidRDefault="0019324F">
      <w:pPr>
        <w:pStyle w:val="BodyText"/>
        <w:rPr>
          <w:lang w:eastAsia="zh-CN"/>
        </w:rPr>
      </w:pPr>
      <w:r>
        <w:rPr>
          <w:lang w:eastAsia="zh-CN"/>
        </w:rPr>
        <w:t>以下是两宗涉嫌交易的案例：</w:t>
      </w:r>
    </w:p>
    <w:p w:rsidR="00652DC2" w:rsidRDefault="0019324F">
      <w:pPr>
        <w:pStyle w:val="Compact"/>
        <w:numPr>
          <w:ilvl w:val="0"/>
          <w:numId w:val="4"/>
        </w:numPr>
        <w:rPr>
          <w:lang w:eastAsia="zh-CN"/>
        </w:rPr>
      </w:pPr>
      <w:r>
        <w:rPr>
          <w:lang w:eastAsia="zh-CN"/>
        </w:rPr>
        <w:lastRenderedPageBreak/>
        <w:t>一家上市公司在目标公司的溢利看来未能达到预测时，于溢利保证期快将届满前便把目标公司出售。该上市公司根据溢利保证向卖方所收回的赔偿金额，本来可以远高于其透过出售项目所得的款项，故令人对该出售项目存疑。除了该上市公司经营业务的方式，及其董事履行他们职责的方式惹人关注外，该出售项目亦令</w:t>
      </w:r>
      <w:r>
        <w:rPr>
          <w:rFonts w:eastAsiaTheme="minorEastAsia" w:hint="eastAsia"/>
          <w:lang w:eastAsia="zh-CN"/>
        </w:rPr>
        <w:t>证监会</w:t>
      </w:r>
      <w:bookmarkStart w:id="2" w:name="_GoBack"/>
      <w:bookmarkEnd w:id="2"/>
      <w:r>
        <w:rPr>
          <w:lang w:eastAsia="zh-CN"/>
        </w:rPr>
        <w:t>关注到，声称独立的第三方买家与有关连卖方之间可能存在未经披露的关系或安排。</w:t>
      </w:r>
    </w:p>
    <w:p w:rsidR="00652DC2" w:rsidRDefault="0019324F">
      <w:pPr>
        <w:pStyle w:val="Compact"/>
        <w:numPr>
          <w:ilvl w:val="0"/>
          <w:numId w:val="4"/>
        </w:numPr>
        <w:rPr>
          <w:lang w:eastAsia="zh-CN"/>
        </w:rPr>
      </w:pPr>
      <w:r>
        <w:rPr>
          <w:lang w:eastAsia="zh-CN"/>
        </w:rPr>
        <w:t>一家上市公司所收购的目标公司于短时间内在只与少量客户交易的情况下，便录得惊</w:t>
      </w:r>
      <w:r>
        <w:rPr>
          <w:lang w:eastAsia="zh-CN"/>
        </w:rPr>
        <w:t>人的销售增长，因而抬高了目标公司的估值。其后的调查发现，该目标公司所收取的费用及收入乃来自与该上市公司的董事有联系的人士。</w:t>
      </w:r>
    </w:p>
    <w:p w:rsidR="00652DC2" w:rsidRDefault="0019324F">
      <w:pPr>
        <w:pStyle w:val="FirstParagraph"/>
        <w:rPr>
          <w:lang w:eastAsia="zh-CN"/>
        </w:rPr>
      </w:pPr>
      <w:r>
        <w:rPr>
          <w:lang w:eastAsia="zh-CN"/>
        </w:rPr>
        <w:t xml:space="preserve">8. </w:t>
      </w:r>
      <w:r>
        <w:rPr>
          <w:lang w:eastAsia="zh-CN"/>
        </w:rPr>
        <w:t>适当调查和尽职调查</w:t>
      </w:r>
    </w:p>
    <w:p w:rsidR="00652DC2" w:rsidRDefault="0019324F">
      <w:pPr>
        <w:pStyle w:val="BodyText"/>
      </w:pPr>
      <w:r>
        <w:rPr>
          <w:lang w:eastAsia="zh-CN"/>
        </w:rPr>
        <w:t>董事有责任确保，就拟进行的企业收购或出售项目而使用的任何预测或估计是以小心谨慎的态度编制的；以及所依据的假设属公平、合理，及根据公司管理层当时的最佳判断或估计而作出的。</w:t>
      </w:r>
      <w:r>
        <w:t>在采纳或批准任何预测或估计时，董事应：</w:t>
      </w:r>
    </w:p>
    <w:p w:rsidR="00652DC2" w:rsidRDefault="0019324F">
      <w:pPr>
        <w:pStyle w:val="Compact"/>
        <w:numPr>
          <w:ilvl w:val="0"/>
          <w:numId w:val="5"/>
        </w:numPr>
      </w:pPr>
      <w:r>
        <w:t>明白相关假设的影响；</w:t>
      </w:r>
    </w:p>
    <w:p w:rsidR="00652DC2" w:rsidRDefault="0019324F">
      <w:pPr>
        <w:pStyle w:val="Compact"/>
        <w:numPr>
          <w:ilvl w:val="0"/>
          <w:numId w:val="5"/>
        </w:numPr>
        <w:rPr>
          <w:lang w:eastAsia="zh-CN"/>
        </w:rPr>
      </w:pPr>
      <w:r>
        <w:rPr>
          <w:lang w:eastAsia="zh-CN"/>
        </w:rPr>
        <w:t>确保已适当地反映主要的不确定因素；及</w:t>
      </w:r>
    </w:p>
    <w:p w:rsidR="00652DC2" w:rsidRDefault="0019324F">
      <w:pPr>
        <w:pStyle w:val="Compact"/>
        <w:numPr>
          <w:ilvl w:val="0"/>
          <w:numId w:val="5"/>
        </w:numPr>
        <w:rPr>
          <w:lang w:eastAsia="zh-CN"/>
        </w:rPr>
      </w:pPr>
      <w:r>
        <w:rPr>
          <w:lang w:eastAsia="zh-CN"/>
        </w:rPr>
        <w:t>确保有关假设应该是明确的。</w:t>
      </w:r>
    </w:p>
    <w:p w:rsidR="00652DC2" w:rsidRDefault="0019324F">
      <w:pPr>
        <w:pStyle w:val="FirstParagraph"/>
        <w:rPr>
          <w:lang w:eastAsia="zh-CN"/>
        </w:rPr>
      </w:pPr>
      <w:r>
        <w:rPr>
          <w:lang w:eastAsia="zh-CN"/>
        </w:rPr>
        <w:t>虽然法例或香港联交所《上市规则》没有强制规定须委聘财务顾问，以就目标公司的估值向董事局提供意见，但是若公司未聘请财务顾问协助董事工作，以致董事没有足够的时间、资源和专业知识进行工作，这可能会构成失当行为。</w:t>
      </w:r>
    </w:p>
    <w:p w:rsidR="00652DC2" w:rsidRDefault="0019324F">
      <w:pPr>
        <w:pStyle w:val="BodyText"/>
        <w:rPr>
          <w:lang w:eastAsia="zh-CN"/>
        </w:rPr>
      </w:pPr>
      <w:r>
        <w:rPr>
          <w:lang w:eastAsia="zh-CN"/>
        </w:rPr>
        <w:t>财务顾问需要就以下事项进行独立评估，并进行适当的合理性审查：</w:t>
      </w:r>
    </w:p>
    <w:p w:rsidR="00652DC2" w:rsidRDefault="0019324F">
      <w:pPr>
        <w:pStyle w:val="Compact"/>
        <w:numPr>
          <w:ilvl w:val="0"/>
          <w:numId w:val="6"/>
        </w:numPr>
        <w:rPr>
          <w:lang w:eastAsia="zh-CN"/>
        </w:rPr>
      </w:pPr>
      <w:r>
        <w:rPr>
          <w:lang w:eastAsia="zh-CN"/>
        </w:rPr>
        <w:t>估值的预测、假设、保留意见及方法；及</w:t>
      </w:r>
    </w:p>
    <w:p w:rsidR="00652DC2" w:rsidRDefault="0019324F">
      <w:pPr>
        <w:pStyle w:val="Compact"/>
        <w:numPr>
          <w:ilvl w:val="0"/>
          <w:numId w:val="6"/>
        </w:numPr>
        <w:rPr>
          <w:lang w:eastAsia="zh-CN"/>
        </w:rPr>
      </w:pPr>
      <w:r>
        <w:rPr>
          <w:lang w:eastAsia="zh-CN"/>
        </w:rPr>
        <w:t>董事有关不委任专业估值师的决定（如适用）。</w:t>
      </w:r>
    </w:p>
    <w:p w:rsidR="00652DC2" w:rsidRDefault="0019324F">
      <w:pPr>
        <w:pStyle w:val="FirstParagraph"/>
        <w:rPr>
          <w:lang w:eastAsia="zh-CN"/>
        </w:rPr>
      </w:pPr>
      <w:r>
        <w:rPr>
          <w:lang w:eastAsia="zh-CN"/>
        </w:rPr>
        <w:t>如已委任估值师，财务顾问应确保董事已经考虑以下几项：</w:t>
      </w:r>
    </w:p>
    <w:p w:rsidR="00652DC2" w:rsidRDefault="0019324F">
      <w:pPr>
        <w:pStyle w:val="Compact"/>
        <w:numPr>
          <w:ilvl w:val="0"/>
          <w:numId w:val="7"/>
        </w:numPr>
        <w:rPr>
          <w:lang w:eastAsia="zh-CN"/>
        </w:rPr>
      </w:pPr>
      <w:r>
        <w:rPr>
          <w:lang w:eastAsia="zh-CN"/>
        </w:rPr>
        <w:t>估值师的专业资历和相关经验；</w:t>
      </w:r>
    </w:p>
    <w:p w:rsidR="00652DC2" w:rsidRDefault="0019324F">
      <w:pPr>
        <w:pStyle w:val="Compact"/>
        <w:numPr>
          <w:ilvl w:val="0"/>
          <w:numId w:val="7"/>
        </w:numPr>
      </w:pPr>
      <w:r>
        <w:t>委托范围；及</w:t>
      </w:r>
    </w:p>
    <w:p w:rsidR="00652DC2" w:rsidRDefault="0019324F">
      <w:pPr>
        <w:pStyle w:val="Compact"/>
        <w:numPr>
          <w:ilvl w:val="0"/>
          <w:numId w:val="7"/>
        </w:numPr>
        <w:rPr>
          <w:lang w:eastAsia="zh-CN"/>
        </w:rPr>
      </w:pPr>
      <w:r>
        <w:rPr>
          <w:lang w:eastAsia="zh-CN"/>
        </w:rPr>
        <w:t>估值所依据的预测、假设、保留意见及方法的合理性。</w:t>
      </w:r>
    </w:p>
    <w:p w:rsidR="00652DC2" w:rsidRDefault="0019324F">
      <w:pPr>
        <w:pStyle w:val="FirstParagraph"/>
        <w:rPr>
          <w:lang w:eastAsia="zh-CN"/>
        </w:rPr>
      </w:pPr>
      <w:r>
        <w:rPr>
          <w:lang w:eastAsia="zh-CN"/>
        </w:rPr>
        <w:t>证监会在声明中</w:t>
      </w:r>
      <w:r>
        <w:rPr>
          <w:lang w:eastAsia="zh-CN"/>
        </w:rPr>
        <w:t>也指出取得独立专业估值不会减轻或改变上市公司董事以谨慎、技能和勤勉行事的法定责任或受信责任。董事在履行其责任时，须以适当及合理水平的谨慎、技能和勤勉行事。如果需要参考指引的话，他们可参阅证监会于</w:t>
      </w:r>
      <w:r>
        <w:rPr>
          <w:lang w:eastAsia="zh-CN"/>
        </w:rPr>
        <w:t>2017</w:t>
      </w:r>
      <w:r>
        <w:rPr>
          <w:lang w:eastAsia="zh-CN"/>
        </w:rPr>
        <w:t>年</w:t>
      </w:r>
      <w:r>
        <w:rPr>
          <w:lang w:eastAsia="zh-CN"/>
        </w:rPr>
        <w:t>5</w:t>
      </w:r>
      <w:r>
        <w:rPr>
          <w:lang w:eastAsia="zh-CN"/>
        </w:rPr>
        <w:t>月</w:t>
      </w:r>
      <w:r>
        <w:rPr>
          <w:lang w:eastAsia="zh-CN"/>
        </w:rPr>
        <w:t>15</w:t>
      </w:r>
      <w:r>
        <w:rPr>
          <w:lang w:eastAsia="zh-CN"/>
        </w:rPr>
        <w:t>日发表的《有关董事在企业交易估值方面的责任指引》。</w:t>
      </w:r>
    </w:p>
    <w:p w:rsidR="00652DC2" w:rsidRDefault="0019324F">
      <w:pPr>
        <w:pStyle w:val="Heading2"/>
        <w:rPr>
          <w:lang w:eastAsia="zh-CN"/>
        </w:rPr>
      </w:pPr>
      <w:bookmarkStart w:id="3" w:name="失当行为后果"/>
      <w:r>
        <w:rPr>
          <w:lang w:eastAsia="zh-CN"/>
        </w:rPr>
        <w:t>失当行为后果</w:t>
      </w:r>
      <w:bookmarkEnd w:id="3"/>
    </w:p>
    <w:p w:rsidR="00652DC2" w:rsidRDefault="0019324F">
      <w:pPr>
        <w:pStyle w:val="FirstParagraph"/>
        <w:rPr>
          <w:lang w:eastAsia="zh-CN"/>
        </w:rPr>
      </w:pPr>
      <w:r>
        <w:rPr>
          <w:lang w:eastAsia="zh-CN"/>
        </w:rPr>
        <w:t>如果证监会怀疑一项已公布的公司收购或出售项目涉嫌违反《证券及期货条例》或其他适用法律，证监会将行使《证券及期货条例》及《证券及期货（在证券市场上市）规则》所赋予的权力进行调查，并可能起诉这种失当行为。</w:t>
      </w:r>
    </w:p>
    <w:p w:rsidR="00652DC2" w:rsidRDefault="0019324F">
      <w:r>
        <w:pict>
          <v:rect id="_x0000_i1025" style="width:0;height:1.5pt" o:hralign="center" o:hrstd="t" o:hr="t"/>
        </w:pict>
      </w:r>
    </w:p>
    <w:p w:rsidR="00652DC2" w:rsidRDefault="0019324F">
      <w:pPr>
        <w:pStyle w:val="FirstParagraph"/>
      </w:pPr>
      <w:hyperlink w:anchor="_ftnref1">
        <w:r>
          <w:t>[1]</w:t>
        </w:r>
      </w:hyperlink>
      <w:r>
        <w:t xml:space="preserve"> </w:t>
      </w:r>
      <w:hyperlink r:id="rId8">
        <w:r>
          <w:t>https://sc.sfc.hk/gb/www.sfc.hk/web/TC/news-and-announcements/po</w:t>
        </w:r>
        <w:r>
          <w:t>licy-statements-and-announcements/statement-on-the-conduct-and-duties-of-directors.html</w:t>
        </w:r>
      </w:hyperlink>
    </w:p>
    <w:p w:rsidR="00652DC2" w:rsidRDefault="0019324F">
      <w:pPr>
        <w:pStyle w:val="BodyText"/>
      </w:pPr>
      <w:hyperlink w:anchor="_ftnref2">
        <w:r>
          <w:t>[2]</w:t>
        </w:r>
      </w:hyperlink>
      <w:r>
        <w:t xml:space="preserve"> </w:t>
      </w:r>
      <w:hyperlink r:id="rId9">
        <w:r>
          <w:t>https://www.sfc.hk/web/TC/files/ER/PDF/SFC%20Regulatory%20Bulletin/SFC%20Regulatory%20Bulletin_List</w:t>
        </w:r>
        <w:r>
          <w:t>ed%20Corporations%20(Feb%202019)_Chi.pdf</w:t>
        </w:r>
      </w:hyperlink>
    </w:p>
    <w:p w:rsidR="00652DC2" w:rsidRDefault="0019324F">
      <w:pPr>
        <w:pStyle w:val="BodyText"/>
      </w:pPr>
      <w:hyperlink w:anchor="_ftnref3">
        <w:r>
          <w:t>[3]</w:t>
        </w:r>
      </w:hyperlink>
      <w:r>
        <w:t xml:space="preserve"> </w:t>
      </w:r>
      <w:hyperlink r:id="rId10">
        <w:r>
          <w:t>https://www.sfc</w:t>
        </w:r>
        <w:r>
          <w:t>.hk/web/TC/assets/components/codes/files-current/zh-hant/%E6%9C%89%E9%97%9C%E8%91%A3%E4%BA%8B%E5%9C%A8%E4%BC%81%E6%A5%AD%E4%BA%A4%E6%98%93%E4%BC%B0%E5%80%BC%E6%96%B9%E9%9D%A2%E7%9A%84%E8%B2%AC%E4%BB%BB%E6%8C%87%E5%BC%95/%E6%9C%89%E9%97%9C%E8%91%A3%E4%BA%8B</w:t>
        </w:r>
        <w:r>
          <w:t>%E5%9C%A8%E4%BC%81%E6%A5%AD%E4%BA%A4%E6%98%93%E4%BC%B0%E5%80%BC%E6%96%B9%E9%9D%A2%E7%9A%84%E8%B2%AC%E4%BB%BB%E6%8C%87%E5%BC%95.pdf</w:t>
        </w:r>
      </w:hyperlink>
    </w:p>
    <w:p w:rsidR="00652DC2" w:rsidRDefault="0019324F">
      <w:pPr>
        <w:pStyle w:val="BodyText"/>
      </w:pPr>
      <w:hyperlink w:anchor="_ftnref4">
        <w:r>
          <w:t>[4]</w:t>
        </w:r>
      </w:hyperlink>
      <w:r>
        <w:t xml:space="preserve"> </w:t>
      </w:r>
      <w:hyperlink r:id="rId11">
        <w:r>
          <w:t>https://sc.sfc.hk/gb/www.sfc.hk/edistributionWeb/gateway/TC/circular/doc?refNo=17EC25</w:t>
        </w:r>
      </w:hyperlink>
    </w:p>
    <w:p w:rsidR="00652DC2" w:rsidRDefault="0019324F">
      <w:pPr>
        <w:pStyle w:val="DisclaimerBold"/>
        <w:rPr>
          <w:lang w:eastAsia="zh-CN"/>
        </w:rPr>
      </w:pPr>
      <w:r>
        <w:rPr>
          <w:lang w:eastAsia="zh-CN"/>
        </w:rPr>
        <w:t>此法讯仅为提供相关资料信息之用，其内容并</w:t>
      </w:r>
    </w:p>
    <w:p w:rsidR="00652DC2" w:rsidRDefault="0019324F">
      <w:pPr>
        <w:pStyle w:val="Disclaimer"/>
        <w:rPr>
          <w:lang w:eastAsia="zh-CN"/>
        </w:rPr>
      </w:pPr>
      <w:r>
        <w:rPr>
          <w:lang w:eastAsia="zh-CN"/>
        </w:rPr>
        <w:t>不构成法律建议及个案的法律分析。</w:t>
      </w:r>
    </w:p>
    <w:p w:rsidR="00652DC2" w:rsidRDefault="0019324F">
      <w:pPr>
        <w:pStyle w:val="Disclaimer"/>
        <w:rPr>
          <w:lang w:eastAsia="zh-CN"/>
        </w:rPr>
      </w:pPr>
      <w:r>
        <w:rPr>
          <w:lang w:eastAsia="zh-CN"/>
        </w:rPr>
        <w:t>此法讯的发送并不是为了在易周律师行与用户或浏览者之间建立一种律师与客户之关系。</w:t>
      </w:r>
    </w:p>
    <w:p w:rsidR="00652DC2" w:rsidRDefault="0019324F">
      <w:pPr>
        <w:pStyle w:val="Disclaimer"/>
        <w:rPr>
          <w:lang w:eastAsia="zh-CN"/>
        </w:rPr>
      </w:pPr>
      <w:r>
        <w:rPr>
          <w:lang w:eastAsia="zh-CN"/>
        </w:rPr>
        <w:t>易周律师行并不对可从互联网获得的任何第三方内容负责。</w:t>
      </w:r>
    </w:p>
    <w:p w:rsidR="00652DC2" w:rsidRDefault="0019324F">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652DC2" w:rsidRDefault="0019324F">
      <w:pPr>
        <w:pStyle w:val="BlackStrips"/>
      </w:pPr>
      <w:r>
        <w:t xml:space="preserve">Charltons - </w:t>
      </w:r>
      <w:r>
        <w:t>香港法律</w:t>
      </w:r>
      <w:r>
        <w:t xml:space="preserve"> - 2019</w:t>
      </w:r>
      <w:r>
        <w:t>年</w:t>
      </w:r>
      <w:r>
        <w:t>9</w:t>
      </w:r>
      <w:r>
        <w:t>月</w:t>
      </w:r>
      <w:r>
        <w:t>4</w:t>
      </w:r>
      <w:r>
        <w:t>日</w:t>
      </w:r>
    </w:p>
    <w:sectPr w:rsidR="00652DC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324F">
      <w:pPr>
        <w:spacing w:after="0"/>
      </w:pPr>
      <w:r>
        <w:separator/>
      </w:r>
    </w:p>
  </w:endnote>
  <w:endnote w:type="continuationSeparator" w:id="0">
    <w:p w:rsidR="00000000" w:rsidRDefault="001932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DC2" w:rsidRDefault="0019324F">
      <w:r>
        <w:separator/>
      </w:r>
    </w:p>
  </w:footnote>
  <w:footnote w:type="continuationSeparator" w:id="0">
    <w:p w:rsidR="00652DC2" w:rsidRDefault="00193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2C0CAA3"/>
    <w:multiLevelType w:val="multilevel"/>
    <w:tmpl w:val="D618CF8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BAB40C8D"/>
    <w:multiLevelType w:val="multilevel"/>
    <w:tmpl w:val="9FA2AE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3611E811"/>
    <w:multiLevelType w:val="multilevel"/>
    <w:tmpl w:val="7E6C69D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3" w15:restartNumberingAfterBreak="0">
    <w:nsid w:val="6B04D34B"/>
    <w:multiLevelType w:val="multilevel"/>
    <w:tmpl w:val="EF74D27E"/>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2"/>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19324F"/>
    <w:rsid w:val="004E29B3"/>
    <w:rsid w:val="00590D07"/>
    <w:rsid w:val="00652DC2"/>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53B3E1"/>
  <w15:docId w15:val="{5C343E81-8B2D-4A12-B75F-5057B3A5D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fc.hk/gb/www.sfc.hk/web/TC/news-and-announcements/policy-statements-and-announcements/statement-on-the-conduct-and-duties-of-director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zheng-quan-ji-qi-huo-shi-wu-jian-cha-wei-yuan-hui-ti-xing-shang-shi-gong-si-zai-gong-si-shou-gou-he-chu-shou-xiang-mu-shang-de-ze-ren"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sfc.hk/gb/www.sfc.hk/edistributionWeb/gateway/TC/circular/doc?refNo=17EC25" TargetMode="External"/><Relationship Id="rId5" Type="http://schemas.openxmlformats.org/officeDocument/2006/relationships/footnotes" Target="footnotes.xml"/><Relationship Id="rId10" Type="http://schemas.openxmlformats.org/officeDocument/2006/relationships/hyperlink" Target="https://www.sfc.hk/web/TC/assets/components/codes/files-current/zh-hant/%E6%9C%89%E9%97%9C%E8%91%A3%E4%BA%8B%E5%9C%A8%E4%BC%81%E6%A5%AD%E4%BA%A4%E6%98%93%E4%BC%B0%E5%80%BC%E6%96%B9%E9%9D%A2%E7%9A%84%E8%B2%AC%E4%BB%BB%E6%8C%87%E5%BC%95/%E6%9C%89%E9%97%9C%E8%91%A3%E4%BA%8B%E5%9C%A8%E4%BC%81%E6%A5%AD%E4%BA%A4%E6%98%93%E4%BC%B0%E5%80%BC%E6%96%B9%E9%9D%A2%E7%9A%84%E8%B2%AC%E4%BB%BB%E6%8C%87%E5%BC%95.pdf" TargetMode="External"/><Relationship Id="rId4" Type="http://schemas.openxmlformats.org/officeDocument/2006/relationships/webSettings" Target="webSettings.xml"/><Relationship Id="rId9" Type="http://schemas.openxmlformats.org/officeDocument/2006/relationships/hyperlink" Target="https://www.sfc.hk/web/TC/files/ER/PDF/SFC%20Regulatory%20Bulletin/SFC%20Regulatory%20Bulletin_Listed%20Corporations%20(Feb%202019)_Chi.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861</Words>
  <Characters>4912</Characters>
  <Application>Microsoft Office Word</Application>
  <DocSecurity>0</DocSecurity>
  <Lines>40</Lines>
  <Paragraphs>11</Paragraphs>
  <ScaleCrop>false</ScaleCrop>
  <Company>Charltons</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2019-09-04T04:11:00Z</dcterms:created>
  <dcterms:modified xsi:type="dcterms:W3CDTF">2019-09-04T07:27:00Z</dcterms:modified>
</cp:coreProperties>
</file>