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95" w:rsidRDefault="004A4AA9">
      <w:pPr>
        <w:pStyle w:val="BlackStrips"/>
      </w:pPr>
      <w:r>
        <w:t xml:space="preserve">Charltons - </w:t>
      </w:r>
      <w:r>
        <w:t>香港法律</w:t>
      </w:r>
      <w:r>
        <w:t xml:space="preserve"> - 2019</w:t>
      </w:r>
      <w:r>
        <w:t>年</w:t>
      </w:r>
      <w:r>
        <w:t>9</w:t>
      </w:r>
      <w:r>
        <w:t>月</w:t>
      </w:r>
      <w:r>
        <w:t>10</w:t>
      </w:r>
      <w:r>
        <w:t>日</w:t>
      </w:r>
    </w:p>
    <w:p w:rsidR="005D2195" w:rsidRDefault="004A4AA9">
      <w:pPr>
        <w:pStyle w:val="ReadOnline"/>
        <w:rPr>
          <w:lang w:eastAsia="zh-CN"/>
        </w:rPr>
      </w:pPr>
      <w:hyperlink r:id="rId7">
        <w:r>
          <w:rPr>
            <w:lang w:eastAsia="zh-CN"/>
          </w:rPr>
          <w:t>online version</w:t>
        </w:r>
      </w:hyperlink>
    </w:p>
    <w:p w:rsidR="005D2195" w:rsidRDefault="004A4AA9">
      <w:pPr>
        <w:pStyle w:val="Title"/>
        <w:rPr>
          <w:lang w:eastAsia="zh-CN"/>
        </w:rPr>
      </w:pPr>
      <w:r>
        <w:rPr>
          <w:lang w:eastAsia="zh-CN"/>
        </w:rPr>
        <w:t>香港证监会发出新的《复杂产品销售指引》</w:t>
      </w:r>
    </w:p>
    <w:p w:rsidR="005D2195" w:rsidRDefault="004A4AA9">
      <w:pPr>
        <w:pStyle w:val="FirstParagraph"/>
        <w:rPr>
          <w:lang w:eastAsia="zh-CN"/>
        </w:rPr>
      </w:pPr>
      <w:r>
        <w:rPr>
          <w:lang w:eastAsia="zh-CN"/>
        </w:rPr>
        <w:t>证券与期货事务监察委员会</w:t>
      </w:r>
      <w:hyperlink w:anchor="_ftn1">
        <w:r>
          <w:rPr>
            <w:lang w:eastAsia="zh-CN"/>
          </w:rPr>
          <w:t>[1]</w:t>
        </w:r>
      </w:hyperlink>
      <w:r>
        <w:rPr>
          <w:lang w:eastAsia="zh-CN"/>
        </w:rPr>
        <w:t>（</w:t>
      </w:r>
      <w:r>
        <w:rPr>
          <w:b/>
          <w:lang w:eastAsia="zh-CN"/>
        </w:rPr>
        <w:t>证监会</w:t>
      </w:r>
      <w:r>
        <w:rPr>
          <w:lang w:eastAsia="zh-CN"/>
        </w:rPr>
        <w:t>）于</w:t>
      </w:r>
      <w:r>
        <w:rPr>
          <w:lang w:eastAsia="zh-CN"/>
        </w:rPr>
        <w:t>2019</w:t>
      </w:r>
      <w:r>
        <w:rPr>
          <w:lang w:eastAsia="zh-CN"/>
        </w:rPr>
        <w:t>年</w:t>
      </w:r>
      <w:r>
        <w:rPr>
          <w:lang w:eastAsia="zh-CN"/>
        </w:rPr>
        <w:t>6</w:t>
      </w:r>
      <w:r>
        <w:rPr>
          <w:lang w:eastAsia="zh-CN"/>
        </w:rPr>
        <w:t>月</w:t>
      </w:r>
      <w:r>
        <w:rPr>
          <w:lang w:eastAsia="zh-CN"/>
        </w:rPr>
        <w:t>13</w:t>
      </w:r>
      <w:r>
        <w:rPr>
          <w:lang w:eastAsia="zh-CN"/>
        </w:rPr>
        <w:t>日发出了一份通函</w:t>
      </w:r>
      <w:hyperlink w:anchor="_ftn2">
        <w:r>
          <w:rPr>
            <w:lang w:eastAsia="zh-CN"/>
          </w:rPr>
          <w:t>[2]</w:t>
        </w:r>
      </w:hyperlink>
      <w:r>
        <w:rPr>
          <w:lang w:eastAsia="zh-CN"/>
        </w:rPr>
        <w:t>，通知在证监会获发牌或在证监会注册的中介人证监会发布了一些新的常见问题</w:t>
      </w:r>
      <w:hyperlink w:anchor="_ftn3">
        <w:r>
          <w:rPr>
            <w:lang w:eastAsia="zh-CN"/>
          </w:rPr>
          <w:t>[3]</w:t>
        </w:r>
      </w:hyperlink>
      <w:r>
        <w:rPr>
          <w:lang w:eastAsia="zh-CN"/>
        </w:rPr>
        <w:t>（</w:t>
      </w:r>
      <w:r>
        <w:rPr>
          <w:b/>
          <w:lang w:eastAsia="zh-CN"/>
        </w:rPr>
        <w:t>《常见问题》</w:t>
      </w:r>
      <w:r>
        <w:rPr>
          <w:lang w:eastAsia="zh-CN"/>
        </w:rPr>
        <w:t>），就销售复杂产品的监管规定提供进一步指引。</w:t>
      </w:r>
    </w:p>
    <w:p w:rsidR="005D2195" w:rsidRDefault="004A4AA9">
      <w:pPr>
        <w:pStyle w:val="Heading2"/>
        <w:rPr>
          <w:lang w:eastAsia="zh-CN"/>
        </w:rPr>
      </w:pPr>
      <w:bookmarkStart w:id="0" w:name="何为复杂产品"/>
      <w:r>
        <w:rPr>
          <w:lang w:eastAsia="zh-CN"/>
        </w:rPr>
        <w:t>何为复杂产品？</w:t>
      </w:r>
      <w:bookmarkEnd w:id="0"/>
    </w:p>
    <w:p w:rsidR="005D2195" w:rsidRDefault="004A4AA9">
      <w:pPr>
        <w:pStyle w:val="FirstParagraph"/>
        <w:rPr>
          <w:lang w:eastAsia="zh-CN"/>
        </w:rPr>
      </w:pPr>
      <w:r>
        <w:rPr>
          <w:lang w:eastAsia="zh-CN"/>
        </w:rPr>
        <w:t>根据证监会发布的《网上分销及投资咨询平台指引》</w:t>
      </w:r>
      <w:hyperlink w:anchor="_ftn4">
        <w:r>
          <w:rPr>
            <w:lang w:eastAsia="zh-CN"/>
          </w:rPr>
          <w:t>[4]</w:t>
        </w:r>
      </w:hyperlink>
      <w:r>
        <w:rPr>
          <w:lang w:eastAsia="zh-CN"/>
        </w:rPr>
        <w:t>（</w:t>
      </w:r>
      <w:r>
        <w:rPr>
          <w:b/>
          <w:lang w:eastAsia="zh-CN"/>
        </w:rPr>
        <w:t>《指引</w:t>
      </w:r>
      <w:r>
        <w:rPr>
          <w:lang w:eastAsia="zh-CN"/>
        </w:rPr>
        <w:t>》）第</w:t>
      </w:r>
      <w:r>
        <w:rPr>
          <w:lang w:eastAsia="zh-CN"/>
        </w:rPr>
        <w:t>6.1</w:t>
      </w:r>
      <w:r>
        <w:rPr>
          <w:lang w:eastAsia="zh-CN"/>
        </w:rPr>
        <w:t>段定义，复杂产品是指由于结构复杂，致令其条款、特点及风险在合理情况下不大可能会被零售投资者理解的投资产品。根据证监会</w:t>
      </w:r>
      <w:r>
        <w:rPr>
          <w:lang w:eastAsia="zh-CN"/>
        </w:rPr>
        <w:t>于</w:t>
      </w:r>
      <w:r>
        <w:rPr>
          <w:lang w:eastAsia="zh-CN"/>
        </w:rPr>
        <w:t>2019</w:t>
      </w:r>
      <w:r>
        <w:rPr>
          <w:lang w:eastAsia="zh-CN"/>
        </w:rPr>
        <w:t>年</w:t>
      </w:r>
      <w:r>
        <w:rPr>
          <w:lang w:eastAsia="zh-CN"/>
        </w:rPr>
        <w:t>3</w:t>
      </w:r>
      <w:r>
        <w:rPr>
          <w:lang w:eastAsia="zh-CN"/>
        </w:rPr>
        <w:t>月</w:t>
      </w:r>
      <w:r>
        <w:rPr>
          <w:lang w:eastAsia="zh-CN"/>
        </w:rPr>
        <w:t>19</w:t>
      </w:r>
      <w:r>
        <w:rPr>
          <w:lang w:eastAsia="zh-CN"/>
        </w:rPr>
        <w:t>日发出的通函</w:t>
      </w:r>
      <w:hyperlink w:anchor="_ftn5">
        <w:r>
          <w:rPr>
            <w:lang w:eastAsia="zh-CN"/>
          </w:rPr>
          <w:t>[5]</w:t>
        </w:r>
      </w:hyperlink>
      <w:r>
        <w:rPr>
          <w:lang w:eastAsia="zh-CN"/>
        </w:rPr>
        <w:t>，《指引》于</w:t>
      </w:r>
      <w:r>
        <w:rPr>
          <w:lang w:eastAsia="zh-CN"/>
        </w:rPr>
        <w:t>2019</w:t>
      </w:r>
      <w:r>
        <w:rPr>
          <w:lang w:eastAsia="zh-CN"/>
        </w:rPr>
        <w:t>年</w:t>
      </w:r>
      <w:r>
        <w:rPr>
          <w:lang w:eastAsia="zh-CN"/>
        </w:rPr>
        <w:t>7</w:t>
      </w:r>
      <w:r>
        <w:rPr>
          <w:lang w:eastAsia="zh-CN"/>
        </w:rPr>
        <w:t>月</w:t>
      </w:r>
      <w:r>
        <w:rPr>
          <w:lang w:eastAsia="zh-CN"/>
        </w:rPr>
        <w:t>6</w:t>
      </w:r>
      <w:r>
        <w:rPr>
          <w:lang w:eastAsia="zh-CN"/>
        </w:rPr>
        <w:t>日生效。</w:t>
      </w:r>
    </w:p>
    <w:p w:rsidR="005D2195" w:rsidRDefault="004A4AA9">
      <w:pPr>
        <w:pStyle w:val="BodyText"/>
      </w:pPr>
      <w:r>
        <w:rPr>
          <w:lang w:eastAsia="zh-CN"/>
        </w:rPr>
        <w:t>《指引》第</w:t>
      </w:r>
      <w:r>
        <w:rPr>
          <w:lang w:eastAsia="zh-CN"/>
        </w:rPr>
        <w:t>6.1</w:t>
      </w:r>
      <w:r>
        <w:rPr>
          <w:lang w:eastAsia="zh-CN"/>
        </w:rPr>
        <w:t>段及《证券及期货事务监察委员会持牌人或注册人操守准则》</w:t>
      </w:r>
      <w:hyperlink w:anchor="_ftn6">
        <w:r>
          <w:rPr>
            <w:lang w:eastAsia="zh-CN"/>
          </w:rPr>
          <w:t>[6]</w:t>
        </w:r>
      </w:hyperlink>
      <w:r>
        <w:rPr>
          <w:lang w:eastAsia="zh-CN"/>
        </w:rPr>
        <w:t>（</w:t>
      </w:r>
      <w:r>
        <w:rPr>
          <w:b/>
          <w:lang w:eastAsia="zh-CN"/>
        </w:rPr>
        <w:t>《操守准则》</w:t>
      </w:r>
      <w:r>
        <w:rPr>
          <w:lang w:eastAsia="zh-CN"/>
        </w:rPr>
        <w:t>）（亦于</w:t>
      </w:r>
      <w:r>
        <w:rPr>
          <w:lang w:eastAsia="zh-CN"/>
        </w:rPr>
        <w:t>2019</w:t>
      </w:r>
      <w:r>
        <w:rPr>
          <w:lang w:eastAsia="zh-CN"/>
        </w:rPr>
        <w:t>年</w:t>
      </w:r>
      <w:r>
        <w:rPr>
          <w:lang w:eastAsia="zh-CN"/>
        </w:rPr>
        <w:t>7</w:t>
      </w:r>
      <w:r>
        <w:rPr>
          <w:lang w:eastAsia="zh-CN"/>
        </w:rPr>
        <w:t>月</w:t>
      </w:r>
      <w:r>
        <w:rPr>
          <w:lang w:eastAsia="zh-CN"/>
        </w:rPr>
        <w:t>6</w:t>
      </w:r>
      <w:r>
        <w:rPr>
          <w:lang w:eastAsia="zh-CN"/>
        </w:rPr>
        <w:t>日生效）第</w:t>
      </w:r>
      <w:r>
        <w:rPr>
          <w:lang w:eastAsia="zh-CN"/>
        </w:rPr>
        <w:t>5.5</w:t>
      </w:r>
      <w:r>
        <w:rPr>
          <w:lang w:eastAsia="zh-CN"/>
        </w:rPr>
        <w:t>段列明断定某产品是否复杂产品应考虑的因素。</w:t>
      </w:r>
      <w:r>
        <w:t>应考虑的因素包括如下：</w:t>
      </w:r>
    </w:p>
    <w:p w:rsidR="005D2195" w:rsidRDefault="004A4AA9">
      <w:pPr>
        <w:pStyle w:val="Compact"/>
        <w:numPr>
          <w:ilvl w:val="0"/>
          <w:numId w:val="2"/>
        </w:numPr>
        <w:rPr>
          <w:lang w:eastAsia="zh-CN"/>
        </w:rPr>
      </w:pPr>
      <w:r>
        <w:rPr>
          <w:lang w:eastAsia="zh-CN"/>
        </w:rPr>
        <w:t>该投资产品是否衍生产品；</w:t>
      </w:r>
    </w:p>
    <w:p w:rsidR="005D2195" w:rsidRDefault="004A4AA9">
      <w:pPr>
        <w:pStyle w:val="Compact"/>
        <w:numPr>
          <w:ilvl w:val="0"/>
          <w:numId w:val="2"/>
        </w:numPr>
        <w:rPr>
          <w:lang w:eastAsia="zh-CN"/>
        </w:rPr>
      </w:pPr>
      <w:r>
        <w:rPr>
          <w:lang w:eastAsia="zh-CN"/>
        </w:rPr>
        <w:t>是否有第二市场可供该投资产品按公开价格买卖；</w:t>
      </w:r>
    </w:p>
    <w:p w:rsidR="005D2195" w:rsidRDefault="004A4AA9">
      <w:pPr>
        <w:pStyle w:val="Compact"/>
        <w:numPr>
          <w:ilvl w:val="0"/>
          <w:numId w:val="2"/>
        </w:numPr>
        <w:rPr>
          <w:lang w:eastAsia="zh-CN"/>
        </w:rPr>
      </w:pPr>
      <w:r>
        <w:rPr>
          <w:lang w:eastAsia="zh-CN"/>
        </w:rPr>
        <w:t>有否就该投资产品向零售投资者提供足够及具透明度的资料；</w:t>
      </w:r>
    </w:p>
    <w:p w:rsidR="005D2195" w:rsidRDefault="004A4AA9">
      <w:pPr>
        <w:pStyle w:val="Compact"/>
        <w:numPr>
          <w:ilvl w:val="0"/>
          <w:numId w:val="2"/>
        </w:numPr>
        <w:rPr>
          <w:lang w:eastAsia="zh-CN"/>
        </w:rPr>
      </w:pPr>
      <w:r>
        <w:rPr>
          <w:lang w:eastAsia="zh-CN"/>
        </w:rPr>
        <w:t>是否存在损失大于投资金额的风险；</w:t>
      </w:r>
    </w:p>
    <w:p w:rsidR="005D2195" w:rsidRDefault="004A4AA9">
      <w:pPr>
        <w:pStyle w:val="Compact"/>
        <w:numPr>
          <w:ilvl w:val="0"/>
          <w:numId w:val="2"/>
        </w:numPr>
        <w:rPr>
          <w:lang w:eastAsia="zh-CN"/>
        </w:rPr>
      </w:pPr>
      <w:r>
        <w:rPr>
          <w:lang w:eastAsia="zh-CN"/>
        </w:rPr>
        <w:t>该投资产品是否有任何特点或条款可从根本上改变投资的性质或风险或支付形式，或包含多个可变因素或复杂的计算公式以厘定有关回报；及</w:t>
      </w:r>
    </w:p>
    <w:p w:rsidR="005D2195" w:rsidRDefault="004A4AA9">
      <w:pPr>
        <w:pStyle w:val="Compact"/>
        <w:numPr>
          <w:ilvl w:val="0"/>
          <w:numId w:val="2"/>
        </w:numPr>
        <w:rPr>
          <w:lang w:eastAsia="zh-CN"/>
        </w:rPr>
      </w:pPr>
      <w:r>
        <w:rPr>
          <w:lang w:eastAsia="zh-CN"/>
        </w:rPr>
        <w:t>该投资产品是否有任何特点或条款，致令其失去流动性及</w:t>
      </w:r>
      <w:r>
        <w:rPr>
          <w:lang w:eastAsia="zh-CN"/>
        </w:rPr>
        <w:t>/</w:t>
      </w:r>
      <w:r>
        <w:rPr>
          <w:lang w:eastAsia="zh-CN"/>
        </w:rPr>
        <w:t>或难以估值。</w:t>
      </w:r>
    </w:p>
    <w:p w:rsidR="005D2195" w:rsidRDefault="004A4AA9">
      <w:pPr>
        <w:pStyle w:val="FirstParagraph"/>
        <w:rPr>
          <w:lang w:eastAsia="zh-CN"/>
        </w:rPr>
      </w:pPr>
      <w:r>
        <w:rPr>
          <w:lang w:eastAsia="zh-CN"/>
        </w:rPr>
        <w:t>证监会亦已提供一份非详尽无遗例子列表，列举</w:t>
      </w:r>
      <w:r>
        <w:rPr>
          <w:lang w:eastAsia="zh-CN"/>
        </w:rPr>
        <w:t>“</w:t>
      </w:r>
      <w:r>
        <w:rPr>
          <w:lang w:eastAsia="zh-CN"/>
        </w:rPr>
        <w:t>非复杂</w:t>
      </w:r>
      <w:r>
        <w:rPr>
          <w:lang w:eastAsia="zh-CN"/>
        </w:rPr>
        <w:t>”</w:t>
      </w:r>
      <w:r>
        <w:rPr>
          <w:lang w:eastAsia="zh-CN"/>
        </w:rPr>
        <w:t>产品和</w:t>
      </w:r>
      <w:r>
        <w:rPr>
          <w:lang w:eastAsia="zh-CN"/>
        </w:rPr>
        <w:t>“</w:t>
      </w:r>
      <w:r>
        <w:rPr>
          <w:lang w:eastAsia="zh-CN"/>
        </w:rPr>
        <w:t>复杂</w:t>
      </w:r>
      <w:r>
        <w:rPr>
          <w:lang w:eastAsia="zh-CN"/>
        </w:rPr>
        <w:t>”</w:t>
      </w:r>
      <w:r>
        <w:rPr>
          <w:lang w:eastAsia="zh-CN"/>
        </w:rPr>
        <w:t>产品的例子</w:t>
      </w:r>
      <w:hyperlink w:anchor="_ftn7">
        <w:r>
          <w:rPr>
            <w:lang w:eastAsia="zh-CN"/>
          </w:rPr>
          <w:t>[7]</w:t>
        </w:r>
      </w:hyperlink>
      <w:r>
        <w:rPr>
          <w:lang w:eastAsia="zh-CN"/>
        </w:rPr>
        <w:t>。证监会于</w:t>
      </w:r>
      <w:r>
        <w:rPr>
          <w:lang w:eastAsia="zh-CN"/>
        </w:rPr>
        <w:t>2019</w:t>
      </w:r>
      <w:r>
        <w:rPr>
          <w:lang w:eastAsia="zh-CN"/>
        </w:rPr>
        <w:t>年</w:t>
      </w:r>
      <w:r>
        <w:rPr>
          <w:lang w:eastAsia="zh-CN"/>
        </w:rPr>
        <w:t>6</w:t>
      </w:r>
      <w:r>
        <w:rPr>
          <w:lang w:eastAsia="zh-CN"/>
        </w:rPr>
        <w:t>月</w:t>
      </w:r>
      <w:r>
        <w:rPr>
          <w:lang w:eastAsia="zh-CN"/>
        </w:rPr>
        <w:t>13</w:t>
      </w:r>
      <w:r>
        <w:rPr>
          <w:lang w:eastAsia="zh-CN"/>
        </w:rPr>
        <w:t>日发出的通函中指出已将证券型代币添加到复杂产品列表内，亦强调如果某特定产品没有明确地列入该非详尽</w:t>
      </w:r>
      <w:r w:rsidRPr="004A4AA9">
        <w:rPr>
          <w:rFonts w:ascii="SimSun" w:eastAsia="SimSun" w:hAnsi="SimSun" w:cs="SimSun" w:hint="eastAsia"/>
          <w:lang w:eastAsia="zh-CN"/>
        </w:rPr>
        <w:t>无遗</w:t>
      </w:r>
      <w:r>
        <w:rPr>
          <w:lang w:eastAsia="zh-CN"/>
        </w:rPr>
        <w:t>例子列表内，平台运营者应</w:t>
      </w:r>
      <w:r>
        <w:rPr>
          <w:lang w:eastAsia="zh-CN"/>
        </w:rPr>
        <w:t>考虑该产品是否与列表中列举的某项产品为相同类型。</w:t>
      </w:r>
    </w:p>
    <w:p w:rsidR="005D2195" w:rsidRDefault="004A4AA9">
      <w:pPr>
        <w:pStyle w:val="Heading2"/>
        <w:rPr>
          <w:lang w:eastAsia="zh-CN"/>
        </w:rPr>
      </w:pPr>
      <w:bookmarkStart w:id="1" w:name="适用于复杂产品的条文"/>
      <w:r>
        <w:rPr>
          <w:lang w:eastAsia="zh-CN"/>
        </w:rPr>
        <w:t>适用于复杂产品的条文？</w:t>
      </w:r>
      <w:bookmarkEnd w:id="1"/>
    </w:p>
    <w:p w:rsidR="005D2195" w:rsidRDefault="004A4AA9">
      <w:pPr>
        <w:pStyle w:val="FirstParagraph"/>
        <w:rPr>
          <w:lang w:eastAsia="zh-CN"/>
        </w:rPr>
      </w:pPr>
      <w:r>
        <w:rPr>
          <w:lang w:eastAsia="zh-CN"/>
        </w:rPr>
        <w:t>《指引》</w:t>
      </w:r>
      <w:hyperlink w:anchor="_ftn8">
        <w:r>
          <w:rPr>
            <w:lang w:eastAsia="zh-CN"/>
          </w:rPr>
          <w:t>[8]</w:t>
        </w:r>
      </w:hyperlink>
      <w:r>
        <w:rPr>
          <w:lang w:eastAsia="zh-CN"/>
        </w:rPr>
        <w:t>中适用于销售复杂产品（不论是网上或非网上）的规定如下：</w:t>
      </w:r>
    </w:p>
    <w:p w:rsidR="005D2195" w:rsidRDefault="004A4AA9">
      <w:pPr>
        <w:pStyle w:val="BodyText"/>
        <w:rPr>
          <w:lang w:eastAsia="zh-CN"/>
        </w:rPr>
      </w:pPr>
      <w:r>
        <w:rPr>
          <w:lang w:eastAsia="zh-CN"/>
        </w:rPr>
        <w:t xml:space="preserve">1. </w:t>
      </w:r>
      <w:r>
        <w:rPr>
          <w:lang w:eastAsia="zh-CN"/>
        </w:rPr>
        <w:t>合适性规定</w:t>
      </w:r>
    </w:p>
    <w:p w:rsidR="005D2195" w:rsidRDefault="004A4AA9">
      <w:pPr>
        <w:pStyle w:val="BodyText"/>
        <w:rPr>
          <w:lang w:eastAsia="zh-CN"/>
        </w:rPr>
      </w:pPr>
      <w:r>
        <w:rPr>
          <w:lang w:eastAsia="zh-CN"/>
        </w:rPr>
        <w:t>《指引》第</w:t>
      </w:r>
      <w:r>
        <w:rPr>
          <w:lang w:eastAsia="zh-CN"/>
        </w:rPr>
        <w:t>6.3</w:t>
      </w:r>
      <w:r>
        <w:rPr>
          <w:lang w:eastAsia="zh-CN"/>
        </w:rPr>
        <w:t>段及《操守准则》第</w:t>
      </w:r>
      <w:r>
        <w:rPr>
          <w:lang w:eastAsia="zh-CN"/>
        </w:rPr>
        <w:t>5.5(a)(i)</w:t>
      </w:r>
      <w:r>
        <w:rPr>
          <w:lang w:eastAsia="zh-CN"/>
        </w:rPr>
        <w:t>段规定持牌中介人应确保每项复杂产品交易在所有情况下都适合客户。中介人应根据《操守准则》第</w:t>
      </w:r>
      <w:r>
        <w:rPr>
          <w:lang w:eastAsia="zh-CN"/>
        </w:rPr>
        <w:t>5.2</w:t>
      </w:r>
      <w:r>
        <w:rPr>
          <w:lang w:eastAsia="zh-CN"/>
        </w:rPr>
        <w:t>段规定的标准履行该职责，即中介人经考虑其所察觉的或经过进行尽职调查后理应察觉的关于该客户的资料后就复杂产品作出的建议或招揽行为务必要适合该名客户。《</w:t>
      </w:r>
      <w:r>
        <w:rPr>
          <w:lang w:eastAsia="zh-CN"/>
        </w:rPr>
        <w:t>指引》第</w:t>
      </w:r>
      <w:r>
        <w:rPr>
          <w:lang w:eastAsia="zh-CN"/>
        </w:rPr>
        <w:t>6.4</w:t>
      </w:r>
      <w:r>
        <w:rPr>
          <w:lang w:eastAsia="zh-CN"/>
        </w:rPr>
        <w:t>段亦指出平台营运者应参阅证监会不时地通过证监会通函和《常见问题》提供的合适性规定指引。</w:t>
      </w:r>
    </w:p>
    <w:p w:rsidR="005D2195" w:rsidRDefault="004A4AA9">
      <w:pPr>
        <w:pStyle w:val="BodyText"/>
        <w:rPr>
          <w:lang w:eastAsia="zh-CN"/>
        </w:rPr>
      </w:pPr>
      <w:r>
        <w:rPr>
          <w:lang w:eastAsia="zh-CN"/>
        </w:rPr>
        <w:t xml:space="preserve">2. </w:t>
      </w:r>
      <w:r>
        <w:rPr>
          <w:lang w:eastAsia="zh-CN"/>
        </w:rPr>
        <w:t>最低限度资料及警告声明</w:t>
      </w:r>
    </w:p>
    <w:p w:rsidR="005D2195" w:rsidRDefault="004A4AA9">
      <w:pPr>
        <w:pStyle w:val="BodyText"/>
        <w:rPr>
          <w:lang w:eastAsia="zh-CN"/>
        </w:rPr>
      </w:pPr>
      <w:r>
        <w:rPr>
          <w:lang w:eastAsia="zh-CN"/>
        </w:rPr>
        <w:t>《指引》第</w:t>
      </w:r>
      <w:r>
        <w:rPr>
          <w:lang w:eastAsia="zh-CN"/>
        </w:rPr>
        <w:t>6.7</w:t>
      </w:r>
      <w:r>
        <w:rPr>
          <w:lang w:eastAsia="zh-CN"/>
        </w:rPr>
        <w:t>段及《操守准则》第</w:t>
      </w:r>
      <w:r>
        <w:rPr>
          <w:lang w:eastAsia="zh-CN"/>
        </w:rPr>
        <w:t>5.5(a)(ⅱ)</w:t>
      </w:r>
      <w:r>
        <w:rPr>
          <w:lang w:eastAsia="zh-CN"/>
        </w:rPr>
        <w:t>段规定网上平台应载有关于复杂产品的主要性质、特点和风险的充分资料，让投资者能够在有充分信息的情况下作出有关该复杂产品的投资决定。《指引》第</w:t>
      </w:r>
      <w:r>
        <w:rPr>
          <w:lang w:eastAsia="zh-CN"/>
        </w:rPr>
        <w:t>6.8</w:t>
      </w:r>
      <w:r>
        <w:rPr>
          <w:lang w:eastAsia="zh-CN"/>
        </w:rPr>
        <w:t>段及《操守准则》第</w:t>
      </w:r>
      <w:r>
        <w:rPr>
          <w:lang w:eastAsia="zh-CN"/>
        </w:rPr>
        <w:t>5.5(a)(ⅲ)</w:t>
      </w:r>
      <w:r>
        <w:rPr>
          <w:lang w:eastAsia="zh-CN"/>
        </w:rPr>
        <w:t>段要求网上平台提供清楚和明显的警告声明。</w:t>
      </w:r>
    </w:p>
    <w:p w:rsidR="005D2195" w:rsidRDefault="004A4AA9">
      <w:pPr>
        <w:pStyle w:val="BodyText"/>
        <w:rPr>
          <w:lang w:eastAsia="zh-CN"/>
        </w:rPr>
      </w:pPr>
      <w:r>
        <w:rPr>
          <w:lang w:eastAsia="zh-CN"/>
        </w:rPr>
        <w:lastRenderedPageBreak/>
        <w:t xml:space="preserve">3. </w:t>
      </w:r>
      <w:r>
        <w:rPr>
          <w:lang w:eastAsia="zh-CN"/>
        </w:rPr>
        <w:t>在交易所买卖的衍生产品</w:t>
      </w:r>
    </w:p>
    <w:p w:rsidR="005D2195" w:rsidRDefault="004A4AA9">
      <w:pPr>
        <w:pStyle w:val="BodyText"/>
        <w:rPr>
          <w:lang w:eastAsia="zh-CN"/>
        </w:rPr>
      </w:pPr>
      <w:r>
        <w:rPr>
          <w:lang w:eastAsia="zh-CN"/>
        </w:rPr>
        <w:t>若复杂产品属在香港或指明司法管辖区内的交易所买卖的衍生产品，在不涉及招揽或建</w:t>
      </w:r>
      <w:r>
        <w:rPr>
          <w:lang w:eastAsia="zh-CN"/>
        </w:rPr>
        <w:t>议行为的情况下，上文提述的合适性规定与最低限度资料及警告声明条文不适用（《指引》第</w:t>
      </w:r>
      <w:r>
        <w:rPr>
          <w:lang w:eastAsia="zh-CN"/>
        </w:rPr>
        <w:t>6.5</w:t>
      </w:r>
      <w:r>
        <w:rPr>
          <w:lang w:eastAsia="zh-CN"/>
        </w:rPr>
        <w:t>段及《操守准则》第</w:t>
      </w:r>
      <w:r>
        <w:rPr>
          <w:lang w:eastAsia="zh-CN"/>
        </w:rPr>
        <w:t>5.5(b)</w:t>
      </w:r>
      <w:r>
        <w:rPr>
          <w:lang w:eastAsia="zh-CN"/>
        </w:rPr>
        <w:t>段）。但持牌人仍须遵守《操守准则》第</w:t>
      </w:r>
      <w:r>
        <w:rPr>
          <w:lang w:eastAsia="zh-CN"/>
        </w:rPr>
        <w:t>5.1A</w:t>
      </w:r>
      <w:r>
        <w:rPr>
          <w:lang w:eastAsia="zh-CN"/>
        </w:rPr>
        <w:t>段（</w:t>
      </w:r>
      <w:r>
        <w:rPr>
          <w:lang w:eastAsia="zh-CN"/>
        </w:rPr>
        <w:t>“</w:t>
      </w:r>
      <w:r>
        <w:rPr>
          <w:lang w:eastAsia="zh-CN"/>
        </w:rPr>
        <w:t>认识你的客户：投资者分类</w:t>
      </w:r>
      <w:r>
        <w:rPr>
          <w:lang w:eastAsia="zh-CN"/>
        </w:rPr>
        <w:t>”</w:t>
      </w:r>
      <w:r>
        <w:rPr>
          <w:lang w:eastAsia="zh-CN"/>
        </w:rPr>
        <w:t>）及第</w:t>
      </w:r>
      <w:r>
        <w:rPr>
          <w:lang w:eastAsia="zh-CN"/>
        </w:rPr>
        <w:t>5.3</w:t>
      </w:r>
      <w:r>
        <w:rPr>
          <w:lang w:eastAsia="zh-CN"/>
        </w:rPr>
        <w:t>段（</w:t>
      </w:r>
      <w:r>
        <w:rPr>
          <w:lang w:eastAsia="zh-CN"/>
        </w:rPr>
        <w:t>“</w:t>
      </w:r>
      <w:r>
        <w:rPr>
          <w:lang w:eastAsia="zh-CN"/>
        </w:rPr>
        <w:t>认识你的客户：衍生产品</w:t>
      </w:r>
      <w:r>
        <w:rPr>
          <w:lang w:eastAsia="zh-CN"/>
        </w:rPr>
        <w:t>”</w:t>
      </w:r>
      <w:r>
        <w:rPr>
          <w:lang w:eastAsia="zh-CN"/>
        </w:rPr>
        <w:t>）。</w:t>
      </w:r>
    </w:p>
    <w:p w:rsidR="005D2195" w:rsidRDefault="004A4AA9">
      <w:pPr>
        <w:pStyle w:val="BodyText"/>
        <w:rPr>
          <w:lang w:eastAsia="zh-CN"/>
        </w:rPr>
      </w:pPr>
      <w:r>
        <w:rPr>
          <w:lang w:eastAsia="zh-CN"/>
        </w:rPr>
        <w:t xml:space="preserve">4. </w:t>
      </w:r>
      <w:r>
        <w:rPr>
          <w:lang w:eastAsia="zh-CN"/>
        </w:rPr>
        <w:t>就机构专业投资者及法团专业投资者给予的豁免</w:t>
      </w:r>
    </w:p>
    <w:p w:rsidR="005D2195" w:rsidRDefault="004A4AA9">
      <w:pPr>
        <w:pStyle w:val="BodyText"/>
        <w:rPr>
          <w:lang w:eastAsia="zh-CN"/>
        </w:rPr>
      </w:pPr>
      <w:r>
        <w:rPr>
          <w:lang w:eastAsia="zh-CN"/>
        </w:rPr>
        <w:t>与机构专业投资者进行交易的平台运营者自动获豁免遵守上述第</w:t>
      </w:r>
      <w:r>
        <w:rPr>
          <w:lang w:eastAsia="zh-CN"/>
        </w:rPr>
        <w:t>6.3</w:t>
      </w:r>
      <w:r>
        <w:rPr>
          <w:lang w:eastAsia="zh-CN"/>
        </w:rPr>
        <w:t>段（交易的合适性），第</w:t>
      </w:r>
      <w:r>
        <w:rPr>
          <w:lang w:eastAsia="zh-CN"/>
        </w:rPr>
        <w:t>6.7</w:t>
      </w:r>
      <w:r>
        <w:rPr>
          <w:lang w:eastAsia="zh-CN"/>
        </w:rPr>
        <w:t>段（最低限度资料）及第</w:t>
      </w:r>
      <w:r>
        <w:rPr>
          <w:lang w:eastAsia="zh-CN"/>
        </w:rPr>
        <w:t>6.8</w:t>
      </w:r>
      <w:r>
        <w:rPr>
          <w:lang w:eastAsia="zh-CN"/>
        </w:rPr>
        <w:t>段（警告声明）的规定（《指引》第</w:t>
      </w:r>
      <w:r>
        <w:rPr>
          <w:lang w:eastAsia="zh-CN"/>
        </w:rPr>
        <w:t>6.9</w:t>
      </w:r>
      <w:r>
        <w:rPr>
          <w:lang w:eastAsia="zh-CN"/>
        </w:rPr>
        <w:t>段）。</w:t>
      </w:r>
    </w:p>
    <w:p w:rsidR="005D2195" w:rsidRDefault="004A4AA9">
      <w:pPr>
        <w:pStyle w:val="BodyText"/>
        <w:rPr>
          <w:lang w:eastAsia="zh-CN"/>
        </w:rPr>
      </w:pPr>
      <w:r>
        <w:rPr>
          <w:lang w:eastAsia="zh-CN"/>
        </w:rPr>
        <w:t>类似地，与法团专业投资者进行交易的持牌人获豁免遵守第</w:t>
      </w:r>
      <w:r>
        <w:rPr>
          <w:lang w:eastAsia="zh-CN"/>
        </w:rPr>
        <w:t>6.</w:t>
      </w:r>
      <w:r>
        <w:rPr>
          <w:lang w:eastAsia="zh-CN"/>
        </w:rPr>
        <w:t>3</w:t>
      </w:r>
      <w:r>
        <w:rPr>
          <w:lang w:eastAsia="zh-CN"/>
        </w:rPr>
        <w:t>段，第</w:t>
      </w:r>
      <w:r>
        <w:rPr>
          <w:lang w:eastAsia="zh-CN"/>
        </w:rPr>
        <w:t>6.7</w:t>
      </w:r>
      <w:r>
        <w:rPr>
          <w:lang w:eastAsia="zh-CN"/>
        </w:rPr>
        <w:t>段及第</w:t>
      </w:r>
      <w:r>
        <w:rPr>
          <w:lang w:eastAsia="zh-CN"/>
        </w:rPr>
        <w:t>6.8</w:t>
      </w:r>
      <w:r>
        <w:rPr>
          <w:lang w:eastAsia="zh-CN"/>
        </w:rPr>
        <w:t>段的规定，前提是该持牌人已遵守《操守准则》第</w:t>
      </w:r>
      <w:r>
        <w:rPr>
          <w:lang w:eastAsia="zh-CN"/>
        </w:rPr>
        <w:t>15.3A</w:t>
      </w:r>
      <w:r>
        <w:rPr>
          <w:lang w:eastAsia="zh-CN"/>
        </w:rPr>
        <w:t>段及第</w:t>
      </w:r>
      <w:r>
        <w:rPr>
          <w:lang w:eastAsia="zh-CN"/>
        </w:rPr>
        <w:t>15.3B</w:t>
      </w:r>
      <w:r>
        <w:rPr>
          <w:lang w:eastAsia="zh-CN"/>
        </w:rPr>
        <w:t>段所载的规定及程序（《指引》第</w:t>
      </w:r>
      <w:r>
        <w:rPr>
          <w:lang w:eastAsia="zh-CN"/>
        </w:rPr>
        <w:t>6.10</w:t>
      </w:r>
      <w:r>
        <w:rPr>
          <w:lang w:eastAsia="zh-CN"/>
        </w:rPr>
        <w:t>段）。</w:t>
      </w:r>
    </w:p>
    <w:p w:rsidR="005D2195" w:rsidRDefault="004A4AA9">
      <w:pPr>
        <w:pStyle w:val="BodyText"/>
        <w:rPr>
          <w:lang w:eastAsia="zh-CN"/>
        </w:rPr>
      </w:pPr>
      <w:r>
        <w:rPr>
          <w:lang w:eastAsia="zh-CN"/>
        </w:rPr>
        <w:t>与个人专业投资者进行交易的平台运营者务必遵守第</w:t>
      </w:r>
      <w:r>
        <w:rPr>
          <w:lang w:eastAsia="zh-CN"/>
        </w:rPr>
        <w:t>6.3</w:t>
      </w:r>
      <w:r>
        <w:rPr>
          <w:lang w:eastAsia="zh-CN"/>
        </w:rPr>
        <w:t>段，第</w:t>
      </w:r>
      <w:r>
        <w:rPr>
          <w:lang w:eastAsia="zh-CN"/>
        </w:rPr>
        <w:t>6.7</w:t>
      </w:r>
      <w:r>
        <w:rPr>
          <w:lang w:eastAsia="zh-CN"/>
        </w:rPr>
        <w:t>段及第</w:t>
      </w:r>
      <w:r>
        <w:rPr>
          <w:lang w:eastAsia="zh-CN"/>
        </w:rPr>
        <w:t>6.8</w:t>
      </w:r>
      <w:r>
        <w:rPr>
          <w:lang w:eastAsia="zh-CN"/>
        </w:rPr>
        <w:t>段的规定。</w:t>
      </w:r>
    </w:p>
    <w:p w:rsidR="005D2195" w:rsidRDefault="004A4AA9">
      <w:pPr>
        <w:pStyle w:val="BodyText"/>
        <w:rPr>
          <w:lang w:eastAsia="zh-CN"/>
        </w:rPr>
      </w:pPr>
      <w:r>
        <w:rPr>
          <w:lang w:eastAsia="zh-CN"/>
        </w:rPr>
        <w:t xml:space="preserve">5. </w:t>
      </w:r>
      <w:r>
        <w:rPr>
          <w:lang w:eastAsia="zh-CN"/>
        </w:rPr>
        <w:t>海外产品</w:t>
      </w:r>
    </w:p>
    <w:p w:rsidR="005D2195" w:rsidRDefault="004A4AA9">
      <w:pPr>
        <w:pStyle w:val="BodyText"/>
        <w:rPr>
          <w:lang w:eastAsia="zh-CN"/>
        </w:rPr>
      </w:pPr>
      <w:r>
        <w:rPr>
          <w:lang w:eastAsia="zh-CN"/>
        </w:rPr>
        <w:t>《指引》第</w:t>
      </w:r>
      <w:r>
        <w:rPr>
          <w:lang w:eastAsia="zh-CN"/>
        </w:rPr>
        <w:t>6.2</w:t>
      </w:r>
      <w:r>
        <w:rPr>
          <w:lang w:eastAsia="zh-CN"/>
        </w:rPr>
        <w:t>段注释指出平台运营者在断定某项投资产品应该被视为复杂或非复杂产品时，应顾及该产品是否在证监会指明司法管辖区域名单中</w:t>
      </w:r>
      <w:hyperlink w:anchor="_ftn9">
        <w:r>
          <w:rPr>
            <w:lang w:eastAsia="zh-CN"/>
          </w:rPr>
          <w:t>[9]</w:t>
        </w:r>
      </w:hyperlink>
      <w:r>
        <w:rPr>
          <w:lang w:eastAsia="zh-CN"/>
        </w:rPr>
        <w:t>载列的某个司法管辖区受到监管或在其区内的交易所买卖。假如该产品是在指明司法管辖区以外的司法管辖区受到监管或在其区内的交易所买卖，平台运营者便应格外审慎。证监会于</w:t>
      </w:r>
      <w:r>
        <w:rPr>
          <w:lang w:eastAsia="zh-CN"/>
        </w:rPr>
        <w:t>2019</w:t>
      </w:r>
      <w:r>
        <w:rPr>
          <w:lang w:eastAsia="zh-CN"/>
        </w:rPr>
        <w:t>年</w:t>
      </w:r>
      <w:r>
        <w:rPr>
          <w:lang w:eastAsia="zh-CN"/>
        </w:rPr>
        <w:t>6</w:t>
      </w:r>
      <w:r>
        <w:rPr>
          <w:lang w:eastAsia="zh-CN"/>
        </w:rPr>
        <w:t>月</w:t>
      </w:r>
      <w:r>
        <w:rPr>
          <w:lang w:eastAsia="zh-CN"/>
        </w:rPr>
        <w:t>13</w:t>
      </w:r>
      <w:r>
        <w:rPr>
          <w:lang w:eastAsia="zh-CN"/>
        </w:rPr>
        <w:t>日发出的《通函》指出已将荷兰列入非交易所买卖的非认可基金的指明司法管辖区名单。</w:t>
      </w:r>
    </w:p>
    <w:p w:rsidR="005D2195" w:rsidRDefault="004A4AA9">
      <w:pPr>
        <w:pStyle w:val="Heading2"/>
        <w:rPr>
          <w:lang w:eastAsia="zh-CN"/>
        </w:rPr>
      </w:pPr>
      <w:bookmarkStart w:id="2" w:name="就网上及非网上销售复杂产品新增的常见问题"/>
      <w:r>
        <w:rPr>
          <w:lang w:eastAsia="zh-CN"/>
        </w:rPr>
        <w:t>就网上及非网上销售复杂产品新增的《常见问题》</w:t>
      </w:r>
      <w:bookmarkEnd w:id="2"/>
    </w:p>
    <w:p w:rsidR="005D2195" w:rsidRDefault="004A4AA9">
      <w:pPr>
        <w:pStyle w:val="FirstParagraph"/>
        <w:rPr>
          <w:lang w:eastAsia="zh-CN"/>
        </w:rPr>
      </w:pPr>
      <w:r>
        <w:rPr>
          <w:lang w:eastAsia="zh-CN"/>
        </w:rPr>
        <w:t>根据证监会于</w:t>
      </w:r>
      <w:r>
        <w:rPr>
          <w:lang w:eastAsia="zh-CN"/>
        </w:rPr>
        <w:t>2019</w:t>
      </w:r>
      <w:r>
        <w:rPr>
          <w:lang w:eastAsia="zh-CN"/>
        </w:rPr>
        <w:t>年</w:t>
      </w:r>
      <w:r>
        <w:rPr>
          <w:lang w:eastAsia="zh-CN"/>
        </w:rPr>
        <w:t>6</w:t>
      </w:r>
      <w:r>
        <w:rPr>
          <w:lang w:eastAsia="zh-CN"/>
        </w:rPr>
        <w:t>月</w:t>
      </w:r>
      <w:r>
        <w:rPr>
          <w:lang w:eastAsia="zh-CN"/>
        </w:rPr>
        <w:t>13</w:t>
      </w:r>
      <w:r>
        <w:rPr>
          <w:lang w:eastAsia="zh-CN"/>
        </w:rPr>
        <w:t>日发出的《通函》，新增的《常见问题》旨在：</w:t>
      </w:r>
    </w:p>
    <w:p w:rsidR="005D2195" w:rsidRDefault="004A4AA9">
      <w:pPr>
        <w:pStyle w:val="Compact"/>
        <w:numPr>
          <w:ilvl w:val="0"/>
          <w:numId w:val="3"/>
        </w:numPr>
        <w:rPr>
          <w:lang w:eastAsia="zh-CN"/>
        </w:rPr>
      </w:pPr>
      <w:r>
        <w:rPr>
          <w:lang w:eastAsia="zh-CN"/>
        </w:rPr>
        <w:t>厘清《操守准则》第</w:t>
      </w:r>
      <w:r>
        <w:rPr>
          <w:lang w:eastAsia="zh-CN"/>
        </w:rPr>
        <w:t>5.5</w:t>
      </w:r>
      <w:r>
        <w:rPr>
          <w:lang w:eastAsia="zh-CN"/>
        </w:rPr>
        <w:t>段仅适用于在非招揽的情况下购买复杂产品（问题</w:t>
      </w:r>
      <w:r>
        <w:rPr>
          <w:lang w:eastAsia="zh-CN"/>
        </w:rPr>
        <w:t>35</w:t>
      </w:r>
      <w:r>
        <w:rPr>
          <w:lang w:eastAsia="zh-CN"/>
        </w:rPr>
        <w:t>）；</w:t>
      </w:r>
    </w:p>
    <w:p w:rsidR="005D2195" w:rsidRDefault="004A4AA9">
      <w:pPr>
        <w:pStyle w:val="Compact"/>
        <w:numPr>
          <w:ilvl w:val="0"/>
          <w:numId w:val="3"/>
        </w:numPr>
        <w:rPr>
          <w:lang w:eastAsia="zh-CN"/>
        </w:rPr>
      </w:pPr>
      <w:r>
        <w:rPr>
          <w:lang w:eastAsia="zh-CN"/>
        </w:rPr>
        <w:t>厘清向客户提供贷款以便客户购买非复杂产品的做法不会令该产</w:t>
      </w:r>
      <w:r>
        <w:rPr>
          <w:lang w:eastAsia="zh-CN"/>
        </w:rPr>
        <w:t>品转变为复杂产品（问题</w:t>
      </w:r>
      <w:r>
        <w:rPr>
          <w:lang w:eastAsia="zh-CN"/>
        </w:rPr>
        <w:t>36</w:t>
      </w:r>
      <w:r>
        <w:rPr>
          <w:lang w:eastAsia="zh-CN"/>
        </w:rPr>
        <w:t>）；</w:t>
      </w:r>
    </w:p>
    <w:p w:rsidR="005D2195" w:rsidRDefault="004A4AA9">
      <w:pPr>
        <w:pStyle w:val="Compact"/>
        <w:numPr>
          <w:ilvl w:val="0"/>
          <w:numId w:val="3"/>
        </w:numPr>
        <w:rPr>
          <w:lang w:eastAsia="zh-CN"/>
        </w:rPr>
      </w:pPr>
      <w:r>
        <w:rPr>
          <w:lang w:eastAsia="zh-CN"/>
        </w:rPr>
        <w:t>提供指引说明在一项交易涉及多重合约关系时，即执行买卖盘的经纪在执行由投资顾问或资产管理公司代表客户发出的买卖盘时，应如何实施《操守准则》第</w:t>
      </w:r>
      <w:r>
        <w:rPr>
          <w:lang w:eastAsia="zh-CN"/>
        </w:rPr>
        <w:t>5.5</w:t>
      </w:r>
      <w:r>
        <w:rPr>
          <w:lang w:eastAsia="zh-CN"/>
        </w:rPr>
        <w:t>段的有关规定（问题</w:t>
      </w:r>
      <w:r>
        <w:rPr>
          <w:lang w:eastAsia="zh-CN"/>
        </w:rPr>
        <w:t>37</w:t>
      </w:r>
      <w:r>
        <w:rPr>
          <w:lang w:eastAsia="zh-CN"/>
        </w:rPr>
        <w:t>）；及</w:t>
      </w:r>
    </w:p>
    <w:p w:rsidR="005D2195" w:rsidRDefault="004A4AA9">
      <w:pPr>
        <w:pStyle w:val="Compact"/>
        <w:numPr>
          <w:ilvl w:val="0"/>
          <w:numId w:val="3"/>
        </w:numPr>
        <w:rPr>
          <w:lang w:eastAsia="zh-CN"/>
        </w:rPr>
      </w:pPr>
      <w:r>
        <w:rPr>
          <w:lang w:eastAsia="zh-CN"/>
        </w:rPr>
        <w:t>厘清证监会对于中介人在招揽或建议客户重复购买投资产品时需要披露产品资料方面的期望，以及《操守准则》第</w:t>
      </w:r>
      <w:r>
        <w:rPr>
          <w:lang w:eastAsia="zh-CN"/>
        </w:rPr>
        <w:t>5.5</w:t>
      </w:r>
      <w:r>
        <w:rPr>
          <w:lang w:eastAsia="zh-CN"/>
        </w:rPr>
        <w:t>段如何适用于上述购买（不论是相同或同一种类产品）（问题</w:t>
      </w:r>
      <w:r>
        <w:rPr>
          <w:lang w:eastAsia="zh-CN"/>
        </w:rPr>
        <w:t>38</w:t>
      </w:r>
      <w:r>
        <w:rPr>
          <w:lang w:eastAsia="zh-CN"/>
        </w:rPr>
        <w:t>）。</w:t>
      </w:r>
    </w:p>
    <w:p w:rsidR="005D2195" w:rsidRDefault="004A4AA9">
      <w:pPr>
        <w:pStyle w:val="FirstParagraph"/>
        <w:rPr>
          <w:lang w:eastAsia="zh-CN"/>
        </w:rPr>
      </w:pPr>
      <w:r>
        <w:rPr>
          <w:lang w:eastAsia="zh-CN"/>
        </w:rPr>
        <w:t xml:space="preserve">1. </w:t>
      </w:r>
      <w:r>
        <w:rPr>
          <w:lang w:eastAsia="zh-CN"/>
        </w:rPr>
        <w:t>问题</w:t>
      </w:r>
      <w:r>
        <w:rPr>
          <w:lang w:eastAsia="zh-CN"/>
        </w:rPr>
        <w:t>35</w:t>
      </w:r>
      <w:r>
        <w:rPr>
          <w:lang w:eastAsia="zh-CN"/>
        </w:rPr>
        <w:t>：于非招揽情况下购买复杂产品</w:t>
      </w:r>
    </w:p>
    <w:p w:rsidR="005D2195" w:rsidRDefault="004A4AA9">
      <w:pPr>
        <w:pStyle w:val="BodyText"/>
        <w:rPr>
          <w:lang w:eastAsia="zh-CN"/>
        </w:rPr>
      </w:pPr>
      <w:r>
        <w:rPr>
          <w:lang w:eastAsia="zh-CN"/>
        </w:rPr>
        <w:t>中介人在以下情况务必按照《操守准则》第</w:t>
      </w:r>
      <w:r>
        <w:rPr>
          <w:lang w:eastAsia="zh-CN"/>
        </w:rPr>
        <w:t>5.2</w:t>
      </w:r>
      <w:r>
        <w:rPr>
          <w:lang w:eastAsia="zh-CN"/>
        </w:rPr>
        <w:t>段的规定，确保某项复杂产品对特定客户而言是合适的</w:t>
      </w:r>
      <w:r>
        <w:rPr>
          <w:lang w:eastAsia="zh-CN"/>
        </w:rPr>
        <w:t>：</w:t>
      </w:r>
    </w:p>
    <w:p w:rsidR="005D2195" w:rsidRDefault="004A4AA9">
      <w:pPr>
        <w:pStyle w:val="Compact"/>
        <w:numPr>
          <w:ilvl w:val="0"/>
          <w:numId w:val="4"/>
        </w:numPr>
        <w:rPr>
          <w:lang w:eastAsia="zh-CN"/>
        </w:rPr>
      </w:pPr>
      <w:r>
        <w:rPr>
          <w:lang w:eastAsia="zh-CN"/>
        </w:rPr>
        <w:t>招揽销售或建议任何复杂产品；或</w:t>
      </w:r>
    </w:p>
    <w:p w:rsidR="005D2195" w:rsidRDefault="004A4AA9">
      <w:pPr>
        <w:pStyle w:val="Compact"/>
        <w:numPr>
          <w:ilvl w:val="0"/>
          <w:numId w:val="4"/>
        </w:numPr>
        <w:rPr>
          <w:lang w:eastAsia="zh-CN"/>
        </w:rPr>
      </w:pPr>
      <w:r>
        <w:rPr>
          <w:lang w:eastAsia="zh-CN"/>
        </w:rPr>
        <w:t>提供委托账户服务（当中涉及就复杂产品作出建议）</w:t>
      </w:r>
    </w:p>
    <w:p w:rsidR="005D2195" w:rsidRDefault="004A4AA9">
      <w:pPr>
        <w:pStyle w:val="FirstParagraph"/>
        <w:rPr>
          <w:lang w:eastAsia="zh-CN"/>
        </w:rPr>
      </w:pPr>
      <w:r>
        <w:rPr>
          <w:lang w:eastAsia="zh-CN"/>
        </w:rPr>
        <w:t>本规定适用于就复杂产品和非复杂产品提供的意见。但是证监会已厘清遵守《操守准则》第</w:t>
      </w:r>
      <w:r>
        <w:rPr>
          <w:lang w:eastAsia="zh-CN"/>
        </w:rPr>
        <w:t>5.2</w:t>
      </w:r>
      <w:r>
        <w:rPr>
          <w:lang w:eastAsia="zh-CN"/>
        </w:rPr>
        <w:t>段的中介人无需再遵守《操守准则》第</w:t>
      </w:r>
      <w:r>
        <w:rPr>
          <w:lang w:eastAsia="zh-CN"/>
        </w:rPr>
        <w:t>5.5</w:t>
      </w:r>
      <w:r>
        <w:rPr>
          <w:lang w:eastAsia="zh-CN"/>
        </w:rPr>
        <w:t>段规定。中介人必须遵守所有适用的监管规定，当中包括《证监会有关持牌人或注册人遵守为客户提供合理适当建议责任的常见问题》</w:t>
      </w:r>
      <w:hyperlink w:anchor="_ftn10">
        <w:r>
          <w:rPr>
            <w:lang w:eastAsia="zh-CN"/>
          </w:rPr>
          <w:t>[10]</w:t>
        </w:r>
      </w:hyperlink>
      <w:r>
        <w:rPr>
          <w:lang w:eastAsia="zh-CN"/>
        </w:rPr>
        <w:t>。</w:t>
      </w:r>
    </w:p>
    <w:p w:rsidR="005D2195" w:rsidRDefault="004A4AA9">
      <w:pPr>
        <w:pStyle w:val="BodyText"/>
        <w:rPr>
          <w:lang w:eastAsia="zh-CN"/>
        </w:rPr>
      </w:pPr>
      <w:r>
        <w:rPr>
          <w:lang w:eastAsia="zh-CN"/>
        </w:rPr>
        <w:t>相反地，证监会亦厘清了中介人如在并无先前已对客户作出任何招揽或建议的情况下为客户执行复杂产品的交易（即有关客户于非</w:t>
      </w:r>
      <w:r>
        <w:rPr>
          <w:lang w:eastAsia="zh-CN"/>
        </w:rPr>
        <w:t>招揽情况下购买该复杂产品），那么中介人务必遵守《操守准则》第</w:t>
      </w:r>
      <w:r>
        <w:rPr>
          <w:lang w:eastAsia="zh-CN"/>
        </w:rPr>
        <w:t>5.5</w:t>
      </w:r>
      <w:r>
        <w:rPr>
          <w:lang w:eastAsia="zh-CN"/>
        </w:rPr>
        <w:t>段规定。</w:t>
      </w:r>
    </w:p>
    <w:p w:rsidR="005D2195" w:rsidRDefault="004A4AA9">
      <w:pPr>
        <w:pStyle w:val="BodyText"/>
        <w:rPr>
          <w:lang w:eastAsia="zh-CN"/>
        </w:rPr>
      </w:pPr>
      <w:r>
        <w:rPr>
          <w:lang w:eastAsia="zh-CN"/>
        </w:rPr>
        <w:lastRenderedPageBreak/>
        <w:t xml:space="preserve">2. </w:t>
      </w:r>
      <w:r>
        <w:rPr>
          <w:lang w:eastAsia="zh-CN"/>
        </w:rPr>
        <w:t>问题</w:t>
      </w:r>
      <w:r>
        <w:rPr>
          <w:lang w:eastAsia="zh-CN"/>
        </w:rPr>
        <w:t>36</w:t>
      </w:r>
      <w:r>
        <w:rPr>
          <w:lang w:eastAsia="zh-CN"/>
        </w:rPr>
        <w:t>：为购买非复杂产品提供贷款</w:t>
      </w:r>
    </w:p>
    <w:p w:rsidR="005D2195" w:rsidRDefault="004A4AA9">
      <w:pPr>
        <w:pStyle w:val="BodyText"/>
        <w:rPr>
          <w:lang w:eastAsia="zh-CN"/>
        </w:rPr>
      </w:pPr>
      <w:r>
        <w:rPr>
          <w:lang w:eastAsia="zh-CN"/>
        </w:rPr>
        <w:t>《常见问题》重申中介人在断定某项产品是复杂产品或非复杂产品时，应考虑于《指引》第</w:t>
      </w:r>
      <w:r>
        <w:rPr>
          <w:lang w:eastAsia="zh-CN"/>
        </w:rPr>
        <w:t>6.1</w:t>
      </w:r>
      <w:r>
        <w:rPr>
          <w:lang w:eastAsia="zh-CN"/>
        </w:rPr>
        <w:t>段所载列（及《操守准则》第</w:t>
      </w:r>
      <w:r>
        <w:rPr>
          <w:lang w:eastAsia="zh-CN"/>
        </w:rPr>
        <w:t>5.5</w:t>
      </w:r>
      <w:r>
        <w:rPr>
          <w:lang w:eastAsia="zh-CN"/>
        </w:rPr>
        <w:t>段注释中反映）的因素，并查阅于证监会网站刊载的</w:t>
      </w:r>
      <w:r>
        <w:rPr>
          <w:lang w:eastAsia="zh-CN"/>
        </w:rPr>
        <w:t>“</w:t>
      </w:r>
      <w:r>
        <w:rPr>
          <w:lang w:eastAsia="zh-CN"/>
        </w:rPr>
        <w:t>复杂</w:t>
      </w:r>
      <w:r>
        <w:rPr>
          <w:lang w:eastAsia="zh-CN"/>
        </w:rPr>
        <w:t>”</w:t>
      </w:r>
      <w:r>
        <w:rPr>
          <w:lang w:eastAsia="zh-CN"/>
        </w:rPr>
        <w:t>和</w:t>
      </w:r>
      <w:r>
        <w:rPr>
          <w:lang w:eastAsia="zh-CN"/>
        </w:rPr>
        <w:t>“</w:t>
      </w:r>
      <w:r>
        <w:rPr>
          <w:lang w:eastAsia="zh-CN"/>
        </w:rPr>
        <w:t>非复杂</w:t>
      </w:r>
      <w:r>
        <w:rPr>
          <w:lang w:eastAsia="zh-CN"/>
        </w:rPr>
        <w:t>”</w:t>
      </w:r>
      <w:r>
        <w:rPr>
          <w:lang w:eastAsia="zh-CN"/>
        </w:rPr>
        <w:t>产品的非详尽</w:t>
      </w:r>
      <w:r w:rsidRPr="004A4AA9">
        <w:rPr>
          <w:rFonts w:ascii="SimSun" w:eastAsia="SimSun" w:hAnsi="SimSun" w:cs="SimSun" w:hint="eastAsia"/>
          <w:lang w:eastAsia="zh-CN"/>
        </w:rPr>
        <w:t>无遗</w:t>
      </w:r>
      <w:r>
        <w:rPr>
          <w:lang w:eastAsia="zh-CN"/>
        </w:rPr>
        <w:t>例子列表。</w:t>
      </w:r>
    </w:p>
    <w:p w:rsidR="005D2195" w:rsidRDefault="004A4AA9">
      <w:pPr>
        <w:pStyle w:val="BodyText"/>
        <w:rPr>
          <w:lang w:eastAsia="zh-CN"/>
        </w:rPr>
      </w:pPr>
      <w:r>
        <w:rPr>
          <w:lang w:eastAsia="zh-CN"/>
        </w:rPr>
        <w:t>《常见问题》问题</w:t>
      </w:r>
      <w:r>
        <w:rPr>
          <w:lang w:eastAsia="zh-CN"/>
        </w:rPr>
        <w:t>36</w:t>
      </w:r>
      <w:r>
        <w:rPr>
          <w:lang w:eastAsia="zh-CN"/>
        </w:rPr>
        <w:t>厘清假如中介人向客户提供贷款以便客户购买非复杂产品（例如在港交所上市的股票），那么提供贷款不会令非复杂产品转变为复杂产品，原因是贷款不会改变投资产品本身的条款、特点和</w:t>
      </w:r>
      <w:r>
        <w:rPr>
          <w:lang w:eastAsia="zh-CN"/>
        </w:rPr>
        <w:t>风险。因此为利便客户购买非复杂产品或就非复杂产品进行杠杆交易而提供贷款的中介人无需遵守《指引》第</w:t>
      </w:r>
      <w:r>
        <w:rPr>
          <w:lang w:eastAsia="zh-CN"/>
        </w:rPr>
        <w:t>6</w:t>
      </w:r>
      <w:r>
        <w:rPr>
          <w:lang w:eastAsia="zh-CN"/>
        </w:rPr>
        <w:t>章及《操守准则》第</w:t>
      </w:r>
      <w:r>
        <w:rPr>
          <w:lang w:eastAsia="zh-CN"/>
        </w:rPr>
        <w:t>5.5</w:t>
      </w:r>
      <w:r>
        <w:rPr>
          <w:lang w:eastAsia="zh-CN"/>
        </w:rPr>
        <w:t>段的规定。</w:t>
      </w:r>
    </w:p>
    <w:p w:rsidR="005D2195" w:rsidRDefault="004A4AA9">
      <w:pPr>
        <w:pStyle w:val="BodyText"/>
        <w:rPr>
          <w:lang w:eastAsia="zh-CN"/>
        </w:rPr>
      </w:pPr>
      <w:r>
        <w:rPr>
          <w:lang w:eastAsia="zh-CN"/>
        </w:rPr>
        <w:t>但是中介人仍须遵守所有其他适用法例及监管规定，例如《操守准则》第</w:t>
      </w:r>
      <w:r>
        <w:rPr>
          <w:lang w:eastAsia="zh-CN"/>
        </w:rPr>
        <w:t>5.3</w:t>
      </w:r>
      <w:r>
        <w:rPr>
          <w:lang w:eastAsia="zh-CN"/>
        </w:rPr>
        <w:t>段的规定，即确保客户已明白该产品的性质及所涉风险，并有经济能力承担该等风险以及因买卖该产品而可能招致的损失。</w:t>
      </w:r>
    </w:p>
    <w:p w:rsidR="005D2195" w:rsidRDefault="004A4AA9">
      <w:pPr>
        <w:pStyle w:val="BodyText"/>
        <w:rPr>
          <w:lang w:eastAsia="zh-CN"/>
        </w:rPr>
      </w:pPr>
      <w:r>
        <w:rPr>
          <w:lang w:eastAsia="zh-CN"/>
        </w:rPr>
        <w:t>就证券保证金融资活动而言，证监会亦重申持牌法团须遵守《操守准则》附表</w:t>
      </w:r>
      <w:r>
        <w:rPr>
          <w:lang w:eastAsia="zh-CN"/>
        </w:rPr>
        <w:t>5</w:t>
      </w:r>
      <w:r>
        <w:rPr>
          <w:lang w:eastAsia="zh-CN"/>
        </w:rPr>
        <w:t>及《证券保证金融资活动指引》</w:t>
      </w:r>
      <w:hyperlink w:anchor="_ftn11">
        <w:r>
          <w:rPr>
            <w:lang w:eastAsia="zh-CN"/>
          </w:rPr>
          <w:t>[11]</w:t>
        </w:r>
      </w:hyperlink>
      <w:r>
        <w:rPr>
          <w:lang w:eastAsia="zh-CN"/>
        </w:rPr>
        <w:t>的有关规定。</w:t>
      </w:r>
    </w:p>
    <w:p w:rsidR="005D2195" w:rsidRDefault="004A4AA9">
      <w:pPr>
        <w:pStyle w:val="BodyText"/>
        <w:rPr>
          <w:lang w:eastAsia="zh-CN"/>
        </w:rPr>
      </w:pPr>
      <w:r>
        <w:rPr>
          <w:lang w:eastAsia="zh-CN"/>
        </w:rPr>
        <w:t xml:space="preserve">3. </w:t>
      </w:r>
      <w:r>
        <w:rPr>
          <w:lang w:eastAsia="zh-CN"/>
        </w:rPr>
        <w:t>问题</w:t>
      </w:r>
      <w:r>
        <w:rPr>
          <w:lang w:eastAsia="zh-CN"/>
        </w:rPr>
        <w:t>37</w:t>
      </w:r>
      <w:r>
        <w:rPr>
          <w:lang w:eastAsia="zh-CN"/>
        </w:rPr>
        <w:t>：涉及</w:t>
      </w:r>
      <w:r>
        <w:rPr>
          <w:lang w:eastAsia="zh-CN"/>
        </w:rPr>
        <w:t>多重合约关系的复杂产品交易</w:t>
      </w:r>
    </w:p>
    <w:p w:rsidR="005D2195" w:rsidRDefault="004A4AA9">
      <w:pPr>
        <w:pStyle w:val="BodyText"/>
        <w:rPr>
          <w:lang w:eastAsia="zh-CN"/>
        </w:rPr>
      </w:pPr>
      <w:r>
        <w:rPr>
          <w:lang w:eastAsia="zh-CN"/>
        </w:rPr>
        <w:t>本问题考虑了两种特定情境，当中客户与两个不同实体建立合约关系，即：</w:t>
      </w:r>
    </w:p>
    <w:p w:rsidR="005D2195" w:rsidRDefault="004A4AA9">
      <w:pPr>
        <w:pStyle w:val="Compact"/>
        <w:numPr>
          <w:ilvl w:val="0"/>
          <w:numId w:val="5"/>
        </w:numPr>
        <w:rPr>
          <w:lang w:eastAsia="zh-CN"/>
        </w:rPr>
      </w:pPr>
      <w:r>
        <w:rPr>
          <w:lang w:eastAsia="zh-CN"/>
        </w:rPr>
        <w:t>其中一个实体以投资顾问的身分提供投资意见，或以资产管理公司的身分为客户管理委托投资组合；及</w:t>
      </w:r>
    </w:p>
    <w:p w:rsidR="005D2195" w:rsidRDefault="004A4AA9">
      <w:pPr>
        <w:pStyle w:val="Compact"/>
        <w:numPr>
          <w:ilvl w:val="0"/>
          <w:numId w:val="5"/>
        </w:numPr>
        <w:rPr>
          <w:lang w:eastAsia="zh-CN"/>
        </w:rPr>
      </w:pPr>
      <w:r>
        <w:rPr>
          <w:lang w:eastAsia="zh-CN"/>
        </w:rPr>
        <w:t>另一实体以执行买卖盘的经纪的身分，透过执行投资顾问或资产管理公司代表客户发出的买卖盘，向客户提供买卖盘执行服务。</w:t>
      </w:r>
    </w:p>
    <w:p w:rsidR="005D2195" w:rsidRDefault="004A4AA9">
      <w:pPr>
        <w:pStyle w:val="FirstParagraph"/>
      </w:pPr>
      <w:r>
        <w:t>上述的两种情境为：</w:t>
      </w:r>
    </w:p>
    <w:p w:rsidR="005D2195" w:rsidRDefault="004A4AA9">
      <w:pPr>
        <w:pStyle w:val="Compact"/>
        <w:numPr>
          <w:ilvl w:val="0"/>
          <w:numId w:val="6"/>
        </w:numPr>
        <w:rPr>
          <w:lang w:eastAsia="zh-CN"/>
        </w:rPr>
      </w:pPr>
      <w:r>
        <w:rPr>
          <w:lang w:eastAsia="zh-CN"/>
        </w:rPr>
        <w:t>双方，即投资顾问或资产管理公司及执行买卖盘的经纪为：</w:t>
      </w:r>
    </w:p>
    <w:p w:rsidR="005D2195" w:rsidRDefault="004A4AA9">
      <w:pPr>
        <w:pStyle w:val="Compact"/>
        <w:numPr>
          <w:ilvl w:val="1"/>
          <w:numId w:val="7"/>
        </w:numPr>
        <w:rPr>
          <w:lang w:eastAsia="zh-CN"/>
        </w:rPr>
      </w:pPr>
      <w:r>
        <w:rPr>
          <w:lang w:eastAsia="zh-CN"/>
        </w:rPr>
        <w:t>同一家金融机构的两个不同分支机构，或同一金融集团内的两个不同的法律实体；及</w:t>
      </w:r>
    </w:p>
    <w:p w:rsidR="005D2195" w:rsidRDefault="004A4AA9">
      <w:pPr>
        <w:pStyle w:val="Compact"/>
        <w:numPr>
          <w:ilvl w:val="1"/>
          <w:numId w:val="7"/>
        </w:numPr>
        <w:rPr>
          <w:lang w:eastAsia="zh-CN"/>
        </w:rPr>
      </w:pPr>
      <w:r>
        <w:rPr>
          <w:lang w:eastAsia="zh-CN"/>
        </w:rPr>
        <w:t>双方以不同的司法管辖区作为根据地（例如投资顾问或资产管理公司</w:t>
      </w:r>
      <w:r>
        <w:rPr>
          <w:lang w:eastAsia="zh-CN"/>
        </w:rPr>
        <w:t>以新加坡作为根据地，而执行买卖盘的经纪则以香港作为根据地）；及</w:t>
      </w:r>
    </w:p>
    <w:p w:rsidR="005D2195" w:rsidRDefault="004A4AA9">
      <w:pPr>
        <w:pStyle w:val="Compact"/>
        <w:numPr>
          <w:ilvl w:val="0"/>
          <w:numId w:val="6"/>
        </w:numPr>
        <w:rPr>
          <w:lang w:eastAsia="zh-CN"/>
        </w:rPr>
      </w:pPr>
      <w:r>
        <w:rPr>
          <w:lang w:eastAsia="zh-CN"/>
        </w:rPr>
        <w:t>投资顾问或资产管理公司及执行买卖盘的经纪是不同的法律实体，彼此无任何集团关系，而所有各方或只有执行买卖盘的经纪以香港作为根据地。</w:t>
      </w:r>
    </w:p>
    <w:p w:rsidR="005D2195" w:rsidRDefault="004A4AA9">
      <w:pPr>
        <w:pStyle w:val="FirstParagraph"/>
        <w:rPr>
          <w:lang w:eastAsia="zh-CN"/>
        </w:rPr>
      </w:pPr>
      <w:r>
        <w:rPr>
          <w:lang w:eastAsia="zh-CN"/>
        </w:rPr>
        <w:t>根据证监会发布的《指引》，执行买卖盘的经纪如果是代表客户执行复杂产品的交易，那么该经纪</w:t>
      </w:r>
      <w:r w:rsidRPr="004A4AA9">
        <w:rPr>
          <w:u w:val="single"/>
          <w:lang w:eastAsia="zh-CN"/>
        </w:rPr>
        <w:t>无需</w:t>
      </w:r>
      <w:r>
        <w:rPr>
          <w:lang w:eastAsia="zh-CN"/>
        </w:rPr>
        <w:t>遵守《指引》第</w:t>
      </w:r>
      <w:r>
        <w:rPr>
          <w:lang w:eastAsia="zh-CN"/>
        </w:rPr>
        <w:t>6</w:t>
      </w:r>
      <w:r>
        <w:rPr>
          <w:lang w:eastAsia="zh-CN"/>
        </w:rPr>
        <w:t>章及《操守准则》第</w:t>
      </w:r>
      <w:r>
        <w:rPr>
          <w:lang w:eastAsia="zh-CN"/>
        </w:rPr>
        <w:t>5.5</w:t>
      </w:r>
      <w:r>
        <w:rPr>
          <w:lang w:eastAsia="zh-CN"/>
        </w:rPr>
        <w:t>段中适用于复杂产品的规定，但前提是：</w:t>
      </w:r>
    </w:p>
    <w:p w:rsidR="005D2195" w:rsidRDefault="004A4AA9">
      <w:pPr>
        <w:pStyle w:val="Compact"/>
        <w:numPr>
          <w:ilvl w:val="0"/>
          <w:numId w:val="8"/>
        </w:numPr>
        <w:rPr>
          <w:lang w:eastAsia="zh-CN"/>
        </w:rPr>
      </w:pPr>
      <w:r>
        <w:rPr>
          <w:lang w:eastAsia="zh-CN"/>
        </w:rPr>
        <w:t>投资顾问或资产管理公司获证监会发牌或在证监会注册（或由其提供投资咨询或委托投资组合管理服务所在的海外司法管辖区的银行或证券监管机构所规管）；</w:t>
      </w:r>
    </w:p>
    <w:p w:rsidR="005D2195" w:rsidRDefault="004A4AA9">
      <w:pPr>
        <w:pStyle w:val="Compact"/>
        <w:numPr>
          <w:ilvl w:val="0"/>
          <w:numId w:val="8"/>
        </w:numPr>
        <w:rPr>
          <w:lang w:eastAsia="zh-CN"/>
        </w:rPr>
      </w:pPr>
      <w:r>
        <w:rPr>
          <w:lang w:eastAsia="zh-CN"/>
        </w:rPr>
        <w:t>执行买卖盘的经纪仅向客户提供买卖盘执行和托管服务，日常不会与客户联络或直接沟通（例如，执行买卖盘的经纪不会就客户的买卖提供意见、</w:t>
      </w:r>
      <w:r>
        <w:rPr>
          <w:rFonts w:asciiTheme="minorEastAsia" w:eastAsiaTheme="minorEastAsia" w:hAnsiTheme="minorEastAsia" w:hint="eastAsia"/>
          <w:lang w:eastAsia="zh-CN"/>
        </w:rPr>
        <w:t>不会</w:t>
      </w:r>
      <w:r>
        <w:rPr>
          <w:lang w:eastAsia="zh-CN"/>
        </w:rPr>
        <w:t>管理客户的投资组合、</w:t>
      </w:r>
      <w:r>
        <w:rPr>
          <w:rFonts w:asciiTheme="minorEastAsia" w:eastAsiaTheme="minorEastAsia" w:hAnsiTheme="minorEastAsia" w:hint="eastAsia"/>
          <w:lang w:eastAsia="zh-CN"/>
        </w:rPr>
        <w:t>不会</w:t>
      </w:r>
      <w:r>
        <w:rPr>
          <w:lang w:eastAsia="zh-CN"/>
        </w:rPr>
        <w:t>处理客户就复杂产品所作出的查询或买卖复杂产品的要求）；</w:t>
      </w:r>
    </w:p>
    <w:p w:rsidR="005D2195" w:rsidRDefault="004A4AA9">
      <w:pPr>
        <w:pStyle w:val="Compact"/>
        <w:numPr>
          <w:ilvl w:val="0"/>
          <w:numId w:val="8"/>
        </w:numPr>
        <w:rPr>
          <w:lang w:eastAsia="zh-CN"/>
        </w:rPr>
      </w:pPr>
      <w:r>
        <w:rPr>
          <w:lang w:eastAsia="zh-CN"/>
        </w:rPr>
        <w:t>执行买卖盘的经纪已与投资顾问或资产管理公司就以下事项达成书面协议：</w:t>
      </w:r>
    </w:p>
    <w:p w:rsidR="005D2195" w:rsidRDefault="004A4AA9">
      <w:pPr>
        <w:pStyle w:val="Compact"/>
        <w:numPr>
          <w:ilvl w:val="1"/>
          <w:numId w:val="9"/>
        </w:numPr>
        <w:rPr>
          <w:lang w:eastAsia="zh-CN"/>
        </w:rPr>
      </w:pPr>
      <w:r>
        <w:rPr>
          <w:lang w:eastAsia="zh-CN"/>
        </w:rPr>
        <w:t>就受到海外规管的投资顾问或资产管理公司而言，该投资顾问或资产管理公司在传送有待执行的客户买卖盘前，有责任遵从该海外司法管辖区的适用规定；</w:t>
      </w:r>
    </w:p>
    <w:p w:rsidR="005D2195" w:rsidRDefault="004A4AA9">
      <w:pPr>
        <w:pStyle w:val="Compact"/>
        <w:numPr>
          <w:ilvl w:val="1"/>
          <w:numId w:val="9"/>
        </w:numPr>
        <w:rPr>
          <w:lang w:eastAsia="zh-CN"/>
        </w:rPr>
      </w:pPr>
      <w:r>
        <w:rPr>
          <w:lang w:eastAsia="zh-CN"/>
        </w:rPr>
        <w:t>就在证监会获发牌或在证监会注册的投资顾问或资产管理公司而言，该投资顾问或资产管理公司在传送有待执行的客</w:t>
      </w:r>
      <w:r>
        <w:rPr>
          <w:lang w:eastAsia="zh-CN"/>
        </w:rPr>
        <w:t>户买卖盘前，有责任遵从有关复杂产品交易对该客户的合适性及提供充足的产品资料和清晰的警告声明的规定；</w:t>
      </w:r>
    </w:p>
    <w:p w:rsidR="005D2195" w:rsidRDefault="004A4AA9">
      <w:pPr>
        <w:pStyle w:val="Compact"/>
        <w:numPr>
          <w:ilvl w:val="1"/>
          <w:numId w:val="9"/>
        </w:numPr>
        <w:rPr>
          <w:lang w:eastAsia="zh-CN"/>
        </w:rPr>
      </w:pPr>
      <w:r>
        <w:rPr>
          <w:lang w:eastAsia="zh-CN"/>
        </w:rPr>
        <w:t>执行买卖盘的经纪不负责确保达到上文</w:t>
      </w:r>
      <w:r>
        <w:rPr>
          <w:lang w:eastAsia="zh-CN"/>
        </w:rPr>
        <w:t>(b)</w:t>
      </w:r>
      <w:r>
        <w:rPr>
          <w:lang w:eastAsia="zh-CN"/>
        </w:rPr>
        <w:t>段中提述的规定；及</w:t>
      </w:r>
    </w:p>
    <w:p w:rsidR="005D2195" w:rsidRDefault="004A4AA9">
      <w:pPr>
        <w:pStyle w:val="Compact"/>
        <w:numPr>
          <w:ilvl w:val="0"/>
          <w:numId w:val="8"/>
        </w:numPr>
        <w:rPr>
          <w:lang w:eastAsia="zh-CN"/>
        </w:rPr>
      </w:pPr>
      <w:r>
        <w:rPr>
          <w:lang w:eastAsia="zh-CN"/>
        </w:rPr>
        <w:t>执行买卖盘的经纪已确保客户以书面方式获告知上文第</w:t>
      </w:r>
      <w:r>
        <w:rPr>
          <w:lang w:eastAsia="zh-CN"/>
        </w:rPr>
        <w:t>(ⅱ)</w:t>
      </w:r>
      <w:r>
        <w:rPr>
          <w:lang w:eastAsia="zh-CN"/>
        </w:rPr>
        <w:t>段和第</w:t>
      </w:r>
      <w:r>
        <w:rPr>
          <w:lang w:eastAsia="zh-CN"/>
        </w:rPr>
        <w:t>(ⅲ)</w:t>
      </w:r>
      <w:r>
        <w:rPr>
          <w:lang w:eastAsia="zh-CN"/>
        </w:rPr>
        <w:t>段所提述的安排。</w:t>
      </w:r>
    </w:p>
    <w:p w:rsidR="005D2195" w:rsidRDefault="004A4AA9">
      <w:pPr>
        <w:pStyle w:val="FirstParagraph"/>
        <w:rPr>
          <w:lang w:eastAsia="zh-CN"/>
        </w:rPr>
      </w:pPr>
      <w:r>
        <w:rPr>
          <w:lang w:eastAsia="zh-CN"/>
        </w:rPr>
        <w:lastRenderedPageBreak/>
        <w:t>一旦客户依据上述第</w:t>
      </w:r>
      <w:r>
        <w:rPr>
          <w:lang w:eastAsia="zh-CN"/>
        </w:rPr>
        <w:t>(ⅳ)</w:t>
      </w:r>
      <w:r>
        <w:rPr>
          <w:lang w:eastAsia="zh-CN"/>
        </w:rPr>
        <w:t>段获告知有关安排，之后执行买卖盘的经纪便无需再为同一客户执行的毎宗交易重复作出有关安排和通知。但如上述安排有任何变更，执行买卖盘的经纪务必确保客户及时以书面方式获告知最新情况。</w:t>
      </w:r>
    </w:p>
    <w:p w:rsidR="005D2195" w:rsidRDefault="004A4AA9">
      <w:pPr>
        <w:pStyle w:val="BodyText"/>
        <w:rPr>
          <w:lang w:eastAsia="zh-CN"/>
        </w:rPr>
      </w:pPr>
      <w:r>
        <w:rPr>
          <w:lang w:eastAsia="zh-CN"/>
        </w:rPr>
        <w:t>证监会的《指引》仅适用于上述所列出的两种特定情境，但却不适用于客户</w:t>
      </w:r>
      <w:r>
        <w:rPr>
          <w:lang w:eastAsia="zh-CN"/>
        </w:rPr>
        <w:t>直接咨询执行买卖盘的经纪（即在非招揽情况下）并要求购买复杂产品的情境。如执行买卖盘的经纪执行了该项交易，其必须遵从《指引》第</w:t>
      </w:r>
      <w:r>
        <w:rPr>
          <w:lang w:eastAsia="zh-CN"/>
        </w:rPr>
        <w:t>6</w:t>
      </w:r>
      <w:r>
        <w:rPr>
          <w:lang w:eastAsia="zh-CN"/>
        </w:rPr>
        <w:t>章及《操守准则》第</w:t>
      </w:r>
      <w:r>
        <w:rPr>
          <w:lang w:eastAsia="zh-CN"/>
        </w:rPr>
        <w:t>5.5</w:t>
      </w:r>
      <w:r>
        <w:rPr>
          <w:lang w:eastAsia="zh-CN"/>
        </w:rPr>
        <w:t>段的规定。</w:t>
      </w:r>
    </w:p>
    <w:p w:rsidR="005D2195" w:rsidRDefault="004A4AA9">
      <w:pPr>
        <w:pStyle w:val="BodyText"/>
        <w:rPr>
          <w:lang w:eastAsia="zh-CN"/>
        </w:rPr>
      </w:pPr>
      <w:r>
        <w:rPr>
          <w:lang w:eastAsia="zh-CN"/>
        </w:rPr>
        <w:t>证监会指出断定执行买卖盘的经纪是否需要遵从《指引》及《操守准则》的规定是一个关乎事实的问题，务必根据所涉个案情况进行评估。证监会进一步强调上述各项安排不得用于规避符合相关规定的要求，并且如果出现任何试图规避规定的情况，证监会将会毫不犹疑地对没有以诚实和廉洁的态度维护客户最佳利益的持牌人或注册人采取监管行动。</w:t>
      </w:r>
    </w:p>
    <w:p w:rsidR="005D2195" w:rsidRDefault="004A4AA9">
      <w:pPr>
        <w:pStyle w:val="BodyText"/>
        <w:rPr>
          <w:lang w:eastAsia="zh-CN"/>
        </w:rPr>
      </w:pPr>
      <w:r>
        <w:rPr>
          <w:lang w:eastAsia="zh-CN"/>
        </w:rPr>
        <w:t xml:space="preserve">4. </w:t>
      </w:r>
      <w:r>
        <w:rPr>
          <w:lang w:eastAsia="zh-CN"/>
        </w:rPr>
        <w:t>问题</w:t>
      </w:r>
      <w:r>
        <w:rPr>
          <w:lang w:eastAsia="zh-CN"/>
        </w:rPr>
        <w:t>38</w:t>
      </w:r>
      <w:r>
        <w:rPr>
          <w:lang w:eastAsia="zh-CN"/>
        </w:rPr>
        <w:t>：在招揽或建议情况下重复购</w:t>
      </w:r>
      <w:r>
        <w:rPr>
          <w:lang w:eastAsia="zh-CN"/>
        </w:rPr>
        <w:t>买复杂产品</w:t>
      </w:r>
    </w:p>
    <w:p w:rsidR="005D2195" w:rsidRDefault="004A4AA9">
      <w:pPr>
        <w:pStyle w:val="BodyText"/>
        <w:rPr>
          <w:lang w:eastAsia="zh-CN"/>
        </w:rPr>
      </w:pPr>
      <w:r>
        <w:rPr>
          <w:lang w:eastAsia="zh-CN"/>
        </w:rPr>
        <w:t>如上所述，中介人必须遵守就客户在其作出招揽或建议的情况下购买复杂产品适用的规定，包括向客户提供充足的产品资料、向客户解释有关投资产品的性质与潜在风险、披露产品资料及提供有关该产品的警告声明。此问题是关于持牌或已注册的中介人在</w:t>
      </w:r>
      <w:r>
        <w:rPr>
          <w:rFonts w:asciiTheme="minorEastAsia" w:eastAsiaTheme="minorEastAsia" w:hAnsiTheme="minorEastAsia" w:hint="eastAsia"/>
          <w:lang w:eastAsia="zh-CN"/>
        </w:rPr>
        <w:t>以</w:t>
      </w:r>
      <w:bookmarkStart w:id="3" w:name="_GoBack"/>
      <w:bookmarkEnd w:id="3"/>
      <w:r>
        <w:rPr>
          <w:lang w:eastAsia="zh-CN"/>
        </w:rPr>
        <w:t>下情况是否获准采纳风险为本的方法：</w:t>
      </w:r>
    </w:p>
    <w:p w:rsidR="005D2195" w:rsidRDefault="004A4AA9">
      <w:pPr>
        <w:pStyle w:val="Compact"/>
        <w:numPr>
          <w:ilvl w:val="0"/>
          <w:numId w:val="10"/>
        </w:numPr>
        <w:rPr>
          <w:lang w:eastAsia="zh-CN"/>
        </w:rPr>
      </w:pPr>
      <w:r>
        <w:rPr>
          <w:lang w:eastAsia="zh-CN"/>
        </w:rPr>
        <w:t>客户在招揽或建议的情况下重复购买相同或同一种类投资产品时，披露产品资料（包括就有关投资产品及其性质与风险程度向客户提供解释）；或</w:t>
      </w:r>
    </w:p>
    <w:p w:rsidR="005D2195" w:rsidRDefault="004A4AA9">
      <w:pPr>
        <w:pStyle w:val="Compact"/>
        <w:numPr>
          <w:ilvl w:val="0"/>
          <w:numId w:val="10"/>
        </w:numPr>
        <w:rPr>
          <w:lang w:eastAsia="zh-CN"/>
        </w:rPr>
      </w:pPr>
      <w:r>
        <w:rPr>
          <w:lang w:eastAsia="zh-CN"/>
        </w:rPr>
        <w:t>客户重复购买相同或同一种类复杂产品时，就该项交易披露产品资料及提供警告声明，以遵守《操守准则》第</w:t>
      </w:r>
      <w:r>
        <w:rPr>
          <w:lang w:eastAsia="zh-CN"/>
        </w:rPr>
        <w:t>5.5</w:t>
      </w:r>
      <w:r>
        <w:rPr>
          <w:lang w:eastAsia="zh-CN"/>
        </w:rPr>
        <w:t>段。</w:t>
      </w:r>
    </w:p>
    <w:p w:rsidR="005D2195" w:rsidRDefault="004A4AA9">
      <w:pPr>
        <w:pStyle w:val="FirstParagraph"/>
        <w:rPr>
          <w:lang w:eastAsia="zh-CN"/>
        </w:rPr>
      </w:pPr>
      <w:r>
        <w:rPr>
          <w:lang w:eastAsia="zh-CN"/>
        </w:rPr>
        <w:t>答案指出鉴于披露的目的是要确保客户对其想要购买的产品有必要了解，中介人应根据每项交易作出上述解释和披露。因此，证监会厘清中介人在顾及有关客户的交易模式、知识水平和投资经验，以及该项产品的复杂程度和风险等因素后，可以采纳风险为本的方法。</w:t>
      </w:r>
    </w:p>
    <w:p w:rsidR="005D2195" w:rsidRDefault="004A4AA9">
      <w:pPr>
        <w:pStyle w:val="BodyText"/>
        <w:rPr>
          <w:lang w:eastAsia="zh-CN"/>
        </w:rPr>
      </w:pPr>
      <w:r>
        <w:rPr>
          <w:lang w:eastAsia="zh-CN"/>
        </w:rPr>
        <w:t>证监会进一步厘清中介人可就重复购买设计其本身的风险披露程序，前提是中介人（经考虑其过往向客户所作出的披露是否足够和有效后）可以合理地信纳有关客户已充分了解该产品。证监会亦强调就相关披露备存妥善纪录的重要性，以便中介人可在被要求时显示已在过往的交易中向有关客户作出了妥善的披露。</w:t>
      </w:r>
    </w:p>
    <w:p w:rsidR="005D2195" w:rsidRDefault="004A4AA9">
      <w:pPr>
        <w:pStyle w:val="BodyText"/>
        <w:rPr>
          <w:lang w:eastAsia="zh-CN"/>
        </w:rPr>
      </w:pPr>
      <w:r>
        <w:rPr>
          <w:lang w:eastAsia="zh-CN"/>
        </w:rPr>
        <w:t>就同一种类的复杂产品而言，证监会提醒虽然产品被归入同一种类，但由于这些产品的结构、风险、条款及条件等因素可能有分别，中介人在设计有关风险披露程序时应审慎行事。</w:t>
      </w:r>
    </w:p>
    <w:p w:rsidR="005D2195" w:rsidRDefault="004A4AA9">
      <w:r>
        <w:pict>
          <v:rect id="_x0000_i1025" style="width:0;height:1.5pt" o:hralign="center" o:hrstd="t" o:hr="t"/>
        </w:pict>
      </w:r>
    </w:p>
    <w:p w:rsidR="005D2195" w:rsidRDefault="004A4AA9">
      <w:pPr>
        <w:pStyle w:val="FirstParagraph"/>
      </w:pPr>
      <w:hyperlink w:anchor="_ftnref1">
        <w:r>
          <w:t>[1]</w:t>
        </w:r>
      </w:hyperlink>
      <w:r>
        <w:t xml:space="preserve"> </w:t>
      </w:r>
      <w:r>
        <w:t>证券与期货事务监察委员会：</w:t>
      </w:r>
      <w:hyperlink r:id="rId8">
        <w:r>
          <w:t>https://sc.sfc.hk/gb/www.sfc.hk/web/TC/index.html</w:t>
        </w:r>
      </w:hyperlink>
    </w:p>
    <w:p w:rsidR="005D2195" w:rsidRDefault="004A4AA9">
      <w:pPr>
        <w:pStyle w:val="BodyText"/>
        <w:rPr>
          <w:lang w:eastAsia="zh-CN"/>
        </w:rPr>
      </w:pPr>
      <w:hyperlink w:anchor="_ftnref2">
        <w:r>
          <w:rPr>
            <w:lang w:eastAsia="zh-CN"/>
          </w:rPr>
          <w:t>[2]</w:t>
        </w:r>
      </w:hyperlink>
      <w:r>
        <w:rPr>
          <w:lang w:eastAsia="zh-CN"/>
        </w:rPr>
        <w:t>《致中介人的通函</w:t>
      </w:r>
      <w:r>
        <w:rPr>
          <w:lang w:eastAsia="zh-CN"/>
        </w:rPr>
        <w:t>-</w:t>
      </w:r>
      <w:r>
        <w:rPr>
          <w:lang w:eastAsia="zh-CN"/>
        </w:rPr>
        <w:t>就网上及非网上销售复杂产品实施监管规定》：</w:t>
      </w:r>
      <w:r>
        <w:rPr>
          <w:lang w:eastAsia="zh-CN"/>
        </w:rPr>
        <w:t xml:space="preserve"> </w:t>
      </w:r>
      <w:hyperlink r:id="rId9">
        <w:r>
          <w:rPr>
            <w:lang w:eastAsia="zh-CN"/>
          </w:rPr>
          <w:t>https://sc.sfc.hk/gb/www.sfc.hk/edistributionWeb/gateway/TC/circular/suitability</w:t>
        </w:r>
        <w:r>
          <w:rPr>
            <w:lang w:eastAsia="zh-CN"/>
          </w:rPr>
          <w:t>/doc?refNo=19EC42</w:t>
        </w:r>
      </w:hyperlink>
    </w:p>
    <w:p w:rsidR="005D2195" w:rsidRDefault="004A4AA9">
      <w:pPr>
        <w:pStyle w:val="BodyText"/>
        <w:rPr>
          <w:lang w:eastAsia="zh-CN"/>
        </w:rPr>
      </w:pPr>
      <w:hyperlink w:anchor="_ftnref3">
        <w:r>
          <w:rPr>
            <w:lang w:eastAsia="zh-CN"/>
          </w:rPr>
          <w:t>[3]</w:t>
        </w:r>
      </w:hyperlink>
      <w:r>
        <w:rPr>
          <w:lang w:eastAsia="zh-CN"/>
        </w:rPr>
        <w:t>《网上分销及投资咨询平台指引》（《指引》）及《操守准则》第</w:t>
      </w:r>
      <w:r>
        <w:rPr>
          <w:lang w:eastAsia="zh-CN"/>
        </w:rPr>
        <w:t>5.5</w:t>
      </w:r>
      <w:r>
        <w:rPr>
          <w:lang w:eastAsia="zh-CN"/>
        </w:rPr>
        <w:t>段</w:t>
      </w:r>
      <w:r>
        <w:rPr>
          <w:lang w:eastAsia="zh-CN"/>
        </w:rPr>
        <w:t>-</w:t>
      </w:r>
      <w:r>
        <w:rPr>
          <w:lang w:eastAsia="zh-CN"/>
        </w:rPr>
        <w:t>附录《常见问题》：</w:t>
      </w:r>
      <w:r>
        <w:rPr>
          <w:lang w:eastAsia="zh-CN"/>
        </w:rPr>
        <w:t xml:space="preserve"> </w:t>
      </w:r>
      <w:hyperlink r:id="rId10">
        <w:r>
          <w:rPr>
            <w:lang w:eastAsia="zh-CN"/>
          </w:rPr>
          <w:t>https://sc.sfc.hk/gb/ww</w:t>
        </w:r>
        <w:r>
          <w:rPr>
            <w:lang w:eastAsia="zh-CN"/>
          </w:rPr>
          <w:t>w.sfc.hk/edistributionWeb/gateway/TC/circular/suitability/openAppendix?refNo=19EC42&amp;appendix=0</w:t>
        </w:r>
      </w:hyperlink>
    </w:p>
    <w:p w:rsidR="005D2195" w:rsidRDefault="004A4AA9">
      <w:pPr>
        <w:pStyle w:val="BodyText"/>
        <w:rPr>
          <w:lang w:eastAsia="zh-CN"/>
        </w:rPr>
      </w:pPr>
      <w:hyperlink w:anchor="_ftnref4">
        <w:r>
          <w:rPr>
            <w:lang w:eastAsia="zh-CN"/>
          </w:rPr>
          <w:t>[4]</w:t>
        </w:r>
      </w:hyperlink>
      <w:r>
        <w:rPr>
          <w:lang w:eastAsia="zh-CN"/>
        </w:rPr>
        <w:t>《网上分销及投资咨询平台指引》：</w:t>
      </w:r>
      <w:r>
        <w:rPr>
          <w:lang w:eastAsia="zh-CN"/>
        </w:rPr>
        <w:t xml:space="preserve"> </w:t>
      </w:r>
      <w:hyperlink r:id="rId11">
        <w:r>
          <w:rPr>
            <w:lang w:eastAsia="zh-CN"/>
          </w:rPr>
          <w:t>https://www.sfc.hk/web/TC/assets/components/codes/files-current/zh-hant/guidelines/guidelines-on-online-distribution-and-advisory-platforms/guidel</w:t>
        </w:r>
        <w:r>
          <w:rPr>
            <w:lang w:eastAsia="zh-CN"/>
          </w:rPr>
          <w:t>ines-on-online-distribution-and-advisory-platforms.pdf</w:t>
        </w:r>
      </w:hyperlink>
    </w:p>
    <w:p w:rsidR="005D2195" w:rsidRDefault="004A4AA9">
      <w:pPr>
        <w:pStyle w:val="BodyText"/>
        <w:rPr>
          <w:lang w:eastAsia="zh-CN"/>
        </w:rPr>
      </w:pPr>
      <w:hyperlink w:anchor="_ftnref5">
        <w:r>
          <w:rPr>
            <w:lang w:eastAsia="zh-CN"/>
          </w:rPr>
          <w:t>[5]</w:t>
        </w:r>
      </w:hyperlink>
      <w:r>
        <w:rPr>
          <w:lang w:eastAsia="zh-CN"/>
        </w:rPr>
        <w:t>《致中介人的通函</w:t>
      </w:r>
      <w:r>
        <w:rPr>
          <w:lang w:eastAsia="zh-CN"/>
        </w:rPr>
        <w:t>-</w:t>
      </w:r>
      <w:r>
        <w:rPr>
          <w:lang w:eastAsia="zh-CN"/>
        </w:rPr>
        <w:t>落实网上平台指引及适用于复杂产品的非网上销售规定》：</w:t>
      </w:r>
      <w:r>
        <w:rPr>
          <w:lang w:eastAsia="zh-CN"/>
        </w:rPr>
        <w:t xml:space="preserve"> </w:t>
      </w:r>
      <w:hyperlink r:id="rId12">
        <w:r>
          <w:rPr>
            <w:lang w:eastAsia="zh-CN"/>
          </w:rPr>
          <w:t>https://sc.sfc</w:t>
        </w:r>
        <w:r>
          <w:rPr>
            <w:lang w:eastAsia="zh-CN"/>
          </w:rPr>
          <w:t>.hk/gb/www.sfc.hk/edistributionWeb/gateway/TC/circular/suitability/doc?refNo=19EC13</w:t>
        </w:r>
      </w:hyperlink>
    </w:p>
    <w:p w:rsidR="005D2195" w:rsidRDefault="004A4AA9">
      <w:pPr>
        <w:pStyle w:val="BodyText"/>
      </w:pPr>
      <w:hyperlink w:anchor="_ftnref6">
        <w:r>
          <w:t>[6]</w:t>
        </w:r>
      </w:hyperlink>
      <w:r>
        <w:t>《证券及期货事务监察委员会持牌人或注册人操守准则》：</w:t>
      </w:r>
      <w:hyperlink r:id="rId13">
        <w:r>
          <w:t>https://www.sfc.hk/web/TC/assets/components/codes/files-current/zh-hant/codes/%E8%AD%89%E5%88%B8%E5%8F%8A%E</w:t>
        </w:r>
        <w:r>
          <w:t>6%9C%9F%E8%B2%A8%E4%BA%8B%E5%8B%99%E7%9B%A3%E5%AF%9F%E5%A7%94%E5%93%A1%E6%9C%83%E6%8C%81%E7%89%8C%E4%BA%BA%E6%88%96%E8%A8%BB%E5%86%8A%E4%BA%BA%E6%93%8D%E5%AE%88%E6%BA%96%E5%89%87/%E8%AD%89%E5%88%B8%E5%8F%8A%E6%9C%9F%E8%B2%A8%E4%BA%8B%E5%8B%99%E7%9B%A3%E5%A</w:t>
        </w:r>
        <w:r>
          <w:t>F%9F%E5%A7%94%E5%93%A1%E6%9C%83%E6%8C%81%E7%89%8C%E4%BA%BA%E6%88%96%E8%A8%BB%E5%86%8A%E4%BA%BA%E6%93%8D%E5%AE%88%E6%BA%96%E5%89%87.pdf</w:t>
        </w:r>
      </w:hyperlink>
    </w:p>
    <w:p w:rsidR="005D2195" w:rsidRDefault="004A4AA9">
      <w:pPr>
        <w:pStyle w:val="BodyText"/>
        <w:rPr>
          <w:lang w:eastAsia="zh-CN"/>
        </w:rPr>
      </w:pPr>
      <w:hyperlink w:anchor="_ftnref7">
        <w:r>
          <w:rPr>
            <w:lang w:eastAsia="zh-CN"/>
          </w:rPr>
          <w:t>[7]</w:t>
        </w:r>
      </w:hyperlink>
      <w:r>
        <w:rPr>
          <w:lang w:eastAsia="zh-CN"/>
        </w:rPr>
        <w:t xml:space="preserve"> </w:t>
      </w:r>
      <w:r>
        <w:rPr>
          <w:lang w:eastAsia="zh-CN"/>
        </w:rPr>
        <w:t>非复杂产品及复杂产品：</w:t>
      </w:r>
      <w:r>
        <w:rPr>
          <w:lang w:eastAsia="zh-CN"/>
        </w:rPr>
        <w:t xml:space="preserve"> </w:t>
      </w:r>
      <w:hyperlink r:id="rId14">
        <w:r>
          <w:rPr>
            <w:lang w:eastAsia="zh-CN"/>
          </w:rPr>
          <w:t>https://sc.sfc.hk/gb/www.sfc.hk/web/TC/rules-and-standards/suitability-requirement/non-complex-and-complex-products/</w:t>
        </w:r>
      </w:hyperlink>
    </w:p>
    <w:p w:rsidR="005D2195" w:rsidRDefault="004A4AA9">
      <w:pPr>
        <w:pStyle w:val="BodyText"/>
      </w:pPr>
      <w:hyperlink w:anchor="_ftnref8">
        <w:r>
          <w:t>[8]</w:t>
        </w:r>
      </w:hyperlink>
      <w:r>
        <w:t xml:space="preserve"> </w:t>
      </w:r>
      <w:r>
        <w:t>《网上分销及投资咨询平台指引》：</w:t>
      </w:r>
      <w:hyperlink r:id="rId15">
        <w:r>
          <w:t>https://www.sfc.hk/web/TC/assets/components/codes/files-current/zh-hant/guidelines/guidelines-on-online-distribution-and-advisory-platf</w:t>
        </w:r>
        <w:r>
          <w:t>orms/guidelines-on-online-distribution-and-advisory-platforms.pdf</w:t>
        </w:r>
      </w:hyperlink>
    </w:p>
    <w:p w:rsidR="005D2195" w:rsidRDefault="004A4AA9">
      <w:pPr>
        <w:pStyle w:val="BodyText"/>
        <w:rPr>
          <w:lang w:eastAsia="zh-CN"/>
        </w:rPr>
      </w:pPr>
      <w:hyperlink w:anchor="_ftnref9">
        <w:r>
          <w:rPr>
            <w:lang w:eastAsia="zh-CN"/>
          </w:rPr>
          <w:t>[9]</w:t>
        </w:r>
      </w:hyperlink>
      <w:r>
        <w:rPr>
          <w:lang w:eastAsia="zh-CN"/>
        </w:rPr>
        <w:t xml:space="preserve"> </w:t>
      </w:r>
      <w:r>
        <w:rPr>
          <w:lang w:eastAsia="zh-CN"/>
        </w:rPr>
        <w:t>证监会指明司法管辖区名单：</w:t>
      </w:r>
      <w:r>
        <w:rPr>
          <w:lang w:eastAsia="zh-CN"/>
        </w:rPr>
        <w:t xml:space="preserve"> </w:t>
      </w:r>
      <w:hyperlink r:id="rId16">
        <w:r>
          <w:rPr>
            <w:lang w:eastAsia="zh-CN"/>
          </w:rPr>
          <w:t>https://sc.sfc.hk/gb/www.sfc.hk/web/TC/rules-and-standards/suitability-requirement/non-complex-and-complex-products/list-of-specified-jurisdictions.html</w:t>
        </w:r>
      </w:hyperlink>
    </w:p>
    <w:p w:rsidR="005D2195" w:rsidRDefault="004A4AA9">
      <w:pPr>
        <w:pStyle w:val="BodyText"/>
        <w:rPr>
          <w:lang w:eastAsia="zh-CN"/>
        </w:rPr>
      </w:pPr>
      <w:hyperlink w:anchor="_ftnref10">
        <w:r>
          <w:rPr>
            <w:lang w:eastAsia="zh-CN"/>
          </w:rPr>
          <w:t>[10]</w:t>
        </w:r>
      </w:hyperlink>
      <w:r>
        <w:rPr>
          <w:lang w:eastAsia="zh-CN"/>
        </w:rPr>
        <w:t>《证监会有关持牌人或注册人遵守为客户提供合理适当建议责任的常见问题》：</w:t>
      </w:r>
      <w:r>
        <w:rPr>
          <w:lang w:eastAsia="zh-CN"/>
        </w:rPr>
        <w:t xml:space="preserve"> </w:t>
      </w:r>
      <w:hyperlink r:id="rId17">
        <w:r>
          <w:rPr>
            <w:lang w:eastAsia="zh-CN"/>
          </w:rPr>
          <w:t>https://sc.sfc.hk/gb/www.sfc.hk/web/TC/faqs/intemediaries/supervision/compliance-with-suitability-obligations/compliance-with-suitability-obligations-c.html</w:t>
        </w:r>
      </w:hyperlink>
    </w:p>
    <w:p w:rsidR="005D2195" w:rsidRDefault="004A4AA9">
      <w:pPr>
        <w:pStyle w:val="BodyText"/>
      </w:pPr>
      <w:hyperlink w:anchor="_ftnref11">
        <w:r>
          <w:t>[11]</w:t>
        </w:r>
      </w:hyperlink>
      <w:r>
        <w:t>《证券保证金融资活动指引》：</w:t>
      </w:r>
      <w:hyperlink r:id="rId18">
        <w:r>
          <w:t>https://www.sfc.hk/web/TC/assets/components/codes/files-current/zh-hant/guidelines/%E8%AD%89%E5%88%B8%E4%BF%9D%E8%AD%89%E9%87%91%E8%9E%8D%E8%B3%87%E6%B4%BB%E5%8B%95%E6%8C%87%E5%BC%95/%E8%AD%89%E5%88%B8%E4%BF%9D%E8%AD%89%E9%87%91%E8%9E%8D%E8%B3%87%E6%B4%BB</w:t>
        </w:r>
        <w:r>
          <w:t>%E5%8B%95%E6%8C%87%E5%BC%95.pdf</w:t>
        </w:r>
      </w:hyperlink>
    </w:p>
    <w:p w:rsidR="005D2195" w:rsidRDefault="004A4AA9">
      <w:pPr>
        <w:pStyle w:val="DisclaimerBold"/>
        <w:rPr>
          <w:lang w:eastAsia="zh-CN"/>
        </w:rPr>
      </w:pPr>
      <w:r>
        <w:rPr>
          <w:lang w:eastAsia="zh-CN"/>
        </w:rPr>
        <w:t>此法讯仅为提供相关资料信息之用，其内容并</w:t>
      </w:r>
    </w:p>
    <w:p w:rsidR="005D2195" w:rsidRDefault="004A4AA9">
      <w:pPr>
        <w:pStyle w:val="Disclaimer"/>
        <w:rPr>
          <w:lang w:eastAsia="zh-CN"/>
        </w:rPr>
      </w:pPr>
      <w:r>
        <w:rPr>
          <w:lang w:eastAsia="zh-CN"/>
        </w:rPr>
        <w:t>不构成法律建议及个案的法律分析。</w:t>
      </w:r>
    </w:p>
    <w:p w:rsidR="005D2195" w:rsidRDefault="004A4AA9">
      <w:pPr>
        <w:pStyle w:val="Disclaimer"/>
        <w:rPr>
          <w:lang w:eastAsia="zh-CN"/>
        </w:rPr>
      </w:pPr>
      <w:r>
        <w:rPr>
          <w:lang w:eastAsia="zh-CN"/>
        </w:rPr>
        <w:t>此法讯的发送并不是为了在易周律师行与用户或浏览者之间建立一种律师与客户之关系。</w:t>
      </w:r>
    </w:p>
    <w:p w:rsidR="005D2195" w:rsidRDefault="004A4AA9">
      <w:pPr>
        <w:pStyle w:val="Disclaimer"/>
        <w:rPr>
          <w:lang w:eastAsia="zh-CN"/>
        </w:rPr>
      </w:pPr>
      <w:r>
        <w:rPr>
          <w:lang w:eastAsia="zh-CN"/>
        </w:rPr>
        <w:t>易周律师行并不对可从互联网获得的任何第三方内容负责。</w:t>
      </w:r>
    </w:p>
    <w:p w:rsidR="005D2195" w:rsidRDefault="004A4AA9">
      <w:pPr>
        <w:pStyle w:val="Disclaimer"/>
        <w:rPr>
          <w:lang w:eastAsia="zh-CN"/>
        </w:rPr>
      </w:pPr>
      <w:r>
        <w:rPr>
          <w:lang w:eastAsia="zh-CN"/>
        </w:rPr>
        <w:t>如你不希望再收到易周法讯，请发送电邮至</w:t>
      </w:r>
      <w:r>
        <w:rPr>
          <w:lang w:eastAsia="zh-CN"/>
        </w:rPr>
        <w:t xml:space="preserve">  </w:t>
      </w:r>
      <w:hyperlink r:id="rId19">
        <w:r>
          <w:rPr>
            <w:lang w:eastAsia="zh-CN"/>
          </w:rPr>
          <w:t>unsubsc</w:t>
        </w:r>
        <w:r>
          <w:rPr>
            <w:lang w:eastAsia="zh-CN"/>
          </w:rPr>
          <w:t>ribe@charltonslaw.com</w:t>
        </w:r>
      </w:hyperlink>
    </w:p>
    <w:p w:rsidR="005D2195" w:rsidRDefault="004A4AA9">
      <w:pPr>
        <w:pStyle w:val="BlackStrips"/>
      </w:pPr>
      <w:r>
        <w:t xml:space="preserve">Charltons - </w:t>
      </w:r>
      <w:r>
        <w:t>香港法律</w:t>
      </w:r>
      <w:r>
        <w:t xml:space="preserve"> - 2019</w:t>
      </w:r>
      <w:r>
        <w:t>年</w:t>
      </w:r>
      <w:r>
        <w:t>9</w:t>
      </w:r>
      <w:r>
        <w:t>月</w:t>
      </w:r>
      <w:r>
        <w:t>10</w:t>
      </w:r>
      <w:r>
        <w:t>日</w:t>
      </w:r>
    </w:p>
    <w:sectPr w:rsidR="005D219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4AA9">
      <w:pPr>
        <w:spacing w:after="0"/>
      </w:pPr>
      <w:r>
        <w:separator/>
      </w:r>
    </w:p>
  </w:endnote>
  <w:endnote w:type="continuationSeparator" w:id="0">
    <w:p w:rsidR="00000000" w:rsidRDefault="004A4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195" w:rsidRDefault="004A4AA9">
      <w:r>
        <w:separator/>
      </w:r>
    </w:p>
  </w:footnote>
  <w:footnote w:type="continuationSeparator" w:id="0">
    <w:p w:rsidR="005D2195" w:rsidRDefault="004A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99CCB3"/>
    <w:multiLevelType w:val="multilevel"/>
    <w:tmpl w:val="F232EBD0"/>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E3BF0D9"/>
    <w:multiLevelType w:val="multilevel"/>
    <w:tmpl w:val="F63296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3E8CB7EC"/>
    <w:multiLevelType w:val="multilevel"/>
    <w:tmpl w:val="14E4ADB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A4AA9"/>
    <w:rsid w:val="004E29B3"/>
    <w:rsid w:val="00590D07"/>
    <w:rsid w:val="005D2195"/>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00DBB59-D535-477B-96F4-17E817EF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fc.hk/gb/www.sfc.hk/web/TC/index.html" TargetMode="External"/><Relationship Id="rId13" Type="http://schemas.openxmlformats.org/officeDocument/2006/relationships/hyperlink" Target="https://www.sfc.hk/web/TC/assets/components/codes/files-current/zh-hant/codes/%E8%AD%89%E5%88%B8%E5%8F%8A%E6%9C%9F%E8%B2%A8%E4%BA%8B%E5%8B%99%E7%9B%A3%E5%AF%9F%E5%A7%94%E5%93%A1%E6%9C%83%E6%8C%81%E7%89%8C%E4%BA%BA%E6%88%96%E8%A8%BB%E5%86%8A%E4%BA%BA%E6%93%8D%E5%AE%88%E6%BA%96%E5%89%87/%E8%AD%89%E5%88%B8%E5%8F%8A%E6%9C%9F%E8%B2%A8%E4%BA%8B%E5%8B%99%E7%9B%A3%E5%AF%9F%E5%A7%94%E5%93%A1%E6%9C%83%E6%8C%81%E7%89%8C%E4%BA%BA%E6%88%96%E8%A8%BB%E5%86%8A%E4%BA%BA%E6%93%8D%E5%AE%88%E6%BA%96%E5%89%87.pdf" TargetMode="External"/><Relationship Id="rId18" Type="http://schemas.openxmlformats.org/officeDocument/2006/relationships/hyperlink" Target="https://www.sfc.hk/web/TC/assets/components/codes/files-current/zh-hant/guidelines/%E8%AD%89%E5%88%B8%E4%BF%9D%E8%AD%89%E9%87%91%E8%9E%8D%E8%B3%87%E6%B4%BB%E5%8B%95%E6%8C%87%E5%BC%95/%E8%AD%89%E5%88%B8%E4%BF%9D%E8%AD%89%E9%87%91%E8%9E%8D%E8%B3%87%E6%B4%BB%E5%8B%95%E6%8C%87%E5%BC%95.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arltonslaw.com.cn/xiang-gang-zheng-jian-hui-fa-chu-xin-de-fu-za-chan-pin-xiao-shou-zhi-yin" TargetMode="External"/><Relationship Id="rId12" Type="http://schemas.openxmlformats.org/officeDocument/2006/relationships/hyperlink" Target="https://sc.sfc.hk/gb/www.sfc.hk/edistributionWeb/gateway/TC/circular/suitability/doc?refNo=19EC13" TargetMode="External"/><Relationship Id="rId17" Type="http://schemas.openxmlformats.org/officeDocument/2006/relationships/hyperlink" Target="https://sc.sfc.hk/gb/www.sfc.hk/web/TC/faqs/intemediaries/supervision/compliance-with-suitability-obligations/compliance-with-suitability-obligations-c.html" TargetMode="External"/><Relationship Id="rId2" Type="http://schemas.openxmlformats.org/officeDocument/2006/relationships/styles" Target="styles.xml"/><Relationship Id="rId16" Type="http://schemas.openxmlformats.org/officeDocument/2006/relationships/hyperlink" Target="https://sc.sfc.hk/gb/www.sfc.hk/web/TC/rules-and-standards/suitability-requirement/non-complex-and-complex-products/list-of-specified-jurisdiction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TC/assets/components/codes/files-current/zh-hant/guidelines/guidelines-on-online-distribution-and-advisory-platforms/guidelines-on-online-distribution-and-advisory-platforms.pdf" TargetMode="External"/><Relationship Id="rId5" Type="http://schemas.openxmlformats.org/officeDocument/2006/relationships/footnotes" Target="footnotes.xml"/><Relationship Id="rId15" Type="http://schemas.openxmlformats.org/officeDocument/2006/relationships/hyperlink" Target="https://mailx.charltonslaw.com/owa/redir.aspx?C=5487b85748494c4f88b0b8fe88382f83&amp;URL=https%3a%2f%2fwww.sfc.hk%2fweb%2fTC%2fassets%2fcomponents%2fcodes%2ffiles-current%2fzh-hant%2fguidelines%2fguidelines-on-online-distribution-and-advisory-platforms%2fguidelines-on-online-distribution-and-advisory-platforms.pdf" TargetMode="External"/><Relationship Id="rId10" Type="http://schemas.openxmlformats.org/officeDocument/2006/relationships/hyperlink" Target="https://sc.sfc.hk/gb/www.sfc.hk/edistributionWeb/gateway/TC/circular/suitability/openAppendix?refNo=19EC42&amp;appendix=0" TargetMode="External"/><Relationship Id="rId19"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sc.sfc.hk/gb/www.sfc.hk/edistributionWeb/gateway/TC/circular/suitability/doc?refNo=19EC42" TargetMode="External"/><Relationship Id="rId14" Type="http://schemas.openxmlformats.org/officeDocument/2006/relationships/hyperlink" Target="https://sc.sfc.hk/gb/www.sfc.hk/web/TC/rules-and-standards/suitability-requirement/non-complex-and-complex-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1546</Words>
  <Characters>8816</Characters>
  <Application>Microsoft Office Word</Application>
  <DocSecurity>0</DocSecurity>
  <Lines>73</Lines>
  <Paragraphs>20</Paragraphs>
  <ScaleCrop>false</ScaleCrop>
  <Company>Charltons</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2019-09-09T08:03:00Z</dcterms:created>
  <dcterms:modified xsi:type="dcterms:W3CDTF">2019-09-10T02:12:00Z</dcterms:modified>
</cp:coreProperties>
</file>