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3F" w:rsidRDefault="00A45C03">
      <w:pPr>
        <w:pStyle w:val="BlackStrips"/>
      </w:pPr>
      <w:r>
        <w:t xml:space="preserve">Charltons - </w:t>
      </w:r>
      <w:r>
        <w:t>香港法律</w:t>
      </w:r>
      <w:r>
        <w:t xml:space="preserve"> - 2020</w:t>
      </w:r>
      <w:r>
        <w:t>年</w:t>
      </w:r>
      <w:r>
        <w:t>2</w:t>
      </w:r>
      <w:r>
        <w:t>月14</w:t>
      </w:r>
      <w:r>
        <w:t>日</w:t>
      </w:r>
    </w:p>
    <w:p w:rsidR="00206C3F" w:rsidRDefault="00A45C03">
      <w:pPr>
        <w:pStyle w:val="ReadOnline"/>
        <w:rPr>
          <w:lang w:eastAsia="zh-CN"/>
        </w:rPr>
      </w:pPr>
      <w:hyperlink r:id="rId7">
        <w:r>
          <w:rPr>
            <w:lang w:eastAsia="zh-CN"/>
          </w:rPr>
          <w:t>online v</w:t>
        </w:r>
        <w:r>
          <w:rPr>
            <w:lang w:eastAsia="zh-CN"/>
          </w:rPr>
          <w:t>ersion</w:t>
        </w:r>
      </w:hyperlink>
    </w:p>
    <w:p w:rsidR="00206C3F" w:rsidRDefault="00A45C03">
      <w:pPr>
        <w:pStyle w:val="Title"/>
        <w:rPr>
          <w:lang w:eastAsia="zh-CN"/>
        </w:rPr>
      </w:pPr>
      <w:r>
        <w:rPr>
          <w:lang w:eastAsia="zh-CN"/>
        </w:rPr>
        <w:t>香港联交所及证监会发表有关在严重新型传染性病原体呼吸系统疾病的旅游限制下刊发业绩公告的联合声明</w:t>
      </w:r>
    </w:p>
    <w:p w:rsidR="00206C3F" w:rsidRDefault="00A45C03">
      <w:pPr>
        <w:pStyle w:val="Heading2"/>
        <w:rPr>
          <w:lang w:eastAsia="zh-CN"/>
        </w:rPr>
      </w:pPr>
      <w:bookmarkStart w:id="0" w:name="引言"/>
      <w:r>
        <w:rPr>
          <w:lang w:eastAsia="zh-CN"/>
        </w:rPr>
        <w:t>引言</w:t>
      </w:r>
      <w:bookmarkEnd w:id="0"/>
    </w:p>
    <w:p w:rsidR="00206C3F" w:rsidRDefault="00A45C03">
      <w:pPr>
        <w:pStyle w:val="FirstParagraph"/>
        <w:rPr>
          <w:lang w:eastAsia="zh-CN"/>
        </w:rPr>
      </w:pPr>
      <w:r>
        <w:rPr>
          <w:lang w:eastAsia="zh-CN"/>
        </w:rPr>
        <w:t>2020</w:t>
      </w:r>
      <w:r>
        <w:rPr>
          <w:lang w:eastAsia="zh-CN"/>
        </w:rPr>
        <w:t>年</w:t>
      </w:r>
      <w:r>
        <w:rPr>
          <w:lang w:eastAsia="zh-CN"/>
        </w:rPr>
        <w:t>2</w:t>
      </w:r>
      <w:r>
        <w:rPr>
          <w:lang w:eastAsia="zh-CN"/>
        </w:rPr>
        <w:t>月</w:t>
      </w:r>
      <w:r>
        <w:rPr>
          <w:lang w:eastAsia="zh-CN"/>
        </w:rPr>
        <w:t>4</w:t>
      </w:r>
      <w:r>
        <w:rPr>
          <w:lang w:eastAsia="zh-CN"/>
        </w:rPr>
        <w:t>日，证券及期货事务监察委员会（</w:t>
      </w:r>
      <w:r>
        <w:rPr>
          <w:b/>
          <w:lang w:eastAsia="zh-CN"/>
        </w:rPr>
        <w:t>证监会</w:t>
      </w:r>
      <w:r>
        <w:rPr>
          <w:lang w:eastAsia="zh-CN"/>
        </w:rPr>
        <w:t>）与香港联合交易所有限公司（</w:t>
      </w:r>
      <w:r>
        <w:rPr>
          <w:b/>
          <w:lang w:eastAsia="zh-CN"/>
        </w:rPr>
        <w:t>联交所</w:t>
      </w:r>
      <w:r>
        <w:rPr>
          <w:lang w:eastAsia="zh-CN"/>
        </w:rPr>
        <w:t>）发表</w:t>
      </w:r>
      <w:hyperlink r:id="rId8">
        <w:r>
          <w:rPr>
            <w:lang w:eastAsia="zh-CN"/>
          </w:rPr>
          <w:t>联合声明</w:t>
        </w:r>
      </w:hyperlink>
      <w:r>
        <w:rPr>
          <w:lang w:eastAsia="zh-CN"/>
        </w:rPr>
        <w:t xml:space="preserve"> </w:t>
      </w:r>
      <w:hyperlink w:anchor="_ftn1">
        <w:r>
          <w:rPr>
            <w:lang w:eastAsia="zh-CN"/>
          </w:rPr>
          <w:t>[1]</w:t>
        </w:r>
      </w:hyperlink>
      <w:r>
        <w:rPr>
          <w:lang w:eastAsia="zh-CN"/>
        </w:rPr>
        <w:t>（</w:t>
      </w:r>
      <w:r>
        <w:rPr>
          <w:b/>
          <w:lang w:eastAsia="zh-CN"/>
        </w:rPr>
        <w:t>业绩公告</w:t>
      </w:r>
      <w:r>
        <w:rPr>
          <w:b/>
          <w:lang w:eastAsia="zh-CN"/>
        </w:rPr>
        <w:t>声明</w:t>
      </w:r>
      <w:r>
        <w:rPr>
          <w:lang w:eastAsia="zh-CN"/>
        </w:rPr>
        <w:t>），就因应严重新型传染性病原体呼吸系统疾病（</w:t>
      </w:r>
      <w:r>
        <w:rPr>
          <w:b/>
          <w:lang w:eastAsia="zh-CN"/>
        </w:rPr>
        <w:t>新型冠状病毒感染</w:t>
      </w:r>
      <w:r>
        <w:rPr>
          <w:lang w:eastAsia="zh-CN"/>
        </w:rPr>
        <w:t>）的疫情而作出旅游限制的情况下如何分别按《香港联合交易所有限公司证券上市规则》（《</w:t>
      </w:r>
      <w:r>
        <w:rPr>
          <w:b/>
          <w:lang w:eastAsia="zh-CN"/>
        </w:rPr>
        <w:t>联交所上市规则</w:t>
      </w:r>
      <w:r>
        <w:rPr>
          <w:lang w:eastAsia="zh-CN"/>
        </w:rPr>
        <w:t>》）及《证券及期货条例》披露财务资料以及内幕消息，向上市公司及其核数师提供指引。</w:t>
      </w:r>
    </w:p>
    <w:p w:rsidR="00206C3F" w:rsidRDefault="00A45C03">
      <w:pPr>
        <w:pStyle w:val="Heading2"/>
        <w:rPr>
          <w:lang w:eastAsia="zh-CN"/>
        </w:rPr>
      </w:pPr>
      <w:bookmarkStart w:id="1" w:name="联交所上市规则的财务汇报规定"/>
      <w:r>
        <w:rPr>
          <w:lang w:eastAsia="zh-CN"/>
        </w:rPr>
        <w:t>1.</w:t>
      </w:r>
      <w:r>
        <w:rPr>
          <w:lang w:eastAsia="zh-CN"/>
        </w:rPr>
        <w:t>《联交所上市规则》的财务汇报规定</w:t>
      </w:r>
      <w:bookmarkEnd w:id="1"/>
    </w:p>
    <w:p w:rsidR="00206C3F" w:rsidRDefault="00A45C03">
      <w:pPr>
        <w:pStyle w:val="FirstParagraph"/>
        <w:rPr>
          <w:lang w:eastAsia="zh-CN"/>
        </w:rPr>
      </w:pPr>
      <w:r>
        <w:rPr>
          <w:lang w:eastAsia="zh-CN"/>
        </w:rPr>
        <w:t>业绩公告声明指出，因近日的新型冠状病毒感染疫情而实施的旅游及其他限制，可能会扰乱若干发行人的汇报或审核流程。若上市发行人认为，基于新型冠状病毒感染疫情下的限制，它将无法依照《联交所上市规则》规定的限期内刊发初步业绩公告或发出经审核的</w:t>
      </w:r>
      <w:r>
        <w:rPr>
          <w:lang w:eastAsia="zh-CN"/>
        </w:rPr>
        <w:t>财务报表（视情况而定）</w:t>
      </w:r>
      <w:hyperlink w:anchor="_ftn2">
        <w:r>
          <w:rPr>
            <w:lang w:eastAsia="zh-CN"/>
          </w:rPr>
          <w:t>[2]</w:t>
        </w:r>
      </w:hyperlink>
      <w:r>
        <w:rPr>
          <w:lang w:eastAsia="zh-CN"/>
        </w:rPr>
        <w:t>，上市发行人便应尽快联络联交所以便商讨有关情况。</w:t>
      </w:r>
    </w:p>
    <w:p w:rsidR="00206C3F" w:rsidRDefault="00A45C03">
      <w:pPr>
        <w:pStyle w:val="BodyText"/>
        <w:rPr>
          <w:lang w:eastAsia="zh-CN"/>
        </w:rPr>
      </w:pPr>
      <w:r>
        <w:rPr>
          <w:lang w:eastAsia="zh-CN"/>
        </w:rPr>
        <w:t>业绩公告声明认同，新型冠状病毒感染疫情对上市发行人及其核数师造成的影响，会因应个别情况而有所不同。受影响的发行人应在可行的情况下向联交所提供以下资料：</w:t>
      </w:r>
    </w:p>
    <w:p w:rsidR="00206C3F" w:rsidRDefault="00A45C03">
      <w:pPr>
        <w:pStyle w:val="Compact"/>
        <w:numPr>
          <w:ilvl w:val="0"/>
          <w:numId w:val="2"/>
        </w:numPr>
        <w:rPr>
          <w:lang w:eastAsia="zh-CN"/>
        </w:rPr>
      </w:pPr>
      <w:r>
        <w:rPr>
          <w:lang w:eastAsia="zh-CN"/>
        </w:rPr>
        <w:t>有关旅游及其他限制对其审核及汇报流程造成的影响；</w:t>
      </w:r>
    </w:p>
    <w:p w:rsidR="00206C3F" w:rsidRDefault="00A45C03">
      <w:pPr>
        <w:pStyle w:val="Compact"/>
        <w:numPr>
          <w:ilvl w:val="0"/>
          <w:numId w:val="2"/>
        </w:numPr>
        <w:rPr>
          <w:lang w:eastAsia="zh-CN"/>
        </w:rPr>
      </w:pPr>
      <w:r>
        <w:rPr>
          <w:lang w:eastAsia="zh-CN"/>
        </w:rPr>
        <w:t>该等限制如何使发行人无法遵从《联交所上市规则》的汇报规定；</w:t>
      </w:r>
    </w:p>
    <w:p w:rsidR="00206C3F" w:rsidRDefault="00A45C03">
      <w:pPr>
        <w:pStyle w:val="Compact"/>
        <w:numPr>
          <w:ilvl w:val="0"/>
          <w:numId w:val="2"/>
        </w:numPr>
        <w:rPr>
          <w:lang w:eastAsia="zh-CN"/>
        </w:rPr>
      </w:pPr>
      <w:r>
        <w:rPr>
          <w:lang w:eastAsia="zh-CN"/>
        </w:rPr>
        <w:t>上市发行人仍然能够汇报的财务资料；及</w:t>
      </w:r>
    </w:p>
    <w:p w:rsidR="00206C3F" w:rsidRDefault="00A45C03">
      <w:pPr>
        <w:pStyle w:val="Compact"/>
        <w:numPr>
          <w:ilvl w:val="0"/>
          <w:numId w:val="2"/>
        </w:numPr>
        <w:rPr>
          <w:lang w:eastAsia="zh-CN"/>
        </w:rPr>
      </w:pPr>
      <w:r>
        <w:rPr>
          <w:lang w:eastAsia="zh-CN"/>
        </w:rPr>
        <w:t>解释仍可提供的财务资料的准确性、完整性及表述有否因此受到不利影响以及（如有）所</w:t>
      </w:r>
      <w:r>
        <w:rPr>
          <w:lang w:eastAsia="zh-CN"/>
        </w:rPr>
        <w:t>受影响程度。</w:t>
      </w:r>
    </w:p>
    <w:p w:rsidR="00206C3F" w:rsidRDefault="00A45C03">
      <w:pPr>
        <w:pStyle w:val="FirstParagraph"/>
        <w:rPr>
          <w:lang w:eastAsia="zh-CN"/>
        </w:rPr>
      </w:pPr>
      <w:r>
        <w:rPr>
          <w:lang w:eastAsia="zh-CN"/>
        </w:rPr>
        <w:t>如发行人无法取得核数师同意，但能够完全遵从《联交所上市规则》的其他汇报规定，发行人便应在限期届满当日或之前刊发该份尚未与其核数师议定的初步业绩</w:t>
      </w:r>
      <w:hyperlink w:anchor="_ftn3">
        <w:r>
          <w:rPr>
            <w:lang w:eastAsia="zh-CN"/>
          </w:rPr>
          <w:t>[3]</w:t>
        </w:r>
      </w:hyperlink>
      <w:r>
        <w:rPr>
          <w:lang w:eastAsia="zh-CN"/>
        </w:rPr>
        <w:t>。发行人需遵从《联交所上市规则》第</w:t>
      </w:r>
      <w:r>
        <w:rPr>
          <w:lang w:eastAsia="zh-CN"/>
        </w:rPr>
        <w:t>13.49(3)</w:t>
      </w:r>
      <w:r>
        <w:rPr>
          <w:lang w:eastAsia="zh-CN"/>
        </w:rPr>
        <w:t>及</w:t>
      </w:r>
      <w:r>
        <w:rPr>
          <w:lang w:eastAsia="zh-CN"/>
        </w:rPr>
        <w:t>(4)</w:t>
      </w:r>
      <w:r>
        <w:rPr>
          <w:lang w:eastAsia="zh-CN"/>
        </w:rPr>
        <w:t>条的规定。在这些情况下，联交所一般会容许该上市发行人的证券继续买卖。</w:t>
      </w:r>
    </w:p>
    <w:p w:rsidR="00206C3F" w:rsidRDefault="00A45C03">
      <w:pPr>
        <w:pStyle w:val="BodyText"/>
        <w:rPr>
          <w:lang w:eastAsia="zh-CN"/>
        </w:rPr>
      </w:pPr>
      <w:r>
        <w:rPr>
          <w:lang w:eastAsia="zh-CN"/>
        </w:rPr>
        <w:t>《联交所上市规则》第</w:t>
      </w:r>
      <w:r>
        <w:rPr>
          <w:lang w:eastAsia="zh-CN"/>
        </w:rPr>
        <w:t>13.49(3)</w:t>
      </w:r>
      <w:r>
        <w:rPr>
          <w:lang w:eastAsia="zh-CN"/>
        </w:rPr>
        <w:t>条指出，发行人如未能按《联交所上市规则》第</w:t>
      </w:r>
      <w:r>
        <w:rPr>
          <w:lang w:eastAsia="zh-CN"/>
        </w:rPr>
        <w:t>13.49(1)</w:t>
      </w:r>
      <w:r>
        <w:rPr>
          <w:lang w:eastAsia="zh-CN"/>
        </w:rPr>
        <w:t>条根据其财务报表在有关会计年度结束后</w:t>
      </w:r>
      <w:r>
        <w:rPr>
          <w:lang w:eastAsia="zh-CN"/>
        </w:rPr>
        <w:t>3</w:t>
      </w:r>
      <w:r>
        <w:rPr>
          <w:lang w:eastAsia="zh-CN"/>
        </w:rPr>
        <w:t>个月内公布初步业绩，或未能按《联交</w:t>
      </w:r>
      <w:r>
        <w:rPr>
          <w:lang w:eastAsia="zh-CN"/>
        </w:rPr>
        <w:t>所上市规则》第</w:t>
      </w:r>
      <w:r>
        <w:rPr>
          <w:lang w:eastAsia="zh-CN"/>
        </w:rPr>
        <w:t>13.49(2)</w:t>
      </w:r>
      <w:r>
        <w:rPr>
          <w:lang w:eastAsia="zh-CN"/>
        </w:rPr>
        <w:t>条取得核数师同意，则必须在有关会计年度结束后</w:t>
      </w:r>
      <w:r>
        <w:rPr>
          <w:lang w:eastAsia="zh-CN"/>
        </w:rPr>
        <w:t>3</w:t>
      </w:r>
      <w:r>
        <w:rPr>
          <w:lang w:eastAsia="zh-CN"/>
        </w:rPr>
        <w:t>个月内发出公告，并包括：</w:t>
      </w:r>
    </w:p>
    <w:p w:rsidR="00206C3F" w:rsidRDefault="00A45C03">
      <w:pPr>
        <w:pStyle w:val="Compact"/>
        <w:numPr>
          <w:ilvl w:val="0"/>
          <w:numId w:val="3"/>
        </w:numPr>
        <w:rPr>
          <w:lang w:eastAsia="zh-CN"/>
        </w:rPr>
      </w:pPr>
      <w:r>
        <w:rPr>
          <w:lang w:eastAsia="zh-CN"/>
        </w:rPr>
        <w:t>阐释其未能根据经与核数师协定同意的财务报表公布初步业绩的详尽原因。如因缺乏证据支持而出现不明朗因素又或资产负债方面的估值存有不确定因素，则须载列充足的资料，好让投资者能够自行决定有关资产负债的重要程度；</w:t>
      </w:r>
    </w:p>
    <w:p w:rsidR="00206C3F" w:rsidRDefault="00A45C03">
      <w:pPr>
        <w:pStyle w:val="Compact"/>
        <w:numPr>
          <w:ilvl w:val="0"/>
          <w:numId w:val="3"/>
        </w:numPr>
        <w:rPr>
          <w:lang w:eastAsia="zh-CN"/>
        </w:rPr>
      </w:pPr>
      <w:r>
        <w:rPr>
          <w:lang w:eastAsia="zh-CN"/>
        </w:rPr>
        <w:t>预期公布有关会计年度经与核数师协定同意的财务业绩的日期；及</w:t>
      </w:r>
    </w:p>
    <w:p w:rsidR="00206C3F" w:rsidRDefault="00A45C03">
      <w:pPr>
        <w:pStyle w:val="Compact"/>
        <w:numPr>
          <w:ilvl w:val="0"/>
          <w:numId w:val="3"/>
        </w:numPr>
        <w:rPr>
          <w:lang w:eastAsia="zh-CN"/>
        </w:rPr>
      </w:pPr>
      <w:r>
        <w:rPr>
          <w:lang w:eastAsia="zh-CN"/>
        </w:rPr>
        <w:t>根据尚未与核数师协定同意的财务业绩而提供有关会计年度的业绩（如具备该等资料）。如属可行，该等业绩必须已由发行人的审核委员会审阅。如有审核委员会对所</w:t>
      </w:r>
      <w:r>
        <w:rPr>
          <w:lang w:eastAsia="zh-CN"/>
        </w:rPr>
        <w:t>用的会计处理方法或按《联交所上市规则》第</w:t>
      </w:r>
      <w:r>
        <w:rPr>
          <w:lang w:eastAsia="zh-CN"/>
        </w:rPr>
        <w:t>13.49(3)(i)(a)</w:t>
      </w:r>
      <w:r>
        <w:rPr>
          <w:lang w:eastAsia="zh-CN"/>
        </w:rPr>
        <w:t>条所发表的资料不表同意，则须同时载列有关详情。</w:t>
      </w:r>
    </w:p>
    <w:p w:rsidR="00206C3F" w:rsidRDefault="00A45C03">
      <w:pPr>
        <w:pStyle w:val="FirstParagraph"/>
        <w:rPr>
          <w:lang w:eastAsia="zh-CN"/>
        </w:rPr>
      </w:pPr>
      <w:r>
        <w:rPr>
          <w:lang w:eastAsia="zh-CN"/>
        </w:rPr>
        <w:lastRenderedPageBreak/>
        <w:t>业绩公告声明也指出</w:t>
      </w:r>
      <w:r>
        <w:rPr>
          <w:lang w:eastAsia="zh-CN"/>
        </w:rPr>
        <w:t>GEM</w:t>
      </w:r>
      <w:r>
        <w:rPr>
          <w:lang w:eastAsia="zh-CN"/>
        </w:rPr>
        <w:t>发行人如无法在限期届满当日或之前刊发经审核财务报表，也应遵从《主板上市规则》第</w:t>
      </w:r>
      <w:r>
        <w:rPr>
          <w:lang w:eastAsia="zh-CN"/>
        </w:rPr>
        <w:t>13.49(3)</w:t>
      </w:r>
      <w:r>
        <w:rPr>
          <w:lang w:eastAsia="zh-CN"/>
        </w:rPr>
        <w:t>及</w:t>
      </w:r>
      <w:r>
        <w:rPr>
          <w:lang w:eastAsia="zh-CN"/>
        </w:rPr>
        <w:t>(4)</w:t>
      </w:r>
      <w:r>
        <w:rPr>
          <w:lang w:eastAsia="zh-CN"/>
        </w:rPr>
        <w:t>条。</w:t>
      </w:r>
    </w:p>
    <w:p w:rsidR="00206C3F" w:rsidRDefault="00A45C03">
      <w:pPr>
        <w:pStyle w:val="BodyText"/>
        <w:rPr>
          <w:lang w:eastAsia="zh-CN"/>
        </w:rPr>
      </w:pPr>
      <w:r>
        <w:rPr>
          <w:lang w:eastAsia="zh-CN"/>
        </w:rPr>
        <w:t>在所有其他情况下，发行人应及早就可汇报的财务资料咨询联交所。联交所经咨询证监会后，将评估刊发这些资料是否足以维持一个有秩序、信息灵通和公平的市场，从而使上市发行人的证券可继续买卖。因此，发行人应合理地信纳已提供的财务资料在各重大要项上是准确和完整的。举例来说，若有</w:t>
      </w:r>
      <w:r>
        <w:rPr>
          <w:lang w:eastAsia="zh-CN"/>
        </w:rPr>
        <w:t>关资产或负债的估值具有不明朗因素，发行人应描述该等不明朗因素，和说明其可如何影响有关项目的估值，好让投资者评估该等不确定因素的重大程度。联交所及证监会作出评估时，会考虑发行人审核委员会对可取得的未经审核财务资料的意见。</w:t>
      </w:r>
    </w:p>
    <w:p w:rsidR="00206C3F" w:rsidRDefault="00A45C03">
      <w:pPr>
        <w:pStyle w:val="BodyText"/>
        <w:rPr>
          <w:lang w:eastAsia="zh-CN"/>
        </w:rPr>
      </w:pPr>
      <w:r>
        <w:rPr>
          <w:lang w:eastAsia="zh-CN"/>
        </w:rPr>
        <w:t>联交所提醒发行人与其核数师保持联系，以便商讨公司的核数计划及时间表，和密切监察任何最新发展，并且提醒上市发行人其审核委员会的责任，包括</w:t>
      </w:r>
      <w:r>
        <w:rPr>
          <w:lang w:eastAsia="zh-CN"/>
        </w:rPr>
        <w:t>(i)</w:t>
      </w:r>
      <w:r>
        <w:rPr>
          <w:lang w:eastAsia="zh-CN"/>
        </w:rPr>
        <w:t>与核数师商讨审计和汇报义务的性质和范围；以及</w:t>
      </w:r>
      <w:r>
        <w:rPr>
          <w:lang w:eastAsia="zh-CN"/>
        </w:rPr>
        <w:t>(ii)</w:t>
      </w:r>
      <w:r>
        <w:rPr>
          <w:lang w:eastAsia="zh-CN"/>
        </w:rPr>
        <w:t>监控发行人财务报表是否完整（《联交所上市规则》附录十四《企业管治守则》</w:t>
      </w:r>
      <w:r>
        <w:rPr>
          <w:lang w:eastAsia="zh-CN"/>
        </w:rPr>
        <w:t>C.3.3</w:t>
      </w:r>
      <w:r>
        <w:rPr>
          <w:lang w:eastAsia="zh-CN"/>
        </w:rPr>
        <w:t>节第</w:t>
      </w:r>
      <w:r>
        <w:rPr>
          <w:lang w:eastAsia="zh-CN"/>
        </w:rPr>
        <w:t>b</w:t>
      </w:r>
      <w:r>
        <w:rPr>
          <w:lang w:eastAsia="zh-CN"/>
        </w:rPr>
        <w:t>及</w:t>
      </w:r>
      <w:r>
        <w:rPr>
          <w:lang w:eastAsia="zh-CN"/>
        </w:rPr>
        <w:t>d</w:t>
      </w:r>
      <w:r>
        <w:rPr>
          <w:lang w:eastAsia="zh-CN"/>
        </w:rPr>
        <w:t>段）。</w:t>
      </w:r>
    </w:p>
    <w:p w:rsidR="00206C3F" w:rsidRDefault="00A45C03">
      <w:pPr>
        <w:pStyle w:val="Heading2"/>
        <w:rPr>
          <w:lang w:eastAsia="zh-CN"/>
        </w:rPr>
      </w:pPr>
      <w:bookmarkStart w:id="2" w:name="内幕消息披露"/>
      <w:r>
        <w:rPr>
          <w:lang w:eastAsia="zh-CN"/>
        </w:rPr>
        <w:t>2</w:t>
      </w:r>
      <w:r>
        <w:rPr>
          <w:lang w:eastAsia="zh-CN"/>
        </w:rPr>
        <w:t xml:space="preserve">. </w:t>
      </w:r>
      <w:r>
        <w:rPr>
          <w:lang w:eastAsia="zh-CN"/>
        </w:rPr>
        <w:t>内幕消息披露</w:t>
      </w:r>
      <w:bookmarkEnd w:id="2"/>
    </w:p>
    <w:p w:rsidR="00206C3F" w:rsidRDefault="00A45C03">
      <w:pPr>
        <w:pStyle w:val="FirstParagraph"/>
        <w:rPr>
          <w:lang w:eastAsia="zh-CN"/>
        </w:rPr>
      </w:pPr>
      <w:r>
        <w:rPr>
          <w:lang w:eastAsia="zh-CN"/>
        </w:rPr>
        <w:t>根据《证券及期货条例》，于联交所上市的公司有法定义务，当知悉任何内幕消息后，在合理、切实可行的范围内，尽快向公众披露有关消息。若新型冠状病毒感染疫情及／或相关的旅游限制对上市发行人的业务运作、汇报监控措施、系统、流程或程序造成重大扰乱，上市发行人的管理层应评估是否已出现任何内幕消息；如已出现，上市发行人须在合理、切实可行的范围内，尽快另行发出公告，这将独立于《联交所上市规则》的任何义务。</w:t>
      </w:r>
    </w:p>
    <w:p w:rsidR="00206C3F" w:rsidRDefault="00A45C03">
      <w:r>
        <w:pict>
          <v:rect id="_x0000_i1025" style="width:0;height:1.5pt" o:hralign="center" o:hrstd="t" o:hr="t"/>
        </w:pict>
      </w:r>
    </w:p>
    <w:p w:rsidR="00206C3F" w:rsidRDefault="00A45C03">
      <w:pPr>
        <w:pStyle w:val="FirstParagraph"/>
      </w:pPr>
      <w:hyperlink w:anchor="_ftnref1">
        <w:r>
          <w:t>[1]</w:t>
        </w:r>
      </w:hyperlink>
      <w:r>
        <w:t xml:space="preserve"> </w:t>
      </w:r>
      <w:r>
        <w:t>证监会与联交所于</w:t>
      </w:r>
      <w:r>
        <w:t>2020</w:t>
      </w:r>
      <w:r>
        <w:t>年</w:t>
      </w:r>
      <w:r>
        <w:t>2</w:t>
      </w:r>
      <w:r>
        <w:t>月</w:t>
      </w:r>
      <w:r>
        <w:t>4</w:t>
      </w:r>
      <w:r>
        <w:t>日发出的《有关在严重新型传染性病原体呼吸系统病的旅游限制下刊发业绩公告的联合声明》，见</w:t>
      </w:r>
      <w:hyperlink r:id="rId9">
        <w:r>
          <w:t>https://www.sfc.hk/edistributionWeb/gateway/TC/news-and-announcements/news/doc?refNo=20PR11</w:t>
        </w:r>
      </w:hyperlink>
      <w:r>
        <w:t>。</w:t>
      </w:r>
    </w:p>
    <w:p w:rsidR="00206C3F" w:rsidRDefault="00A45C03">
      <w:pPr>
        <w:pStyle w:val="BodyText"/>
        <w:rPr>
          <w:lang w:eastAsia="zh-CN"/>
        </w:rPr>
      </w:pPr>
      <w:hyperlink w:anchor="_ftnref2">
        <w:r>
          <w:rPr>
            <w:lang w:eastAsia="zh-CN"/>
          </w:rPr>
          <w:t>[2]</w:t>
        </w:r>
      </w:hyperlink>
      <w:r>
        <w:rPr>
          <w:lang w:eastAsia="zh-CN"/>
        </w:rPr>
        <w:t xml:space="preserve"> </w:t>
      </w:r>
      <w:r>
        <w:rPr>
          <w:lang w:eastAsia="zh-CN"/>
        </w:rPr>
        <w:t>有关刊发财务业绩的规定，见《主板上市规则》第</w:t>
      </w:r>
      <w:r>
        <w:rPr>
          <w:lang w:eastAsia="zh-CN"/>
        </w:rPr>
        <w:t>13.49(1)</w:t>
      </w:r>
      <w:r>
        <w:rPr>
          <w:lang w:eastAsia="zh-CN"/>
        </w:rPr>
        <w:t>及</w:t>
      </w:r>
      <w:r>
        <w:rPr>
          <w:lang w:eastAsia="zh-CN"/>
        </w:rPr>
        <w:t>(2)</w:t>
      </w:r>
      <w:r>
        <w:rPr>
          <w:lang w:eastAsia="zh-CN"/>
        </w:rPr>
        <w:t>条和《</w:t>
      </w:r>
      <w:r>
        <w:rPr>
          <w:lang w:eastAsia="zh-CN"/>
        </w:rPr>
        <w:t>GEM</w:t>
      </w:r>
      <w:r>
        <w:rPr>
          <w:lang w:eastAsia="zh-CN"/>
        </w:rPr>
        <w:t>上市规则》第</w:t>
      </w:r>
      <w:r>
        <w:rPr>
          <w:lang w:eastAsia="zh-CN"/>
        </w:rPr>
        <w:t>18.49</w:t>
      </w:r>
      <w:r>
        <w:rPr>
          <w:lang w:eastAsia="zh-CN"/>
        </w:rPr>
        <w:t>条。《</w:t>
      </w:r>
      <w:r>
        <w:rPr>
          <w:lang w:eastAsia="zh-CN"/>
        </w:rPr>
        <w:t>GEM</w:t>
      </w:r>
      <w:r>
        <w:rPr>
          <w:lang w:eastAsia="zh-CN"/>
        </w:rPr>
        <w:t>上市规则》亦规定，除刊发初步业绩外，亦须在财政年度结束后三个月内刊发经审核财务报表。</w:t>
      </w:r>
    </w:p>
    <w:p w:rsidR="00206C3F" w:rsidRDefault="00A45C03">
      <w:pPr>
        <w:pStyle w:val="BodyText"/>
        <w:rPr>
          <w:lang w:eastAsia="zh-CN"/>
        </w:rPr>
      </w:pPr>
      <w:hyperlink w:anchor="_ftnref3">
        <w:r>
          <w:rPr>
            <w:lang w:eastAsia="zh-CN"/>
          </w:rPr>
          <w:t>[3]</w:t>
        </w:r>
      </w:hyperlink>
      <w:r>
        <w:rPr>
          <w:lang w:eastAsia="zh-CN"/>
        </w:rPr>
        <w:t xml:space="preserve"> </w:t>
      </w:r>
      <w:r>
        <w:rPr>
          <w:lang w:eastAsia="zh-CN"/>
        </w:rPr>
        <w:t>见《主板上市规则》第</w:t>
      </w:r>
      <w:r>
        <w:rPr>
          <w:lang w:eastAsia="zh-CN"/>
        </w:rPr>
        <w:t>13.49(3)</w:t>
      </w:r>
      <w:r>
        <w:rPr>
          <w:lang w:eastAsia="zh-CN"/>
        </w:rPr>
        <w:t>及</w:t>
      </w:r>
      <w:r>
        <w:rPr>
          <w:lang w:eastAsia="zh-CN"/>
        </w:rPr>
        <w:t>(4)</w:t>
      </w:r>
      <w:r>
        <w:rPr>
          <w:lang w:eastAsia="zh-CN"/>
        </w:rPr>
        <w:t>条。发行人应发出适当的警告声明。</w:t>
      </w:r>
      <w:r>
        <w:rPr>
          <w:lang w:eastAsia="zh-CN"/>
        </w:rPr>
        <w:t>GEM</w:t>
      </w:r>
      <w:r>
        <w:rPr>
          <w:lang w:eastAsia="zh-CN"/>
        </w:rPr>
        <w:t>发行人如无法在限期届满当日或之前刊发经审核财务报表，也应遵循《主板上市规则》第</w:t>
      </w:r>
      <w:r>
        <w:rPr>
          <w:lang w:eastAsia="zh-CN"/>
        </w:rPr>
        <w:t>13.49(3)</w:t>
      </w:r>
      <w:r>
        <w:rPr>
          <w:lang w:eastAsia="zh-CN"/>
        </w:rPr>
        <w:t>及</w:t>
      </w:r>
      <w:r>
        <w:rPr>
          <w:lang w:eastAsia="zh-CN"/>
        </w:rPr>
        <w:t>(4)</w:t>
      </w:r>
      <w:r>
        <w:rPr>
          <w:lang w:eastAsia="zh-CN"/>
        </w:rPr>
        <w:t>的规定。</w:t>
      </w:r>
    </w:p>
    <w:p w:rsidR="00206C3F" w:rsidRDefault="00A45C03">
      <w:pPr>
        <w:pStyle w:val="DisclaimerBold"/>
        <w:rPr>
          <w:lang w:eastAsia="zh-CN"/>
        </w:rPr>
      </w:pPr>
      <w:r>
        <w:rPr>
          <w:lang w:eastAsia="zh-CN"/>
        </w:rPr>
        <w:t>此法讯仅为提供相关资料信息之用，其内容并</w:t>
      </w:r>
    </w:p>
    <w:p w:rsidR="00206C3F" w:rsidRDefault="00A45C03">
      <w:pPr>
        <w:pStyle w:val="Disclaimer"/>
        <w:rPr>
          <w:lang w:eastAsia="zh-CN"/>
        </w:rPr>
      </w:pPr>
      <w:r>
        <w:rPr>
          <w:lang w:eastAsia="zh-CN"/>
        </w:rPr>
        <w:t>不构成法律建议及个案的法律分析。</w:t>
      </w:r>
    </w:p>
    <w:p w:rsidR="00206C3F" w:rsidRDefault="00A45C03">
      <w:pPr>
        <w:pStyle w:val="Disclaimer"/>
        <w:rPr>
          <w:lang w:eastAsia="zh-CN"/>
        </w:rPr>
      </w:pPr>
      <w:r>
        <w:rPr>
          <w:lang w:eastAsia="zh-CN"/>
        </w:rPr>
        <w:t>此法讯的发送并不是为了在易周律师行与用户或浏览者之间建立一种律师与客户之关系。</w:t>
      </w:r>
    </w:p>
    <w:p w:rsidR="00206C3F" w:rsidRDefault="00A45C03">
      <w:pPr>
        <w:pStyle w:val="Disclaimer"/>
        <w:rPr>
          <w:lang w:eastAsia="zh-CN"/>
        </w:rPr>
      </w:pPr>
      <w:r>
        <w:rPr>
          <w:lang w:eastAsia="zh-CN"/>
        </w:rPr>
        <w:t>易周律师行并不对可从互联网获得的任何第三方内容负责。</w:t>
      </w:r>
    </w:p>
    <w:p w:rsidR="00206C3F" w:rsidRDefault="00A45C03">
      <w:pPr>
        <w:pStyle w:val="Disclaimer"/>
        <w:rPr>
          <w:lang w:eastAsia="zh-CN"/>
        </w:rPr>
      </w:pPr>
      <w:r>
        <w:rPr>
          <w:lang w:eastAsia="zh-CN"/>
        </w:rPr>
        <w:t>如你不希望再收到易周法讯，请发送电邮至</w:t>
      </w:r>
      <w:r>
        <w:rPr>
          <w:lang w:eastAsia="zh-CN"/>
        </w:rPr>
        <w:t xml:space="preserve">  </w:t>
      </w:r>
      <w:hyperlink r:id="rId10">
        <w:r>
          <w:rPr>
            <w:lang w:eastAsia="zh-CN"/>
          </w:rPr>
          <w:t>unsubscribe@charltonslaw.com</w:t>
        </w:r>
      </w:hyperlink>
    </w:p>
    <w:p w:rsidR="00206C3F" w:rsidRDefault="00A45C03">
      <w:pPr>
        <w:pStyle w:val="BlackStrips"/>
      </w:pPr>
      <w:r>
        <w:t xml:space="preserve">Charltons - </w:t>
      </w:r>
      <w:r>
        <w:t>香港法律</w:t>
      </w:r>
      <w:r>
        <w:t xml:space="preserve"> - 2020</w:t>
      </w:r>
      <w:r>
        <w:t>年</w:t>
      </w:r>
      <w:r>
        <w:t>2</w:t>
      </w:r>
      <w:r>
        <w:t>月14</w:t>
      </w:r>
      <w:bookmarkStart w:id="3" w:name="_GoBack"/>
      <w:bookmarkEnd w:id="3"/>
      <w:r>
        <w:t>日</w:t>
      </w:r>
    </w:p>
    <w:sectPr w:rsidR="00206C3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5C03">
      <w:pPr>
        <w:spacing w:after="0"/>
      </w:pPr>
      <w:r>
        <w:separator/>
      </w:r>
    </w:p>
  </w:endnote>
  <w:endnote w:type="continuationSeparator" w:id="0">
    <w:p w:rsidR="00000000" w:rsidRDefault="00A45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3F" w:rsidRDefault="00A45C03">
      <w:r>
        <w:separator/>
      </w:r>
    </w:p>
  </w:footnote>
  <w:footnote w:type="continuationSeparator" w:id="0">
    <w:p w:rsidR="00206C3F" w:rsidRDefault="00A45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B19F19"/>
    <w:multiLevelType w:val="multilevel"/>
    <w:tmpl w:val="F4B0BF3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D360BBCD"/>
    <w:multiLevelType w:val="multilevel"/>
    <w:tmpl w:val="F08A9B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EBE9751"/>
    <w:multiLevelType w:val="multilevel"/>
    <w:tmpl w:val="2BAA937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06C3F"/>
    <w:rsid w:val="004E29B3"/>
    <w:rsid w:val="00590D07"/>
    <w:rsid w:val="00784D58"/>
    <w:rsid w:val="008D6863"/>
    <w:rsid w:val="00A45C0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A17CC8"/>
  <w15:docId w15:val="{F3777982-567D-4FF5-9C23-2B5BE8D4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TC/news-and-announcements/news/doc?refNo=20PR11" TargetMode="External"/><Relationship Id="rId3" Type="http://schemas.openxmlformats.org/officeDocument/2006/relationships/settings" Target="settings.xml"/><Relationship Id="rId7" Type="http://schemas.openxmlformats.org/officeDocument/2006/relationships/hyperlink" Target="http://www.charltonslaw.com.cn/xiang-gang-lian-jiao-suo-ji-zheng-jian-hui-fa-biao-you-guan-zai-yan-zhong-xin-xing-chuan-ran-xing-bing-yuan-ti-hu-xi-xi-tong-ji-bing-de-lv-you-xian-zhi-xia-kan-fa-ye-ji-gong-gao-de-lian-he-sheng-m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sfc.hk/edistributionWeb/gateway/TC/news-and-announcements/news/doc?refNo=20P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466</Words>
  <Characters>2662</Characters>
  <Application>Microsoft Office Word</Application>
  <DocSecurity>0</DocSecurity>
  <Lines>22</Lines>
  <Paragraphs>6</Paragraphs>
  <ScaleCrop>false</ScaleCrop>
  <Company>Charltons</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2020-02-13T07:59:00Z</dcterms:created>
  <dcterms:modified xsi:type="dcterms:W3CDTF">2020-02-14T02:29:00Z</dcterms:modified>
</cp:coreProperties>
</file>