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D04" w:rsidRDefault="00EB372C">
      <w:pPr>
        <w:pStyle w:val="BlackStrips"/>
      </w:pPr>
      <w:r>
        <w:t xml:space="preserve">Charltons - </w:t>
      </w:r>
      <w:r>
        <w:t>香港法律</w:t>
      </w:r>
      <w:r>
        <w:t xml:space="preserve"> - 2020</w:t>
      </w:r>
      <w:r>
        <w:t>年</w:t>
      </w:r>
      <w:r>
        <w:t>4</w:t>
      </w:r>
      <w:r>
        <w:t>月</w:t>
      </w:r>
      <w:r>
        <w:t>7</w:t>
      </w:r>
      <w:r>
        <w:t>日</w:t>
      </w:r>
    </w:p>
    <w:p w:rsidR="00FA3D04" w:rsidRDefault="00EB372C">
      <w:pPr>
        <w:pStyle w:val="ReadOnline"/>
        <w:rPr>
          <w:lang w:eastAsia="zh-CN"/>
        </w:rPr>
      </w:pPr>
      <w:hyperlink r:id="rId7">
        <w:r>
          <w:rPr>
            <w:lang w:eastAsia="zh-CN"/>
          </w:rPr>
          <w:t>online version</w:t>
        </w:r>
      </w:hyperlink>
    </w:p>
    <w:p w:rsidR="00FA3D04" w:rsidRDefault="00EB372C">
      <w:pPr>
        <w:pStyle w:val="Title"/>
        <w:rPr>
          <w:lang w:eastAsia="zh-CN"/>
        </w:rPr>
      </w:pPr>
      <w:r>
        <w:rPr>
          <w:lang w:eastAsia="zh-CN"/>
        </w:rPr>
        <w:t>证监会在</w:t>
      </w:r>
      <w:r>
        <w:rPr>
          <w:lang w:eastAsia="zh-CN"/>
        </w:rPr>
        <w:t>2019</w:t>
      </w:r>
      <w:r>
        <w:rPr>
          <w:lang w:eastAsia="zh-CN"/>
        </w:rPr>
        <w:t>冠状病毒大</w:t>
      </w:r>
      <w:r>
        <w:rPr>
          <w:lang w:eastAsia="zh-CN"/>
        </w:rPr>
        <w:t>流行背景下顺延监管要求实施期限并提醒中介机构注意记录交易指示规定</w:t>
      </w:r>
    </w:p>
    <w:p w:rsidR="00FA3D04" w:rsidRDefault="00EB372C">
      <w:pPr>
        <w:pStyle w:val="FirstParagraph"/>
        <w:rPr>
          <w:lang w:eastAsia="zh-CN"/>
        </w:rPr>
      </w:pPr>
      <w:r>
        <w:rPr>
          <w:lang w:eastAsia="zh-CN"/>
        </w:rPr>
        <w:t>1. 2019</w:t>
      </w:r>
      <w:r>
        <w:rPr>
          <w:lang w:eastAsia="zh-CN"/>
        </w:rPr>
        <w:t>冠状病毒大流行证监会指引</w:t>
      </w:r>
    </w:p>
    <w:p w:rsidR="00FA3D04" w:rsidRDefault="00EB372C">
      <w:pPr>
        <w:pStyle w:val="BodyText"/>
        <w:rPr>
          <w:lang w:eastAsia="zh-CN"/>
        </w:rPr>
      </w:pPr>
      <w:r>
        <w:rPr>
          <w:lang w:eastAsia="zh-CN"/>
        </w:rPr>
        <w:t>2020</w:t>
      </w:r>
      <w:r>
        <w:rPr>
          <w:lang w:eastAsia="zh-CN"/>
        </w:rPr>
        <w:t>年</w:t>
      </w:r>
      <w:r>
        <w:rPr>
          <w:lang w:eastAsia="zh-CN"/>
        </w:rPr>
        <w:t>3</w:t>
      </w:r>
      <w:r>
        <w:rPr>
          <w:lang w:eastAsia="zh-CN"/>
        </w:rPr>
        <w:t>月</w:t>
      </w:r>
      <w:r>
        <w:rPr>
          <w:lang w:eastAsia="zh-CN"/>
        </w:rPr>
        <w:t>31</w:t>
      </w:r>
      <w:r>
        <w:rPr>
          <w:lang w:eastAsia="zh-CN"/>
        </w:rPr>
        <w:t>日，香港证券及期货事务监察委员会（证监会）向香港持牌中介人发布了一份</w:t>
      </w:r>
      <w:hyperlink r:id="rId8">
        <w:r>
          <w:rPr>
            <w:lang w:eastAsia="zh-CN"/>
          </w:rPr>
          <w:t>通函</w:t>
        </w:r>
      </w:hyperlink>
      <w:hyperlink w:anchor="_ftn1">
        <w:r>
          <w:rPr>
            <w:lang w:eastAsia="zh-CN"/>
          </w:rPr>
          <w:t>[1]</w:t>
        </w:r>
      </w:hyperlink>
      <w:r>
        <w:rPr>
          <w:lang w:eastAsia="zh-CN"/>
        </w:rPr>
        <w:t>，将三项监管要求</w:t>
      </w:r>
      <w:r>
        <w:rPr>
          <w:lang w:eastAsia="zh-CN"/>
        </w:rPr>
        <w:t>（于</w:t>
      </w:r>
      <w:r>
        <w:rPr>
          <w:lang w:eastAsia="zh-CN"/>
        </w:rPr>
        <w:t>2020</w:t>
      </w:r>
      <w:r>
        <w:rPr>
          <w:lang w:eastAsia="zh-CN"/>
        </w:rPr>
        <w:t>年生效）的实施期限顺延了六个月。该通函还提醒中介机构注意在</w:t>
      </w:r>
      <w:r>
        <w:rPr>
          <w:lang w:eastAsia="zh-CN"/>
        </w:rPr>
        <w:t>2019</w:t>
      </w:r>
      <w:r>
        <w:rPr>
          <w:lang w:eastAsia="zh-CN"/>
        </w:rPr>
        <w:t>冠状病毒大流行背景下仍需遵守记录交易指示规定。</w:t>
      </w:r>
    </w:p>
    <w:p w:rsidR="00FA3D04" w:rsidRDefault="00EB372C">
      <w:pPr>
        <w:pStyle w:val="BodyText"/>
        <w:rPr>
          <w:lang w:eastAsia="zh-CN"/>
        </w:rPr>
      </w:pPr>
      <w:r>
        <w:rPr>
          <w:lang w:eastAsia="zh-CN"/>
        </w:rPr>
        <w:t>证监会在通函中表示正密切监察</w:t>
      </w:r>
      <w:r>
        <w:rPr>
          <w:lang w:eastAsia="zh-CN"/>
        </w:rPr>
        <w:t>2019</w:t>
      </w:r>
      <w:r>
        <w:rPr>
          <w:lang w:eastAsia="zh-CN"/>
        </w:rPr>
        <w:t>冠状病毒（即</w:t>
      </w:r>
      <w:r>
        <w:rPr>
          <w:lang w:eastAsia="zh-CN"/>
        </w:rPr>
        <w:t>COVID-19</w:t>
      </w:r>
      <w:r>
        <w:rPr>
          <w:lang w:eastAsia="zh-CN"/>
        </w:rPr>
        <w:t>，简称新冠病毒）全球大流行的发展情况，同时知悉业界对于不同职能的本地及海外员工会因近期各地政府的政策（例如旅游禁令，地区封锁及强制隔离期）而难以在通常的办公地点工作表示顾虑。证监会注意到部分中介机构已决定就职员的工作调配重新作出安排，以减轻新冠病毒的感染风险。</w:t>
      </w:r>
    </w:p>
    <w:p w:rsidR="00FA3D04" w:rsidRDefault="00EB372C">
      <w:pPr>
        <w:pStyle w:val="BodyText"/>
        <w:rPr>
          <w:lang w:eastAsia="zh-CN"/>
        </w:rPr>
      </w:pPr>
      <w:r>
        <w:rPr>
          <w:lang w:eastAsia="zh-CN"/>
        </w:rPr>
        <w:t>正如证监会在</w:t>
      </w:r>
      <w:r>
        <w:rPr>
          <w:lang w:eastAsia="zh-CN"/>
        </w:rPr>
        <w:t>2020</w:t>
      </w:r>
      <w:r>
        <w:rPr>
          <w:lang w:eastAsia="zh-CN"/>
        </w:rPr>
        <w:t>年</w:t>
      </w:r>
      <w:r>
        <w:rPr>
          <w:lang w:eastAsia="zh-CN"/>
        </w:rPr>
        <w:t>2</w:t>
      </w:r>
      <w:r>
        <w:rPr>
          <w:lang w:eastAsia="zh-CN"/>
        </w:rPr>
        <w:t>月</w:t>
      </w:r>
      <w:r>
        <w:rPr>
          <w:lang w:eastAsia="zh-CN"/>
        </w:rPr>
        <w:t>5</w:t>
      </w:r>
      <w:r>
        <w:rPr>
          <w:lang w:eastAsia="zh-CN"/>
        </w:rPr>
        <w:t>日发出题为</w:t>
      </w:r>
      <w:hyperlink r:id="rId9">
        <w:r>
          <w:rPr>
            <w:lang w:eastAsia="zh-CN"/>
          </w:rPr>
          <w:t>《有关证监会公共服务的安排》</w:t>
        </w:r>
      </w:hyperlink>
      <w:r>
        <w:rPr>
          <w:lang w:eastAsia="zh-CN"/>
        </w:rPr>
        <w:t xml:space="preserve"> </w:t>
      </w:r>
      <w:r>
        <w:rPr>
          <w:lang w:eastAsia="zh-CN"/>
        </w:rPr>
        <w:t>的新闻稿中所载述</w:t>
      </w:r>
      <w:hyperlink w:anchor="_ftn2">
        <w:r>
          <w:rPr>
            <w:lang w:eastAsia="zh-CN"/>
          </w:rPr>
          <w:t>[2]</w:t>
        </w:r>
      </w:hyperlink>
      <w:r>
        <w:rPr>
          <w:lang w:eastAsia="zh-CN"/>
        </w:rPr>
        <w:t xml:space="preserve"> </w:t>
      </w:r>
      <w:r>
        <w:rPr>
          <w:lang w:eastAsia="zh-CN"/>
        </w:rPr>
        <w:t>，在一般情况下，证监会持牌中介机构应尽一切合理努力，确保在履行监管责任，提交所有监管数据，作出汇报和遵守其他期限方面，能维持</w:t>
      </w:r>
      <w:r>
        <w:rPr>
          <w:lang w:eastAsia="zh-CN"/>
        </w:rPr>
        <w:t>“</w:t>
      </w:r>
      <w:r>
        <w:rPr>
          <w:lang w:eastAsia="zh-CN"/>
        </w:rPr>
        <w:t>正常业务运作</w:t>
      </w:r>
      <w:r>
        <w:rPr>
          <w:lang w:eastAsia="zh-CN"/>
        </w:rPr>
        <w:t>”</w:t>
      </w:r>
      <w:r>
        <w:rPr>
          <w:lang w:eastAsia="zh-CN"/>
        </w:rPr>
        <w:t>。若证监会持牌中介机构因冠状病毒的情况而遇到特</w:t>
      </w:r>
      <w:r>
        <w:rPr>
          <w:lang w:eastAsia="zh-CN"/>
        </w:rPr>
        <w:t>定困难，应通知他们在证监会的惯常联络人。</w:t>
      </w:r>
    </w:p>
    <w:p w:rsidR="00FA3D04" w:rsidRDefault="00EB372C">
      <w:pPr>
        <w:pStyle w:val="BodyText"/>
        <w:rPr>
          <w:lang w:eastAsia="zh-CN"/>
        </w:rPr>
      </w:pPr>
      <w:r>
        <w:rPr>
          <w:lang w:eastAsia="zh-CN"/>
        </w:rPr>
        <w:t>证监会最新通函中也提到鉴于目前前所未见的市场形势及波动，证监会持牌中介机构应继续专注于内部监控和风险管理，确保在财政及营运方面均具备抵御冲击的能力。不过证监会意识到，各中介机构因应其规模和所进行受规管活动的种类等因素，在营运及维持</w:t>
      </w:r>
      <w:r>
        <w:rPr>
          <w:lang w:eastAsia="zh-CN"/>
        </w:rPr>
        <w:t>“</w:t>
      </w:r>
      <w:r>
        <w:rPr>
          <w:lang w:eastAsia="zh-CN"/>
        </w:rPr>
        <w:t>正常业务运作</w:t>
      </w:r>
      <w:r>
        <w:rPr>
          <w:lang w:eastAsia="zh-CN"/>
        </w:rPr>
        <w:t>”</w:t>
      </w:r>
      <w:r>
        <w:rPr>
          <w:lang w:eastAsia="zh-CN"/>
        </w:rPr>
        <w:t>上面对着种种挑战。</w:t>
      </w:r>
    </w:p>
    <w:p w:rsidR="00FA3D04" w:rsidRDefault="00EB372C">
      <w:pPr>
        <w:pStyle w:val="BodyText"/>
        <w:rPr>
          <w:lang w:eastAsia="zh-CN"/>
        </w:rPr>
      </w:pPr>
      <w:r>
        <w:rPr>
          <w:lang w:eastAsia="zh-CN"/>
        </w:rPr>
        <w:t>通函还提醒证监会持牌中介机构，于新冠病毒全球大流行期间在现行的监管框架下就记录交易指示可选用的替代方案。</w:t>
      </w:r>
    </w:p>
    <w:p w:rsidR="00FA3D04" w:rsidRDefault="00EB372C">
      <w:pPr>
        <w:pStyle w:val="BodyText"/>
        <w:rPr>
          <w:lang w:eastAsia="zh-CN"/>
        </w:rPr>
      </w:pPr>
      <w:r>
        <w:rPr>
          <w:lang w:eastAsia="zh-CN"/>
        </w:rPr>
        <w:t xml:space="preserve">2. </w:t>
      </w:r>
      <w:r>
        <w:rPr>
          <w:lang w:eastAsia="zh-CN"/>
        </w:rPr>
        <w:t>证监会致中介机构的通函：有关在新冠疫情下顺延监管要求的实施期限及提醒业界注意记录交易指示规定</w:t>
      </w:r>
    </w:p>
    <w:p w:rsidR="00FA3D04" w:rsidRDefault="00EB372C">
      <w:pPr>
        <w:pStyle w:val="BodyText"/>
        <w:rPr>
          <w:lang w:eastAsia="zh-CN"/>
        </w:rPr>
      </w:pPr>
      <w:r>
        <w:rPr>
          <w:lang w:eastAsia="zh-CN"/>
        </w:rPr>
        <w:t xml:space="preserve">a. </w:t>
      </w:r>
      <w:r>
        <w:rPr>
          <w:lang w:eastAsia="zh-CN"/>
        </w:rPr>
        <w:t>顺延监管要求的实施期限</w:t>
      </w:r>
    </w:p>
    <w:p w:rsidR="00FA3D04" w:rsidRDefault="00EB372C">
      <w:pPr>
        <w:pStyle w:val="BodyText"/>
        <w:rPr>
          <w:lang w:eastAsia="zh-CN"/>
        </w:rPr>
      </w:pPr>
      <w:r>
        <w:rPr>
          <w:lang w:eastAsia="zh-CN"/>
        </w:rPr>
        <w:t>证监会将下列监管要求（于</w:t>
      </w:r>
      <w:r>
        <w:rPr>
          <w:lang w:eastAsia="zh-CN"/>
        </w:rPr>
        <w:t>2020</w:t>
      </w:r>
      <w:r>
        <w:rPr>
          <w:lang w:eastAsia="zh-CN"/>
        </w:rPr>
        <w:t>年生效）的实施期限顺延了六个月：</w:t>
      </w:r>
    </w:p>
    <w:tbl>
      <w:tblPr>
        <w:tblW w:w="5000" w:type="pct"/>
        <w:tblLayout w:type="fixed"/>
        <w:tblLook w:val="04A0" w:firstRow="1" w:lastRow="0" w:firstColumn="1" w:lastColumn="0" w:noHBand="0" w:noVBand="1"/>
      </w:tblPr>
      <w:tblGrid>
        <w:gridCol w:w="5070"/>
        <w:gridCol w:w="1854"/>
        <w:gridCol w:w="3470"/>
      </w:tblGrid>
      <w:tr w:rsidR="00FA3D04" w:rsidTr="00EB372C">
        <w:tc>
          <w:tcPr>
            <w:tcW w:w="2438" w:type="pct"/>
          </w:tcPr>
          <w:p w:rsidR="00FA3D04" w:rsidRDefault="00EB372C">
            <w:r>
              <w:rPr>
                <w:b/>
              </w:rPr>
              <w:t>即将实施的监管要求</w:t>
            </w:r>
          </w:p>
        </w:tc>
        <w:tc>
          <w:tcPr>
            <w:tcW w:w="892" w:type="pct"/>
          </w:tcPr>
          <w:p w:rsidR="00FA3D04" w:rsidRDefault="00EB372C">
            <w:r>
              <w:rPr>
                <w:b/>
              </w:rPr>
              <w:t>原定的实施期限</w:t>
            </w:r>
          </w:p>
        </w:tc>
        <w:tc>
          <w:tcPr>
            <w:tcW w:w="1669" w:type="pct"/>
          </w:tcPr>
          <w:p w:rsidR="00FA3D04" w:rsidRDefault="00EB372C">
            <w:r>
              <w:rPr>
                <w:b/>
              </w:rPr>
              <w:t>经顺延的实施期限</w:t>
            </w:r>
          </w:p>
        </w:tc>
      </w:tr>
      <w:tr w:rsidR="00FA3D04" w:rsidTr="00EB372C">
        <w:tc>
          <w:tcPr>
            <w:tcW w:w="2438" w:type="pct"/>
          </w:tcPr>
          <w:p w:rsidR="00FA3D04" w:rsidRDefault="00EB372C">
            <w:pPr>
              <w:rPr>
                <w:lang w:eastAsia="zh-CN"/>
              </w:rPr>
            </w:pPr>
            <w:r>
              <w:rPr>
                <w:lang w:eastAsia="zh-CN"/>
              </w:rPr>
              <w:t>外间电子数据存储的使用：</w:t>
            </w:r>
          </w:p>
          <w:p w:rsidR="00FA3D04" w:rsidRDefault="00EB372C">
            <w:pPr>
              <w:rPr>
                <w:lang w:eastAsia="zh-CN"/>
              </w:rPr>
            </w:pPr>
            <w:r>
              <w:rPr>
                <w:lang w:eastAsia="zh-CN"/>
              </w:rPr>
              <w:t>当中要求若持牌法团采用的电子数据储存供应商的数据中心已于</w:t>
            </w:r>
            <w:r>
              <w:rPr>
                <w:lang w:eastAsia="zh-CN"/>
              </w:rPr>
              <w:t>2019</w:t>
            </w:r>
            <w:r>
              <w:rPr>
                <w:lang w:eastAsia="zh-CN"/>
              </w:rPr>
              <w:t>年</w:t>
            </w:r>
            <w:r>
              <w:rPr>
                <w:lang w:eastAsia="zh-CN"/>
              </w:rPr>
              <w:t>10</w:t>
            </w:r>
            <w:r>
              <w:rPr>
                <w:lang w:eastAsia="zh-CN"/>
              </w:rPr>
              <w:t>月</w:t>
            </w:r>
            <w:r>
              <w:rPr>
                <w:lang w:eastAsia="zh-CN"/>
              </w:rPr>
              <w:t>31</w:t>
            </w:r>
            <w:r>
              <w:rPr>
                <w:lang w:eastAsia="zh-CN"/>
              </w:rPr>
              <w:t>日前根据《证券及期货条例》第</w:t>
            </w:r>
            <w:r>
              <w:rPr>
                <w:lang w:eastAsia="zh-CN"/>
              </w:rPr>
              <w:t>130</w:t>
            </w:r>
            <w:r>
              <w:rPr>
                <w:lang w:eastAsia="zh-CN"/>
              </w:rPr>
              <w:t>条获得批准，便应向证监会发牌科提供</w:t>
            </w:r>
            <w:r>
              <w:rPr>
                <w:lang w:eastAsia="zh-CN"/>
              </w:rPr>
              <w:t>2019</w:t>
            </w:r>
            <w:r>
              <w:rPr>
                <w:lang w:eastAsia="zh-CN"/>
              </w:rPr>
              <w:t>年</w:t>
            </w:r>
            <w:r>
              <w:rPr>
                <w:lang w:eastAsia="zh-CN"/>
              </w:rPr>
              <w:t>10</w:t>
            </w:r>
            <w:r>
              <w:rPr>
                <w:lang w:eastAsia="zh-CN"/>
              </w:rPr>
              <w:t>月</w:t>
            </w:r>
            <w:r>
              <w:rPr>
                <w:lang w:eastAsia="zh-CN"/>
              </w:rPr>
              <w:t>31</w:t>
            </w:r>
            <w:r>
              <w:rPr>
                <w:lang w:eastAsia="zh-CN"/>
              </w:rPr>
              <w:t>日发出的</w:t>
            </w:r>
            <w:hyperlink r:id="rId10">
              <w:r>
                <w:rPr>
                  <w:lang w:eastAsia="zh-CN"/>
                </w:rPr>
                <w:t>《证监会致持牌法团的通函</w:t>
              </w:r>
              <w:r>
                <w:rPr>
                  <w:lang w:eastAsia="zh-CN"/>
                </w:rPr>
                <w:t>-</w:t>
              </w:r>
              <w:r>
                <w:rPr>
                  <w:lang w:eastAsia="zh-CN"/>
                </w:rPr>
                <w:t>外间电子数据存储的使用》</w:t>
              </w:r>
            </w:hyperlink>
            <w:hyperlink w:anchor="_ftn3">
              <w:r>
                <w:rPr>
                  <w:lang w:eastAsia="zh-CN"/>
                </w:rPr>
                <w:t>[3]</w:t>
              </w:r>
            </w:hyperlink>
            <w:r>
              <w:rPr>
                <w:lang w:eastAsia="zh-CN"/>
              </w:rPr>
              <w:t>第</w:t>
            </w:r>
            <w:r>
              <w:rPr>
                <w:lang w:eastAsia="zh-CN"/>
              </w:rPr>
              <w:t>25</w:t>
            </w:r>
            <w:r>
              <w:rPr>
                <w:lang w:eastAsia="zh-CN"/>
              </w:rPr>
              <w:t>段所述的</w:t>
            </w:r>
            <w:r>
              <w:rPr>
                <w:lang w:eastAsia="zh-CN"/>
              </w:rPr>
              <w:lastRenderedPageBreak/>
              <w:t>文件</w:t>
            </w:r>
          </w:p>
        </w:tc>
        <w:tc>
          <w:tcPr>
            <w:tcW w:w="892" w:type="pct"/>
          </w:tcPr>
          <w:p w:rsidR="00FA3D04" w:rsidRDefault="00EB372C">
            <w:r>
              <w:lastRenderedPageBreak/>
              <w:t>2020</w:t>
            </w:r>
            <w:r>
              <w:t>年</w:t>
            </w:r>
            <w:r>
              <w:t>6</w:t>
            </w:r>
            <w:r>
              <w:t>月</w:t>
            </w:r>
            <w:r>
              <w:t>30</w:t>
            </w:r>
            <w:r>
              <w:t>日</w:t>
            </w:r>
          </w:p>
        </w:tc>
        <w:tc>
          <w:tcPr>
            <w:tcW w:w="1669" w:type="pct"/>
          </w:tcPr>
          <w:p w:rsidR="00FA3D04" w:rsidRDefault="00EB372C">
            <w:pPr>
              <w:rPr>
                <w:lang w:eastAsia="zh-CN"/>
              </w:rPr>
            </w:pPr>
            <w:r>
              <w:rPr>
                <w:lang w:eastAsia="zh-CN"/>
              </w:rPr>
              <w:t>2020</w:t>
            </w:r>
            <w:r>
              <w:rPr>
                <w:lang w:eastAsia="zh-CN"/>
              </w:rPr>
              <w:t>年</w:t>
            </w:r>
            <w:r>
              <w:rPr>
                <w:lang w:eastAsia="zh-CN"/>
              </w:rPr>
              <w:t>12</w:t>
            </w:r>
            <w:r>
              <w:rPr>
                <w:lang w:eastAsia="zh-CN"/>
              </w:rPr>
              <w:t>月</w:t>
            </w:r>
            <w:r>
              <w:rPr>
                <w:lang w:eastAsia="zh-CN"/>
              </w:rPr>
              <w:t>31</w:t>
            </w:r>
            <w:r>
              <w:rPr>
                <w:lang w:eastAsia="zh-CN"/>
              </w:rPr>
              <w:t>日</w:t>
            </w:r>
          </w:p>
          <w:p w:rsidR="00FA3D04" w:rsidRDefault="00EB372C">
            <w:pPr>
              <w:rPr>
                <w:lang w:eastAsia="zh-CN"/>
              </w:rPr>
            </w:pPr>
            <w:r>
              <w:rPr>
                <w:i/>
                <w:lang w:eastAsia="zh-CN"/>
              </w:rPr>
              <w:t>备注：现时只在电子数据储存供应商（不论是在香港或海外）存放纪录的持牌法团，务必通知证监会，不得延误。</w:t>
            </w:r>
          </w:p>
        </w:tc>
      </w:tr>
      <w:tr w:rsidR="00FA3D04" w:rsidTr="00EB372C">
        <w:tc>
          <w:tcPr>
            <w:tcW w:w="2439" w:type="pct"/>
          </w:tcPr>
          <w:p w:rsidR="00FA3D04" w:rsidRDefault="00EB372C">
            <w:pPr>
              <w:rPr>
                <w:lang w:eastAsia="zh-CN"/>
              </w:rPr>
            </w:pPr>
            <w:hyperlink r:id="rId11">
              <w:r>
                <w:rPr>
                  <w:lang w:eastAsia="zh-CN"/>
                </w:rPr>
                <w:t>保障客户资产的新措施</w:t>
              </w:r>
            </w:hyperlink>
            <w:hyperlink w:anchor="_ftn4">
              <w:r>
                <w:rPr>
                  <w:lang w:eastAsia="zh-CN"/>
                </w:rPr>
                <w:t>[4]</w:t>
              </w:r>
            </w:hyperlink>
          </w:p>
          <w:p w:rsidR="00FA3D04" w:rsidRDefault="00EB372C">
            <w:pPr>
              <w:rPr>
                <w:lang w:eastAsia="zh-CN"/>
              </w:rPr>
            </w:pPr>
            <w:r>
              <w:rPr>
                <w:lang w:eastAsia="zh-CN"/>
              </w:rPr>
              <w:t>当中要求证监会持牌中介机构将任何客户款项或证券存入新开设的客户资产账户前，必须备妥已由相关银行加签的客户资产确认函</w:t>
            </w:r>
          </w:p>
        </w:tc>
        <w:tc>
          <w:tcPr>
            <w:tcW w:w="892" w:type="pct"/>
          </w:tcPr>
          <w:p w:rsidR="00FA3D04" w:rsidRDefault="00EB372C">
            <w:r>
              <w:t>202</w:t>
            </w:r>
            <w:bookmarkStart w:id="0" w:name="_GoBack"/>
            <w:bookmarkEnd w:id="0"/>
            <w:r>
              <w:t>0</w:t>
            </w:r>
            <w:r>
              <w:t>年</w:t>
            </w:r>
            <w:r>
              <w:t>7</w:t>
            </w:r>
            <w:r>
              <w:t>月</w:t>
            </w:r>
            <w:r>
              <w:t>31</w:t>
            </w:r>
            <w:r>
              <w:t>日</w:t>
            </w:r>
          </w:p>
        </w:tc>
        <w:tc>
          <w:tcPr>
            <w:tcW w:w="1669" w:type="pct"/>
          </w:tcPr>
          <w:p w:rsidR="00FA3D04" w:rsidRDefault="00EB372C">
            <w:r>
              <w:t>2021</w:t>
            </w:r>
            <w:r>
              <w:t>年</w:t>
            </w:r>
            <w:r>
              <w:t>1</w:t>
            </w:r>
            <w:r>
              <w:t>月</w:t>
            </w:r>
            <w:r>
              <w:t>31</w:t>
            </w:r>
            <w:r>
              <w:t>日</w:t>
            </w:r>
          </w:p>
        </w:tc>
      </w:tr>
      <w:tr w:rsidR="00FA3D04" w:rsidTr="00EB372C">
        <w:tc>
          <w:tcPr>
            <w:tcW w:w="2439" w:type="pct"/>
          </w:tcPr>
          <w:p w:rsidR="00FA3D04" w:rsidRDefault="00EB372C">
            <w:pPr>
              <w:rPr>
                <w:lang w:eastAsia="zh-CN"/>
              </w:rPr>
            </w:pPr>
            <w:hyperlink r:id="rId12">
              <w:r>
                <w:rPr>
                  <w:lang w:eastAsia="zh-CN"/>
                </w:rPr>
                <w:t>适用于买卖盘生命周期的数据标准</w:t>
              </w:r>
            </w:hyperlink>
            <w:hyperlink w:anchor="_ftn5">
              <w:r>
                <w:rPr>
                  <w:lang w:eastAsia="zh-CN"/>
                </w:rPr>
                <w:t>[5]</w:t>
              </w:r>
            </w:hyperlink>
          </w:p>
          <w:p w:rsidR="00FA3D04" w:rsidRDefault="00EB372C">
            <w:pPr>
              <w:rPr>
                <w:lang w:eastAsia="zh-CN"/>
              </w:rPr>
            </w:pPr>
            <w:r>
              <w:rPr>
                <w:lang w:eastAsia="zh-CN"/>
              </w:rPr>
              <w:t>当中要求该范围内的经纪行应更改系统及作出其他所需的安排，以遵循数据标准</w:t>
            </w:r>
          </w:p>
        </w:tc>
        <w:tc>
          <w:tcPr>
            <w:tcW w:w="892" w:type="pct"/>
          </w:tcPr>
          <w:p w:rsidR="00FA3D04" w:rsidRDefault="00EB372C">
            <w:r>
              <w:t>2020</w:t>
            </w:r>
            <w:r>
              <w:t>年</w:t>
            </w:r>
            <w:r>
              <w:t>10</w:t>
            </w:r>
            <w:r>
              <w:t>月</w:t>
            </w:r>
            <w:r>
              <w:t>31</w:t>
            </w:r>
            <w:r>
              <w:t>日</w:t>
            </w:r>
          </w:p>
        </w:tc>
        <w:tc>
          <w:tcPr>
            <w:tcW w:w="1669" w:type="pct"/>
          </w:tcPr>
          <w:p w:rsidR="00FA3D04" w:rsidRDefault="00EB372C">
            <w:r>
              <w:t>2021</w:t>
            </w:r>
            <w:r>
              <w:t>年</w:t>
            </w:r>
            <w:r>
              <w:t>4</w:t>
            </w:r>
            <w:r>
              <w:t>月</w:t>
            </w:r>
            <w:r>
              <w:t>30</w:t>
            </w:r>
            <w:r>
              <w:t>日</w:t>
            </w:r>
          </w:p>
        </w:tc>
      </w:tr>
    </w:tbl>
    <w:p w:rsidR="00FA3D04" w:rsidRDefault="00EB372C">
      <w:pPr>
        <w:pStyle w:val="BodyText"/>
        <w:rPr>
          <w:lang w:eastAsia="zh-CN"/>
        </w:rPr>
      </w:pPr>
      <w:r>
        <w:rPr>
          <w:lang w:eastAsia="zh-CN"/>
        </w:rPr>
        <w:t xml:space="preserve">b. </w:t>
      </w:r>
      <w:r>
        <w:rPr>
          <w:lang w:eastAsia="zh-CN"/>
        </w:rPr>
        <w:t>遵循记录交易指示规定</w:t>
      </w:r>
    </w:p>
    <w:p w:rsidR="00FA3D04" w:rsidRDefault="00EB372C">
      <w:pPr>
        <w:pStyle w:val="BodyText"/>
        <w:rPr>
          <w:lang w:eastAsia="zh-CN"/>
        </w:rPr>
      </w:pPr>
      <w:r>
        <w:rPr>
          <w:lang w:eastAsia="zh-CN"/>
        </w:rPr>
        <w:t>鉴于出现了新冠病毒全球大流行，证监会持牌中介机构的职员可能不会在通常的办公地点工作。证监会注意到，不少持牌中介机构已向职员提供了交易指示管理系统的遥距接达权，这些系统能够集中记录在遥距地点发出的交易指示。</w:t>
      </w:r>
    </w:p>
    <w:p w:rsidR="00FA3D04" w:rsidRDefault="00EB372C">
      <w:pPr>
        <w:pStyle w:val="BodyText"/>
        <w:rPr>
          <w:lang w:eastAsia="zh-CN"/>
        </w:rPr>
      </w:pPr>
      <w:r>
        <w:rPr>
          <w:lang w:eastAsia="zh-CN"/>
        </w:rPr>
        <w:t>然而，部分中介机构在确保遵循《证券及期货事务监察委员会持牌人或注册人操守准则》</w:t>
      </w:r>
      <w:hyperlink w:anchor="_ftn6">
        <w:r>
          <w:rPr>
            <w:lang w:eastAsia="zh-CN"/>
          </w:rPr>
          <w:t>[6]</w:t>
        </w:r>
      </w:hyperlink>
      <w:r>
        <w:rPr>
          <w:lang w:eastAsia="zh-CN"/>
        </w:rPr>
        <w:t>（简称</w:t>
      </w:r>
      <w:r>
        <w:rPr>
          <w:b/>
          <w:lang w:eastAsia="zh-CN"/>
        </w:rPr>
        <w:t>《证监会操守准则》</w:t>
      </w:r>
      <w:r>
        <w:rPr>
          <w:lang w:eastAsia="zh-CN"/>
        </w:rPr>
        <w:t>）第</w:t>
      </w:r>
      <w:r>
        <w:rPr>
          <w:lang w:eastAsia="zh-CN"/>
        </w:rPr>
        <w:t>3.9</w:t>
      </w:r>
      <w:r>
        <w:rPr>
          <w:lang w:eastAsia="zh-CN"/>
        </w:rPr>
        <w:t>段所载的记录交易指示规定方面，可能会因为当中对持牌人或注册人的以下规定而遭遇种种挑战：</w:t>
      </w:r>
    </w:p>
    <w:p w:rsidR="00FA3D04" w:rsidRDefault="00EB372C">
      <w:pPr>
        <w:pStyle w:val="Compact"/>
        <w:numPr>
          <w:ilvl w:val="0"/>
          <w:numId w:val="2"/>
        </w:numPr>
        <w:rPr>
          <w:lang w:eastAsia="zh-CN"/>
        </w:rPr>
      </w:pPr>
      <w:r>
        <w:rPr>
          <w:lang w:eastAsia="zh-CN"/>
        </w:rPr>
        <w:t>应记录其以代理人身分接收的交易指示及来自公司</w:t>
      </w:r>
      <w:r>
        <w:rPr>
          <w:lang w:eastAsia="zh-CN"/>
        </w:rPr>
        <w:t>内部的交易指示的细节，并立即在有关纪录之上盖上时间印章；及</w:t>
      </w:r>
    </w:p>
    <w:p w:rsidR="00FA3D04" w:rsidRDefault="00EB372C">
      <w:pPr>
        <w:pStyle w:val="Compact"/>
        <w:numPr>
          <w:ilvl w:val="0"/>
          <w:numId w:val="2"/>
        </w:numPr>
        <w:rPr>
          <w:lang w:eastAsia="zh-CN"/>
        </w:rPr>
      </w:pPr>
      <w:r>
        <w:rPr>
          <w:lang w:eastAsia="zh-CN"/>
        </w:rPr>
        <w:t>在透过电话收取客户交易指示时，应利用电话录音系统记录有关的指示，并保存有关的电话录音作为其纪录的一部分，为期至少六个月。</w:t>
      </w:r>
    </w:p>
    <w:p w:rsidR="00FA3D04" w:rsidRDefault="00EB372C">
      <w:pPr>
        <w:pStyle w:val="FirstParagraph"/>
        <w:rPr>
          <w:lang w:eastAsia="zh-CN"/>
        </w:rPr>
      </w:pPr>
      <w:r>
        <w:rPr>
          <w:lang w:eastAsia="zh-CN"/>
        </w:rPr>
        <w:t>证监会提醒持牌中介机构，它们可选用替代方案来收取和记录交易指示，以遵循监管规定。中介机构可在适当情况下采用有关方案，以配合其当前情况的需要：</w:t>
      </w:r>
    </w:p>
    <w:p w:rsidR="00FA3D04" w:rsidRDefault="00EB372C">
      <w:pPr>
        <w:pStyle w:val="Compact"/>
        <w:numPr>
          <w:ilvl w:val="0"/>
          <w:numId w:val="3"/>
        </w:numPr>
      </w:pPr>
      <w:r>
        <w:rPr>
          <w:lang w:eastAsia="zh-CN"/>
        </w:rPr>
        <w:t>《证监会操守准则》第</w:t>
      </w:r>
      <w:r>
        <w:rPr>
          <w:lang w:eastAsia="zh-CN"/>
        </w:rPr>
        <w:t>3.9</w:t>
      </w:r>
      <w:r>
        <w:rPr>
          <w:lang w:eastAsia="zh-CN"/>
        </w:rPr>
        <w:t>段的备注阐释，当交易指示于例外情况下并无记录在中介机构的电话录音系统或交易指示管理系统时，有关交易指示应如何被记录下来。</w:t>
      </w:r>
      <w:r>
        <w:t>具体而言：</w:t>
      </w:r>
    </w:p>
    <w:p w:rsidR="00FA3D04" w:rsidRDefault="00EB372C">
      <w:pPr>
        <w:pStyle w:val="Compact"/>
        <w:numPr>
          <w:ilvl w:val="1"/>
          <w:numId w:val="4"/>
        </w:numPr>
        <w:rPr>
          <w:lang w:eastAsia="zh-CN"/>
        </w:rPr>
      </w:pPr>
      <w:r>
        <w:rPr>
          <w:lang w:eastAsia="zh-CN"/>
        </w:rPr>
        <w:t>若在交易场地、盘房、收取交易指</w:t>
      </w:r>
      <w:r>
        <w:rPr>
          <w:lang w:eastAsia="zh-CN"/>
        </w:rPr>
        <w:t>示的通常营业地点或通常经营业务的地点以外的地方以流动电话接受交易指示的话，中介机构的职员应立即致电该中介机构的电话录音系统，记录其收到交易指示的时间及有关指示的详情。</w:t>
      </w:r>
    </w:p>
    <w:p w:rsidR="00FA3D04" w:rsidRDefault="00EB372C">
      <w:pPr>
        <w:pStyle w:val="Compact"/>
        <w:numPr>
          <w:ilvl w:val="1"/>
          <w:numId w:val="4"/>
        </w:numPr>
        <w:rPr>
          <w:lang w:eastAsia="zh-CN"/>
        </w:rPr>
      </w:pPr>
      <w:r>
        <w:rPr>
          <w:lang w:eastAsia="zh-CN"/>
        </w:rPr>
        <w:t>在不能接驳到中介机构的电话录音系统的情况下可使用其他方式（例如用人手以书面方式）将客户交易指示的详情及收到交易指示的时间记录下来。</w:t>
      </w:r>
    </w:p>
    <w:p w:rsidR="00FA3D04" w:rsidRDefault="00EB372C">
      <w:pPr>
        <w:pStyle w:val="Compact"/>
        <w:numPr>
          <w:ilvl w:val="0"/>
          <w:numId w:val="3"/>
        </w:numPr>
        <w:rPr>
          <w:lang w:eastAsia="zh-CN"/>
        </w:rPr>
      </w:pPr>
      <w:r>
        <w:rPr>
          <w:lang w:eastAsia="zh-CN"/>
        </w:rPr>
        <w:t>若中介机构符合有关备存纪录、安全性及可靠性、合规监察及制定内部政策和程序的规定（载于</w:t>
      </w:r>
      <w:hyperlink r:id="rId13">
        <w:r>
          <w:rPr>
            <w:lang w:eastAsia="zh-CN"/>
          </w:rPr>
          <w:t>2018</w:t>
        </w:r>
        <w:r>
          <w:rPr>
            <w:lang w:eastAsia="zh-CN"/>
          </w:rPr>
          <w:t>年</w:t>
        </w:r>
        <w:r>
          <w:rPr>
            <w:lang w:eastAsia="zh-CN"/>
          </w:rPr>
          <w:t>5</w:t>
        </w:r>
        <w:r>
          <w:rPr>
            <w:lang w:eastAsia="zh-CN"/>
          </w:rPr>
          <w:t>月</w:t>
        </w:r>
        <w:r>
          <w:rPr>
            <w:lang w:eastAsia="zh-CN"/>
          </w:rPr>
          <w:t>4</w:t>
        </w:r>
        <w:r>
          <w:rPr>
            <w:lang w:eastAsia="zh-CN"/>
          </w:rPr>
          <w:t>日发出的《证监会致中介人的通函</w:t>
        </w:r>
        <w:r>
          <w:rPr>
            <w:lang w:eastAsia="zh-CN"/>
          </w:rPr>
          <w:t>-</w:t>
        </w:r>
        <w:r>
          <w:rPr>
            <w:lang w:eastAsia="zh-CN"/>
          </w:rPr>
          <w:t>透过即时通讯收取客户交易指示》</w:t>
        </w:r>
      </w:hyperlink>
      <w:hyperlink w:anchor="_ftn7">
        <w:r>
          <w:rPr>
            <w:lang w:eastAsia="zh-CN"/>
          </w:rPr>
          <w:t>[7]</w:t>
        </w:r>
      </w:hyperlink>
      <w:r>
        <w:rPr>
          <w:lang w:eastAsia="zh-CN"/>
        </w:rPr>
        <w:t>（</w:t>
      </w:r>
      <w:r>
        <w:rPr>
          <w:b/>
          <w:lang w:eastAsia="zh-CN"/>
        </w:rPr>
        <w:t>2018</w:t>
      </w:r>
      <w:r>
        <w:rPr>
          <w:b/>
          <w:lang w:eastAsia="zh-CN"/>
        </w:rPr>
        <w:t>通函</w:t>
      </w:r>
      <w:r>
        <w:rPr>
          <w:lang w:eastAsia="zh-CN"/>
        </w:rPr>
        <w:t>）），便可透过实时通讯来收取客户交易指示。</w:t>
      </w:r>
    </w:p>
    <w:p w:rsidR="00FA3D04" w:rsidRDefault="00EB372C">
      <w:pPr>
        <w:pStyle w:val="FirstParagraph"/>
        <w:rPr>
          <w:lang w:eastAsia="zh-CN"/>
        </w:rPr>
      </w:pPr>
      <w:r>
        <w:rPr>
          <w:lang w:eastAsia="zh-CN"/>
        </w:rPr>
        <w:t>在考虑采取有关发出及记录交易指示的替代方案时，证监会提醒中介机构应制定适当的监控措施，确保有关替代方案能按照记录交易指示规定妥为实施。</w:t>
      </w:r>
    </w:p>
    <w:p w:rsidR="00FA3D04" w:rsidRDefault="00EB372C">
      <w:pPr>
        <w:pStyle w:val="BodyText"/>
        <w:rPr>
          <w:lang w:eastAsia="zh-CN"/>
        </w:rPr>
      </w:pPr>
      <w:r>
        <w:rPr>
          <w:lang w:eastAsia="zh-CN"/>
        </w:rPr>
        <w:t>正如证监会在</w:t>
      </w:r>
      <w:r>
        <w:rPr>
          <w:lang w:eastAsia="zh-CN"/>
        </w:rPr>
        <w:t>2018</w:t>
      </w:r>
      <w:r>
        <w:rPr>
          <w:lang w:eastAsia="zh-CN"/>
        </w:rPr>
        <w:t>年发出的</w:t>
      </w:r>
      <w:hyperlink r:id="rId14">
        <w:r>
          <w:rPr>
            <w:lang w:eastAsia="zh-CN"/>
          </w:rPr>
          <w:t>《致中介人的通函</w:t>
        </w:r>
        <w:r>
          <w:rPr>
            <w:lang w:eastAsia="zh-CN"/>
          </w:rPr>
          <w:t>-</w:t>
        </w:r>
        <w:r>
          <w:rPr>
            <w:lang w:eastAsia="zh-CN"/>
          </w:rPr>
          <w:t>透过即时通讯收取客户交易指示》</w:t>
        </w:r>
      </w:hyperlink>
      <w:hyperlink w:anchor="_ftn8">
        <w:r>
          <w:rPr>
            <w:lang w:eastAsia="zh-CN"/>
          </w:rPr>
          <w:t>[8]</w:t>
        </w:r>
      </w:hyperlink>
      <w:r>
        <w:rPr>
          <w:lang w:eastAsia="zh-CN"/>
        </w:rPr>
        <w:t>内所解释，完整及准确的纪录是审计线索不可或缺的部分。在中介机构与客户就某项交易指示的细节存在争议时，有关纪录便能确保有可靠的证据，以对争议进行评估，这保障了中介机构及客户的权益。对中介机构及证监会而言，妥善的纪录亦可作为一种有用的监督工具，以侦测不合常规的情况及潜在的不当行为。</w:t>
      </w:r>
    </w:p>
    <w:p w:rsidR="00FA3D04" w:rsidRDefault="00EB372C">
      <w:r>
        <w:lastRenderedPageBreak/>
        <w:pict>
          <v:rect id="_x0000_i1025" style="width:0;height:1.5pt" o:hralign="center" o:hrstd="t" o:hr="t"/>
        </w:pict>
      </w:r>
    </w:p>
    <w:p w:rsidR="00FA3D04" w:rsidRDefault="00EB372C">
      <w:pPr>
        <w:pStyle w:val="FirstParagraph"/>
      </w:pPr>
      <w:hyperlink w:anchor="_ftnref1">
        <w:r>
          <w:t>[1]</w:t>
        </w:r>
      </w:hyperlink>
      <w:r>
        <w:t xml:space="preserve"> </w:t>
      </w:r>
      <w:hyperlink r:id="rId15">
        <w:r>
          <w:t>https://www.sfc.hk/edistributionWeb/gateway/EN/circular/intermediaries/supervision/doc?refNo=20EC26</w:t>
        </w:r>
      </w:hyperlink>
    </w:p>
    <w:p w:rsidR="00FA3D04" w:rsidRDefault="00EB372C">
      <w:pPr>
        <w:pStyle w:val="BodyText"/>
      </w:pPr>
      <w:hyperlink w:anchor="_ftnref2">
        <w:r>
          <w:t>[2]</w:t>
        </w:r>
      </w:hyperlink>
      <w:r>
        <w:t xml:space="preserve"> </w:t>
      </w:r>
      <w:hyperlink r:id="rId16">
        <w:r>
          <w:t>https://www.sfc.hk/edistributionWeb/gateway/EN/news-and-announcements/news/doc?refNo=20PR10</w:t>
        </w:r>
      </w:hyperlink>
    </w:p>
    <w:p w:rsidR="00FA3D04" w:rsidRDefault="00EB372C">
      <w:pPr>
        <w:pStyle w:val="BodyText"/>
      </w:pPr>
      <w:hyperlink w:anchor="_ftnref3">
        <w:r>
          <w:t>[3]</w:t>
        </w:r>
      </w:hyperlink>
      <w:r>
        <w:t xml:space="preserve"> </w:t>
      </w:r>
      <w:hyperlink r:id="rId17">
        <w:r>
          <w:t>https://www.sfc.hk/edistributionWeb/gateway/EN/circular/intermediaries/supervision/doc?refNo=19EC59</w:t>
        </w:r>
      </w:hyperlink>
    </w:p>
    <w:p w:rsidR="00FA3D04" w:rsidRDefault="00EB372C">
      <w:pPr>
        <w:pStyle w:val="BodyText"/>
        <w:rPr>
          <w:lang w:eastAsia="zh-CN"/>
        </w:rPr>
      </w:pPr>
      <w:hyperlink w:anchor="_ftnref4">
        <w:r>
          <w:rPr>
            <w:lang w:eastAsia="zh-CN"/>
          </w:rPr>
          <w:t>[4]</w:t>
        </w:r>
      </w:hyperlink>
      <w:r>
        <w:rPr>
          <w:lang w:eastAsia="zh-CN"/>
        </w:rPr>
        <w:t xml:space="preserve"> </w:t>
      </w:r>
      <w:r>
        <w:rPr>
          <w:lang w:eastAsia="zh-CN"/>
        </w:rPr>
        <w:t>参阅证监会</w:t>
      </w:r>
      <w:r>
        <w:rPr>
          <w:lang w:eastAsia="zh-CN"/>
        </w:rPr>
        <w:t>2019</w:t>
      </w:r>
      <w:r>
        <w:rPr>
          <w:lang w:eastAsia="zh-CN"/>
        </w:rPr>
        <w:t>年</w:t>
      </w:r>
      <w:r>
        <w:rPr>
          <w:lang w:eastAsia="zh-CN"/>
        </w:rPr>
        <w:t>7</w:t>
      </w:r>
      <w:r>
        <w:rPr>
          <w:lang w:eastAsia="zh-CN"/>
        </w:rPr>
        <w:t>月</w:t>
      </w:r>
      <w:r>
        <w:rPr>
          <w:lang w:eastAsia="zh-CN"/>
        </w:rPr>
        <w:t>8</w:t>
      </w:r>
      <w:r>
        <w:rPr>
          <w:lang w:eastAsia="zh-CN"/>
        </w:rPr>
        <w:t>日发出的《致中介机构的通函</w:t>
      </w:r>
      <w:r>
        <w:rPr>
          <w:lang w:eastAsia="zh-CN"/>
        </w:rPr>
        <w:t>-</w:t>
      </w:r>
      <w:r>
        <w:rPr>
          <w:lang w:eastAsia="zh-CN"/>
        </w:rPr>
        <w:t>保障客户资产的新措施》：</w:t>
      </w:r>
      <w:r>
        <w:rPr>
          <w:lang w:eastAsia="zh-CN"/>
        </w:rPr>
        <w:t xml:space="preserve"> </w:t>
      </w:r>
      <w:hyperlink r:id="rId18">
        <w:r>
          <w:rPr>
            <w:lang w:eastAsia="zh-CN"/>
          </w:rPr>
          <w:t>https://www.sfc.hk/edistributionWeb/gateway/EN/circular/intermediaries/supervision/doc</w:t>
        </w:r>
        <w:r>
          <w:rPr>
            <w:lang w:eastAsia="zh-CN"/>
          </w:rPr>
          <w:t>?refNo=19EC48</w:t>
        </w:r>
      </w:hyperlink>
    </w:p>
    <w:p w:rsidR="00FA3D04" w:rsidRDefault="00EB372C">
      <w:pPr>
        <w:pStyle w:val="BodyText"/>
      </w:pPr>
      <w:hyperlink w:anchor="_ftnref5">
        <w:r>
          <w:t>[5]</w:t>
        </w:r>
      </w:hyperlink>
      <w:r>
        <w:t xml:space="preserve"> </w:t>
      </w:r>
      <w:r>
        <w:t>参阅证监会</w:t>
      </w:r>
      <w:r>
        <w:t>2019</w:t>
      </w:r>
      <w:r>
        <w:t>年</w:t>
      </w:r>
      <w:r>
        <w:t>7</w:t>
      </w:r>
      <w:r>
        <w:t>月</w:t>
      </w:r>
      <w:r>
        <w:t>31</w:t>
      </w:r>
      <w:r>
        <w:t>日发出的《致持牌法团的通函</w:t>
      </w:r>
      <w:r>
        <w:t>-</w:t>
      </w:r>
      <w:r>
        <w:t>适用于买卖盘生命周期的数据标准》：</w:t>
      </w:r>
      <w:hyperlink r:id="rId19">
        <w:r>
          <w:t>https://www.sfc.hk/edistributionWeb/gateway/EN/circular/intermediaries/supervision/doc?refNo=19EC50</w:t>
        </w:r>
      </w:hyperlink>
    </w:p>
    <w:p w:rsidR="00FA3D04" w:rsidRDefault="00EB372C">
      <w:pPr>
        <w:pStyle w:val="BodyText"/>
      </w:pPr>
      <w:hyperlink w:anchor="_ftnref6">
        <w:r>
          <w:t>[6]</w:t>
        </w:r>
      </w:hyperlink>
      <w:r>
        <w:t xml:space="preserve"> </w:t>
      </w:r>
      <w:hyperlink r:id="rId20">
        <w:r>
          <w:t>https://www.sfc.hk/web/EN/assets/components/codes/files-current/web/codes/code-of-cond</w:t>
        </w:r>
        <w:r>
          <w:t>uct-for-persons-licensed-by-or-registered-with-the-securities-and-futures-commission/code-of-conduct-for-persons-licensed-by-or-registered-with-the-securities-and-futures-commission.pdf</w:t>
        </w:r>
      </w:hyperlink>
    </w:p>
    <w:p w:rsidR="00FA3D04" w:rsidRDefault="00EB372C">
      <w:pPr>
        <w:pStyle w:val="BodyText"/>
      </w:pPr>
      <w:hyperlink w:anchor="_ftnref7">
        <w:r>
          <w:t>[7]</w:t>
        </w:r>
      </w:hyperlink>
      <w:r>
        <w:t xml:space="preserve"> </w:t>
      </w:r>
      <w:hyperlink r:id="rId21">
        <w:r>
          <w:t>https://www.sfc.hk/edistributionWeb/gateway/EN/circular/doc?refNo=18EC30</w:t>
        </w:r>
      </w:hyperlink>
    </w:p>
    <w:p w:rsidR="00FA3D04" w:rsidRDefault="00EB372C">
      <w:pPr>
        <w:pStyle w:val="BodyText"/>
        <w:rPr>
          <w:lang w:eastAsia="zh-CN"/>
        </w:rPr>
      </w:pPr>
      <w:hyperlink w:anchor="_ftnref8">
        <w:r>
          <w:rPr>
            <w:lang w:eastAsia="zh-CN"/>
          </w:rPr>
          <w:t>[8]</w:t>
        </w:r>
      </w:hyperlink>
      <w:r>
        <w:rPr>
          <w:lang w:eastAsia="zh-CN"/>
        </w:rPr>
        <w:t xml:space="preserve"> </w:t>
      </w:r>
      <w:r>
        <w:rPr>
          <w:lang w:eastAsia="zh-CN"/>
        </w:rPr>
        <w:t>解释载列于最新发布的《致中介人的通函</w:t>
      </w:r>
      <w:r>
        <w:rPr>
          <w:lang w:eastAsia="zh-CN"/>
        </w:rPr>
        <w:t>-</w:t>
      </w:r>
      <w:r>
        <w:rPr>
          <w:lang w:eastAsia="zh-CN"/>
        </w:rPr>
        <w:t>透过即时通讯收取客户交易指示》，</w:t>
      </w:r>
      <w:r>
        <w:rPr>
          <w:lang w:eastAsia="zh-CN"/>
        </w:rPr>
        <w:t>2018</w:t>
      </w:r>
      <w:r>
        <w:rPr>
          <w:lang w:eastAsia="zh-CN"/>
        </w:rPr>
        <w:t>年</w:t>
      </w:r>
      <w:r>
        <w:rPr>
          <w:lang w:eastAsia="zh-CN"/>
        </w:rPr>
        <w:t>5</w:t>
      </w:r>
      <w:r>
        <w:rPr>
          <w:lang w:eastAsia="zh-CN"/>
        </w:rPr>
        <w:t>月</w:t>
      </w:r>
      <w:r>
        <w:rPr>
          <w:lang w:eastAsia="zh-CN"/>
        </w:rPr>
        <w:t>4</w:t>
      </w:r>
      <w:r>
        <w:rPr>
          <w:lang w:eastAsia="zh-CN"/>
        </w:rPr>
        <w:t>日：</w:t>
      </w:r>
      <w:r>
        <w:rPr>
          <w:lang w:eastAsia="zh-CN"/>
        </w:rPr>
        <w:t xml:space="preserve"> </w:t>
      </w:r>
      <w:hyperlink r:id="rId22">
        <w:r>
          <w:rPr>
            <w:lang w:eastAsia="zh-CN"/>
          </w:rPr>
          <w:t>https://www.sfc.hk/edistributionWeb/gateway/EN/circular/doc?refNo=18EC30</w:t>
        </w:r>
      </w:hyperlink>
    </w:p>
    <w:p w:rsidR="00FA3D04" w:rsidRDefault="00EB372C">
      <w:pPr>
        <w:pStyle w:val="DisclaimerBold"/>
        <w:rPr>
          <w:lang w:eastAsia="zh-CN"/>
        </w:rPr>
      </w:pPr>
      <w:r>
        <w:rPr>
          <w:lang w:eastAsia="zh-CN"/>
        </w:rPr>
        <w:t>此法讯仅为提供相关资料信息之用，其内容并</w:t>
      </w:r>
    </w:p>
    <w:p w:rsidR="00FA3D04" w:rsidRDefault="00EB372C">
      <w:pPr>
        <w:pStyle w:val="Disclaimer"/>
        <w:rPr>
          <w:lang w:eastAsia="zh-CN"/>
        </w:rPr>
      </w:pPr>
      <w:r>
        <w:rPr>
          <w:lang w:eastAsia="zh-CN"/>
        </w:rPr>
        <w:t>不构成法律建议及个案的法律分析。</w:t>
      </w:r>
    </w:p>
    <w:p w:rsidR="00FA3D04" w:rsidRDefault="00EB372C">
      <w:pPr>
        <w:pStyle w:val="Disclaimer"/>
        <w:rPr>
          <w:lang w:eastAsia="zh-CN"/>
        </w:rPr>
      </w:pPr>
      <w:r>
        <w:rPr>
          <w:lang w:eastAsia="zh-CN"/>
        </w:rPr>
        <w:t>此法讯的发送并不是为了在易周律师行与用户或浏览者之间建立一种律师与客户之关系。</w:t>
      </w:r>
    </w:p>
    <w:p w:rsidR="00FA3D04" w:rsidRDefault="00EB372C">
      <w:pPr>
        <w:pStyle w:val="Disclaimer"/>
        <w:rPr>
          <w:lang w:eastAsia="zh-CN"/>
        </w:rPr>
      </w:pPr>
      <w:r>
        <w:rPr>
          <w:lang w:eastAsia="zh-CN"/>
        </w:rPr>
        <w:t>易周律师行并不对可从互联网获得的任何第三方内容负责。</w:t>
      </w:r>
    </w:p>
    <w:p w:rsidR="00FA3D04" w:rsidRDefault="00EB372C">
      <w:pPr>
        <w:pStyle w:val="Disclaimer"/>
        <w:rPr>
          <w:lang w:eastAsia="zh-CN"/>
        </w:rPr>
      </w:pPr>
      <w:r>
        <w:rPr>
          <w:lang w:eastAsia="zh-CN"/>
        </w:rPr>
        <w:t>如你不希望再收到易周法讯，请发送电邮至</w:t>
      </w:r>
      <w:r>
        <w:rPr>
          <w:lang w:eastAsia="zh-CN"/>
        </w:rPr>
        <w:t xml:space="preserve">  </w:t>
      </w:r>
      <w:hyperlink r:id="rId23">
        <w:r>
          <w:rPr>
            <w:lang w:eastAsia="zh-CN"/>
          </w:rPr>
          <w:t>unsubscribe@charltonslaw.com</w:t>
        </w:r>
      </w:hyperlink>
    </w:p>
    <w:p w:rsidR="00FA3D04" w:rsidRDefault="00EB372C">
      <w:pPr>
        <w:pStyle w:val="BlackStrips"/>
      </w:pPr>
      <w:r>
        <w:t xml:space="preserve">Charltons - </w:t>
      </w:r>
      <w:r>
        <w:t>香港法律</w:t>
      </w:r>
      <w:r>
        <w:t xml:space="preserve"> - 2020</w:t>
      </w:r>
      <w:r>
        <w:t>年</w:t>
      </w:r>
      <w:r>
        <w:t>4</w:t>
      </w:r>
      <w:r>
        <w:t>月</w:t>
      </w:r>
      <w:r>
        <w:t>7</w:t>
      </w:r>
      <w:r>
        <w:t>日</w:t>
      </w:r>
    </w:p>
    <w:sectPr w:rsidR="00FA3D04">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B372C">
      <w:pPr>
        <w:spacing w:after="0"/>
      </w:pPr>
      <w:r>
        <w:separator/>
      </w:r>
    </w:p>
  </w:endnote>
  <w:endnote w:type="continuationSeparator" w:id="0">
    <w:p w:rsidR="00000000" w:rsidRDefault="00EB3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D04" w:rsidRDefault="00EB372C">
      <w:r>
        <w:separator/>
      </w:r>
    </w:p>
  </w:footnote>
  <w:footnote w:type="continuationSeparator" w:id="0">
    <w:p w:rsidR="00FA3D04" w:rsidRDefault="00EB3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F1A674"/>
    <w:multiLevelType w:val="multilevel"/>
    <w:tmpl w:val="71927132"/>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2AE491AE"/>
    <w:multiLevelType w:val="multilevel"/>
    <w:tmpl w:val="0266559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2" w15:restartNumberingAfterBreak="0">
    <w:nsid w:val="7A93CAF0"/>
    <w:multiLevelType w:val="multilevel"/>
    <w:tmpl w:val="DE98060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B86B75"/>
    <w:rsid w:val="00BC48D5"/>
    <w:rsid w:val="00C36279"/>
    <w:rsid w:val="00E315A3"/>
    <w:rsid w:val="00EB372C"/>
    <w:rsid w:val="00FA3D04"/>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ACB32EE-4187-4DD5-B96B-76B36D5B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edistributionWeb/gateway/EN/circular/intermediaries/supervision/doc?refNo=20EC26" TargetMode="External"/><Relationship Id="rId13" Type="http://schemas.openxmlformats.org/officeDocument/2006/relationships/hyperlink" Target="https://www.sfc.hk/edistributionWeb/gateway/EN/circular/doc?refNo=18EC30" TargetMode="External"/><Relationship Id="rId18" Type="http://schemas.openxmlformats.org/officeDocument/2006/relationships/hyperlink" Target="https://www.sfc.hk/edistributionWeb/gateway/EN/circular/intermediaries/supervision/doc?refNo=19EC48" TargetMode="External"/><Relationship Id="rId3" Type="http://schemas.openxmlformats.org/officeDocument/2006/relationships/settings" Target="settings.xml"/><Relationship Id="rId21" Type="http://schemas.openxmlformats.org/officeDocument/2006/relationships/hyperlink" Target="https://www.sfc.hk/edistributionWeb/gateway/EN/circular/doc?refNo=18EC30" TargetMode="External"/><Relationship Id="rId7" Type="http://schemas.openxmlformats.org/officeDocument/2006/relationships/hyperlink" Target="http://www.charltonslaw.com.cn/zheng-jian-hui-zai-2019-guan-zhuang-bing-du-da-liu-xing-bei-jing-xia-shun-yan-jian-guan-yao-qiu-shi-shi-qi-xian-bing-ti-xing-zhong-jie-ji-gou-zhu-yi-ji-lu-jiao-yi-zhi-shi-gui-ding" TargetMode="External"/><Relationship Id="rId12" Type="http://schemas.openxmlformats.org/officeDocument/2006/relationships/hyperlink" Target="https://www.sfc.hk/edistributionWeb/gateway/EN/circular/intermediaries/supervision/doc?refNo=19EC50" TargetMode="External"/><Relationship Id="rId17" Type="http://schemas.openxmlformats.org/officeDocument/2006/relationships/hyperlink" Target="https://www.sfc.hk/edistributionWeb/gateway/EN/circular/intermediaries/supervision/doc?refNo=19EC5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fc.hk/edistributionWeb/gateway/EN/news-and-announcements/news/doc?refNo=20PR10" TargetMode="External"/><Relationship Id="rId20" Type="http://schemas.openxmlformats.org/officeDocument/2006/relationships/hyperlink" Target="https://www.sfc.hk/web/EN/assets/components/codes/files-current/web/codes/code-of-conduct-for-persons-licensed-by-or-registered-with-the-securities-and-futures-commission/code-of-conduct-for-persons-licensed-by-or-registered-with-the-securities-and-futures-commiss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edistributionWeb/gateway/EN/circular/intermediaries/supervision/doc?refNo=19EC4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fc.hk/edistributionWeb/gateway/EN/circular/intermediaries/supervision/doc?refNo=20EC26" TargetMode="External"/><Relationship Id="rId23" Type="http://schemas.openxmlformats.org/officeDocument/2006/relationships/hyperlink" Target="mailto:unsubscribe@charltonslaw.com?subject=unsubscribe%20-Hong%20Kong%20Law-" TargetMode="External"/><Relationship Id="rId10" Type="http://schemas.openxmlformats.org/officeDocument/2006/relationships/hyperlink" Target="https://www.sfc.hk/edistributionWeb/gateway/EN/circular/intermediaries/supervision/doc?refNo=19EC59" TargetMode="External"/><Relationship Id="rId19" Type="http://schemas.openxmlformats.org/officeDocument/2006/relationships/hyperlink" Target="https://www.sfc.hk/edistributionWeb/gateway/EN/circular/intermediaries/supervision/doc?refNo=19EC50" TargetMode="External"/><Relationship Id="rId4" Type="http://schemas.openxmlformats.org/officeDocument/2006/relationships/webSettings" Target="webSettings.xml"/><Relationship Id="rId9" Type="http://schemas.openxmlformats.org/officeDocument/2006/relationships/hyperlink" Target="https://www.sfc.hk/edistributionWeb/gateway/EN/circular/intermediaries/supervision/doc?refNo=20EC26" TargetMode="External"/><Relationship Id="rId14" Type="http://schemas.openxmlformats.org/officeDocument/2006/relationships/hyperlink" Target="https://www.sfc.hk/edistributionWeb/gateway/EN/circular/doc?refNo=18EC30" TargetMode="External"/><Relationship Id="rId22" Type="http://schemas.openxmlformats.org/officeDocument/2006/relationships/hyperlink" Target="https://www.sfc.hk/edistributionWeb/gateway/EN/circular/doc?refNo=18EC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918</Words>
  <Characters>5235</Characters>
  <Application>Microsoft Office Word</Application>
  <DocSecurity>0</DocSecurity>
  <Lines>43</Lines>
  <Paragraphs>12</Paragraphs>
  <ScaleCrop>false</ScaleCrop>
  <Company>Charltons</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2020-04-07T02:21:00Z</dcterms:created>
  <dcterms:modified xsi:type="dcterms:W3CDTF">2020-04-07T06:43:00Z</dcterms:modified>
</cp:coreProperties>
</file>