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277" w:rsidRDefault="00442DD0">
      <w:pPr>
        <w:pStyle w:val="BlackStrips"/>
      </w:pPr>
      <w:r>
        <w:t xml:space="preserve">Charltons - </w:t>
      </w:r>
      <w:r>
        <w:t>香港法律</w:t>
      </w:r>
      <w:r>
        <w:t xml:space="preserve"> - 2020</w:t>
      </w:r>
      <w:r>
        <w:t>年</w:t>
      </w:r>
      <w:r>
        <w:t>5</w:t>
      </w:r>
      <w:r>
        <w:t>月</w:t>
      </w:r>
      <w:r>
        <w:t>6</w:t>
      </w:r>
      <w:r>
        <w:t>日</w:t>
      </w:r>
    </w:p>
    <w:p w:rsidR="00636277" w:rsidRDefault="00442DD0">
      <w:pPr>
        <w:pStyle w:val="ReadOnline"/>
        <w:rPr>
          <w:lang w:eastAsia="zh-CN"/>
        </w:rPr>
      </w:pPr>
      <w:hyperlink r:id="rId7">
        <w:r>
          <w:rPr>
            <w:lang w:eastAsia="zh-CN"/>
          </w:rPr>
          <w:t>online version</w:t>
        </w:r>
      </w:hyperlink>
    </w:p>
    <w:p w:rsidR="00636277" w:rsidRDefault="00442DD0">
      <w:pPr>
        <w:pStyle w:val="Title"/>
        <w:rPr>
          <w:lang w:eastAsia="zh-CN"/>
        </w:rPr>
      </w:pPr>
      <w:r>
        <w:rPr>
          <w:lang w:eastAsia="zh-CN"/>
        </w:rPr>
        <w:t>证监会在新冠疫情大流行背景下向持牌中介人发出指引</w:t>
      </w:r>
    </w:p>
    <w:p w:rsidR="00636277" w:rsidRDefault="00442DD0">
      <w:pPr>
        <w:pStyle w:val="FirstParagraph"/>
        <w:rPr>
          <w:lang w:eastAsia="zh-CN"/>
        </w:rPr>
      </w:pPr>
      <w:r>
        <w:rPr>
          <w:lang w:eastAsia="zh-CN"/>
        </w:rPr>
        <w:t>2020</w:t>
      </w:r>
      <w:r>
        <w:rPr>
          <w:lang w:eastAsia="zh-CN"/>
        </w:rPr>
        <w:t>年</w:t>
      </w:r>
      <w:r>
        <w:rPr>
          <w:lang w:eastAsia="zh-CN"/>
        </w:rPr>
        <w:t>4</w:t>
      </w:r>
      <w:r>
        <w:rPr>
          <w:lang w:eastAsia="zh-CN"/>
        </w:rPr>
        <w:t>月</w:t>
      </w:r>
      <w:r>
        <w:rPr>
          <w:lang w:eastAsia="zh-CN"/>
        </w:rPr>
        <w:t>21</w:t>
      </w:r>
      <w:r>
        <w:rPr>
          <w:lang w:eastAsia="zh-CN"/>
        </w:rPr>
        <w:t>日，证券及期货事务监察委员会（</w:t>
      </w:r>
      <w:r>
        <w:rPr>
          <w:b/>
          <w:lang w:eastAsia="zh-CN"/>
        </w:rPr>
        <w:t>证监会</w:t>
      </w:r>
      <w:r>
        <w:rPr>
          <w:lang w:eastAsia="zh-CN"/>
        </w:rPr>
        <w:t>）发出了一份</w:t>
      </w:r>
      <w:hyperlink r:id="rId8">
        <w:r>
          <w:rPr>
            <w:lang w:eastAsia="zh-CN"/>
          </w:rPr>
          <w:t>新闻稿</w:t>
        </w:r>
      </w:hyperlink>
      <w:hyperlink w:anchor="_ftn1">
        <w:r>
          <w:rPr>
            <w:lang w:eastAsia="zh-CN"/>
          </w:rPr>
          <w:t>[1]</w:t>
        </w:r>
      </w:hyperlink>
      <w:r>
        <w:rPr>
          <w:lang w:eastAsia="zh-CN"/>
        </w:rPr>
        <w:t>，概述了其因应对新冠疫情对香港资本市场影响而实施的措施。该等措施主要关注的是要在疫情大流行而引发的极端市场波动及采用特殊工作安排的挑战的背景下持续确保香港金融市场继续有效地运作，并保障投资者利益及保持市场高度廉</w:t>
      </w:r>
      <w:r>
        <w:rPr>
          <w:lang w:eastAsia="zh-CN"/>
        </w:rPr>
        <w:t>洁稳健。</w:t>
      </w:r>
    </w:p>
    <w:p w:rsidR="00636277" w:rsidRDefault="00442DD0">
      <w:pPr>
        <w:pStyle w:val="BodyText"/>
        <w:rPr>
          <w:lang w:eastAsia="zh-CN"/>
        </w:rPr>
      </w:pPr>
      <w:r>
        <w:rPr>
          <w:lang w:eastAsia="zh-CN"/>
        </w:rPr>
        <w:t>由此，证监会已就如何遵从监管规定（例如经纪在办公地点外记录客户交易指示责任的指令）向证监会持牌经纪发出指引，强调已紧随新冠病毒产生的特殊市场状况所引发的潜在缺陷。例如，证监会已经就公平对待投资者责任向基金经理发出指引，特别是在基金经理打算启动流通性风险管理措施（例如波动定价或暂停）的时候，同时也已就风险管理责任向市场庄家发出指引。证监会发出的指引摘要载列于新闻稿中。</w:t>
      </w:r>
    </w:p>
    <w:p w:rsidR="00636277" w:rsidRDefault="00442DD0">
      <w:pPr>
        <w:pStyle w:val="BodyText"/>
        <w:rPr>
          <w:lang w:eastAsia="zh-CN"/>
        </w:rPr>
      </w:pPr>
      <w:r>
        <w:rPr>
          <w:lang w:eastAsia="zh-CN"/>
        </w:rPr>
        <w:t>证监会就新冠病毒发出的所有资料都载列于证监会专门网页：</w:t>
      </w:r>
      <w:hyperlink r:id="rId9">
        <w:r>
          <w:rPr>
            <w:lang w:eastAsia="zh-CN"/>
          </w:rPr>
          <w:t>https://sc.sfc.hk/gb/www.sfc.hk/web/TC/information-for-firms-on-covid-19.html</w:t>
        </w:r>
      </w:hyperlink>
      <w:r>
        <w:rPr>
          <w:lang w:eastAsia="zh-CN"/>
        </w:rPr>
        <w:t>。</w:t>
      </w:r>
    </w:p>
    <w:p w:rsidR="00636277" w:rsidRDefault="00442DD0">
      <w:pPr>
        <w:pStyle w:val="BodyText"/>
        <w:rPr>
          <w:lang w:eastAsia="zh-CN"/>
        </w:rPr>
      </w:pPr>
      <w:r>
        <w:rPr>
          <w:lang w:eastAsia="zh-CN"/>
        </w:rPr>
        <w:t>以下是证监会针对证监会持牌中介人发出指引的摘要（向基金经理发出的指引另有通讯单独陈述，不包含在此文中）。</w:t>
      </w:r>
      <w:bookmarkStart w:id="0" w:name="_GoBack"/>
      <w:bookmarkEnd w:id="0"/>
    </w:p>
    <w:p w:rsidR="00636277" w:rsidRDefault="00442DD0" w:rsidP="00442DD0">
      <w:pPr>
        <w:pStyle w:val="BodyText"/>
        <w:jc w:val="left"/>
        <w:rPr>
          <w:lang w:eastAsia="zh-CN"/>
        </w:rPr>
      </w:pPr>
      <w:r>
        <w:rPr>
          <w:lang w:eastAsia="zh-CN"/>
        </w:rPr>
        <w:t>1</w:t>
      </w:r>
      <w:r>
        <w:t xml:space="preserve">. </w:t>
      </w:r>
      <w:hyperlink r:id="rId10">
        <w:r>
          <w:rPr>
            <w:lang w:eastAsia="zh-CN"/>
          </w:rPr>
          <w:t>致中介人的通函</w:t>
        </w:r>
        <w:r>
          <w:rPr>
            <w:lang w:eastAsia="zh-CN"/>
          </w:rPr>
          <w:t>--</w:t>
        </w:r>
        <w:r>
          <w:rPr>
            <w:lang w:eastAsia="zh-CN"/>
          </w:rPr>
          <w:t>《有关确保为客户提供合理适当建议和及时向客户发放资料的重要责任的提示》</w:t>
        </w:r>
      </w:hyperlink>
      <w:hyperlink w:anchor="_ftn2">
        <w:r>
          <w:rPr>
            <w:lang w:eastAsia="zh-CN"/>
          </w:rPr>
          <w:t>[2]</w:t>
        </w:r>
      </w:hyperlink>
    </w:p>
    <w:p w:rsidR="00636277" w:rsidRDefault="00442DD0">
      <w:pPr>
        <w:pStyle w:val="BodyText"/>
        <w:rPr>
          <w:lang w:eastAsia="zh-CN"/>
        </w:rPr>
      </w:pPr>
      <w:r>
        <w:rPr>
          <w:lang w:eastAsia="zh-CN"/>
        </w:rPr>
        <w:t>该通函于</w:t>
      </w:r>
      <w:r>
        <w:rPr>
          <w:lang w:eastAsia="zh-CN"/>
        </w:rPr>
        <w:t>2020</w:t>
      </w:r>
      <w:r>
        <w:rPr>
          <w:lang w:eastAsia="zh-CN"/>
        </w:rPr>
        <w:t>年</w:t>
      </w:r>
      <w:r>
        <w:rPr>
          <w:lang w:eastAsia="zh-CN"/>
        </w:rPr>
        <w:t>3</w:t>
      </w:r>
      <w:r>
        <w:rPr>
          <w:lang w:eastAsia="zh-CN"/>
        </w:rPr>
        <w:t>月</w:t>
      </w:r>
      <w:r>
        <w:rPr>
          <w:lang w:eastAsia="zh-CN"/>
        </w:rPr>
        <w:t>27</w:t>
      </w:r>
      <w:r>
        <w:rPr>
          <w:lang w:eastAsia="zh-CN"/>
        </w:rPr>
        <w:t>日发出，强调持牌人及注册人履行其在《证券及期货事务监察委员会持牌人或注册人操守准则》（</w:t>
      </w:r>
      <w:r>
        <w:rPr>
          <w:b/>
          <w:lang w:eastAsia="zh-CN"/>
        </w:rPr>
        <w:t>证监会操守准则</w:t>
      </w:r>
      <w:r>
        <w:rPr>
          <w:lang w:eastAsia="zh-CN"/>
        </w:rPr>
        <w:t>）下向客户分销投资产品时的责任，特别是：</w:t>
      </w:r>
    </w:p>
    <w:p w:rsidR="00636277" w:rsidRDefault="00442DD0">
      <w:pPr>
        <w:pStyle w:val="Compact"/>
        <w:numPr>
          <w:ilvl w:val="0"/>
          <w:numId w:val="2"/>
        </w:numPr>
        <w:rPr>
          <w:lang w:eastAsia="zh-CN"/>
        </w:rPr>
      </w:pPr>
      <w:r>
        <w:rPr>
          <w:lang w:eastAsia="zh-CN"/>
        </w:rPr>
        <w:t>履行《证监会操守准则》第</w:t>
      </w:r>
      <w:r>
        <w:rPr>
          <w:lang w:eastAsia="zh-CN"/>
        </w:rPr>
        <w:t>5.2</w:t>
      </w:r>
      <w:r>
        <w:rPr>
          <w:lang w:eastAsia="zh-CN"/>
        </w:rPr>
        <w:t>段下在作出招揽或建议行为时为客户提供合理适当建议的责任（</w:t>
      </w:r>
      <w:r>
        <w:rPr>
          <w:lang w:eastAsia="zh-CN"/>
        </w:rPr>
        <w:t>2018</w:t>
      </w:r>
      <w:r>
        <w:rPr>
          <w:lang w:eastAsia="zh-CN"/>
        </w:rPr>
        <w:t>年</w:t>
      </w:r>
      <w:r>
        <w:rPr>
          <w:lang w:eastAsia="zh-CN"/>
        </w:rPr>
        <w:t>12</w:t>
      </w:r>
      <w:r>
        <w:rPr>
          <w:lang w:eastAsia="zh-CN"/>
        </w:rPr>
        <w:t>月份发出的</w:t>
      </w:r>
      <w:hyperlink r:id="rId11">
        <w:r>
          <w:rPr>
            <w:lang w:eastAsia="zh-CN"/>
          </w:rPr>
          <w:t>《有关触发为客户提供合理适当建议的责任的〈常见问题〉》</w:t>
        </w:r>
      </w:hyperlink>
      <w:hyperlink w:anchor="_ftn3">
        <w:r>
          <w:rPr>
            <w:lang w:eastAsia="zh-CN"/>
          </w:rPr>
          <w:t>[3]</w:t>
        </w:r>
      </w:hyperlink>
      <w:r>
        <w:rPr>
          <w:lang w:eastAsia="zh-CN"/>
        </w:rPr>
        <w:t>及《</w:t>
      </w:r>
      <w:hyperlink r:id="rId12">
        <w:r>
          <w:rPr>
            <w:lang w:eastAsia="zh-CN"/>
          </w:rPr>
          <w:t>有关持牌人或注册人遵守为客户提供合理适当建议的责任的〈常见问题〉</w:t>
        </w:r>
      </w:hyperlink>
      <w:r>
        <w:rPr>
          <w:lang w:eastAsia="zh-CN"/>
        </w:rPr>
        <w:t>》</w:t>
      </w:r>
      <w:hyperlink w:anchor="_ftn4">
        <w:r>
          <w:rPr>
            <w:lang w:eastAsia="zh-CN"/>
          </w:rPr>
          <w:t>[4]</w:t>
        </w:r>
      </w:hyperlink>
      <w:r>
        <w:rPr>
          <w:lang w:eastAsia="zh-CN"/>
        </w:rPr>
        <w:t>对其进行了补充）；及</w:t>
      </w:r>
    </w:p>
    <w:p w:rsidR="00636277" w:rsidRDefault="00442DD0">
      <w:pPr>
        <w:pStyle w:val="Compact"/>
        <w:numPr>
          <w:ilvl w:val="0"/>
          <w:numId w:val="2"/>
        </w:numPr>
        <w:rPr>
          <w:lang w:eastAsia="zh-CN"/>
        </w:rPr>
      </w:pPr>
      <w:r>
        <w:rPr>
          <w:lang w:eastAsia="zh-CN"/>
        </w:rPr>
        <w:t>在为客户直接或间接持有投资产品的情况下及时发放资料的责任。</w:t>
      </w:r>
    </w:p>
    <w:p w:rsidR="00636277" w:rsidRDefault="00442DD0">
      <w:pPr>
        <w:pStyle w:val="FirstParagraph"/>
        <w:rPr>
          <w:lang w:eastAsia="zh-CN"/>
        </w:rPr>
      </w:pPr>
      <w:r>
        <w:rPr>
          <w:lang w:eastAsia="zh-CN"/>
        </w:rPr>
        <w:t>该通函提醒持牌人及注册人注意其在《证监会</w:t>
      </w:r>
      <w:r>
        <w:rPr>
          <w:lang w:eastAsia="zh-CN"/>
        </w:rPr>
        <w:t>操守准则》下为客户提供合理适当建议的责任，根据该责任，持牌人及注册人须：</w:t>
      </w:r>
    </w:p>
    <w:p w:rsidR="00636277" w:rsidRDefault="00442DD0">
      <w:pPr>
        <w:pStyle w:val="Compact"/>
        <w:numPr>
          <w:ilvl w:val="0"/>
          <w:numId w:val="3"/>
        </w:numPr>
        <w:rPr>
          <w:lang w:eastAsia="zh-CN"/>
        </w:rPr>
      </w:pPr>
      <w:r>
        <w:rPr>
          <w:lang w:eastAsia="zh-CN"/>
        </w:rPr>
        <w:t>确保持续每隔一段适当时间对现时获核准产品名单上的投资产品进行尽职审查，过程中须顾及投资产品的性质、特点和风险，包括信贷质素或流通性有否恶化，与新冠疫情有关的市场和行业风险，及可能影响投资的风险回报状况和增长前景的其他因素；</w:t>
      </w:r>
    </w:p>
    <w:p w:rsidR="00636277" w:rsidRDefault="00442DD0">
      <w:pPr>
        <w:pStyle w:val="Compact"/>
        <w:numPr>
          <w:ilvl w:val="0"/>
          <w:numId w:val="3"/>
        </w:numPr>
        <w:rPr>
          <w:lang w:eastAsia="zh-CN"/>
        </w:rPr>
      </w:pPr>
      <w:r>
        <w:rPr>
          <w:lang w:eastAsia="zh-CN"/>
        </w:rPr>
        <w:t>在评估投资产品对客户的合适程度时，仔细考虑所有切合该客户本身的相关情况，包括该客户现时的财务状况、投资目标、风险承受水平、投资期和流动资金需求，以及现有投资组合的风险状况和集中风险；</w:t>
      </w:r>
    </w:p>
    <w:p w:rsidR="00636277" w:rsidRDefault="00442DD0">
      <w:pPr>
        <w:pStyle w:val="Compact"/>
        <w:numPr>
          <w:ilvl w:val="0"/>
          <w:numId w:val="3"/>
        </w:numPr>
        <w:rPr>
          <w:lang w:eastAsia="zh-CN"/>
        </w:rPr>
      </w:pPr>
      <w:r>
        <w:rPr>
          <w:lang w:eastAsia="zh-CN"/>
        </w:rPr>
        <w:t>向客户说明投资产品的风险及特点</w:t>
      </w:r>
      <w:r>
        <w:rPr>
          <w:lang w:eastAsia="zh-CN"/>
        </w:rPr>
        <w:t>，包括信贷质素、流通性、终止条件及交易成本；及</w:t>
      </w:r>
    </w:p>
    <w:p w:rsidR="00636277" w:rsidRDefault="00442DD0">
      <w:pPr>
        <w:pStyle w:val="Compact"/>
        <w:numPr>
          <w:ilvl w:val="0"/>
          <w:numId w:val="3"/>
        </w:numPr>
        <w:rPr>
          <w:lang w:eastAsia="zh-CN"/>
        </w:rPr>
      </w:pPr>
      <w:r>
        <w:rPr>
          <w:lang w:eastAsia="zh-CN"/>
        </w:rPr>
        <w:t>在向客户建议投资产品时，时刻给予持平的意见，不应只着眼于产品的优点（例如高票面息率或收益率），并应说明产品的缺点及下行风险（例如信贷质素恶化及流通性不足）。</w:t>
      </w:r>
    </w:p>
    <w:p w:rsidR="00636277" w:rsidRDefault="00442DD0">
      <w:pPr>
        <w:pStyle w:val="FirstParagraph"/>
        <w:rPr>
          <w:lang w:eastAsia="zh-CN"/>
        </w:rPr>
      </w:pPr>
      <w:r>
        <w:rPr>
          <w:lang w:eastAsia="zh-CN"/>
        </w:rPr>
        <w:t>此外，该通函提醒为客户直接或间接持有投资产品的持牌人或注册人在在收到有关投资产品的发行人、产品安排人或管理公司所拟备或发出的通告及其他通讯后，及时向客户发放有关通告及通</w:t>
      </w:r>
      <w:r>
        <w:rPr>
          <w:lang w:eastAsia="zh-CN"/>
        </w:rPr>
        <w:lastRenderedPageBreak/>
        <w:t>讯的责任。有关通告及通讯可能载有对投资决策而言至为关键的重要资料或更新，例如与基金有关的异常情况，当中可能包括基金经理采用流通性风险管理工</w:t>
      </w:r>
      <w:r>
        <w:rPr>
          <w:lang w:eastAsia="zh-CN"/>
        </w:rPr>
        <w:t>具。</w:t>
      </w:r>
    </w:p>
    <w:p w:rsidR="00636277" w:rsidRDefault="00442DD0">
      <w:pPr>
        <w:pStyle w:val="BodyText"/>
        <w:rPr>
          <w:lang w:eastAsia="zh-CN"/>
        </w:rPr>
      </w:pPr>
      <w:r>
        <w:rPr>
          <w:lang w:eastAsia="zh-CN"/>
        </w:rPr>
        <w:t xml:space="preserve">2. </w:t>
      </w:r>
      <w:hyperlink r:id="rId13">
        <w:r>
          <w:rPr>
            <w:lang w:eastAsia="zh-CN"/>
          </w:rPr>
          <w:t>致中介机构的通函</w:t>
        </w:r>
        <w:r>
          <w:rPr>
            <w:lang w:eastAsia="zh-CN"/>
          </w:rPr>
          <w:t>--</w:t>
        </w:r>
        <w:r>
          <w:rPr>
            <w:lang w:eastAsia="zh-CN"/>
          </w:rPr>
          <w:t>《有关在新冠疫情下顺延监管要求的实施期限及提醒业界注意记录交易指示规定》</w:t>
        </w:r>
      </w:hyperlink>
      <w:hyperlink w:anchor="_ftn5">
        <w:r>
          <w:rPr>
            <w:lang w:eastAsia="zh-CN"/>
          </w:rPr>
          <w:t>[5]</w:t>
        </w:r>
      </w:hyperlink>
    </w:p>
    <w:p w:rsidR="00636277" w:rsidRDefault="00442DD0">
      <w:pPr>
        <w:pStyle w:val="BodyText"/>
        <w:rPr>
          <w:lang w:eastAsia="zh-CN"/>
        </w:rPr>
      </w:pPr>
      <w:r>
        <w:rPr>
          <w:lang w:eastAsia="zh-CN"/>
        </w:rPr>
        <w:t>该通函：</w:t>
      </w:r>
      <w:r>
        <w:rPr>
          <w:lang w:eastAsia="zh-CN"/>
        </w:rPr>
        <w:t>(i)</w:t>
      </w:r>
      <w:r>
        <w:rPr>
          <w:lang w:eastAsia="zh-CN"/>
        </w:rPr>
        <w:t>通知业界证监会决定将原定于</w:t>
      </w:r>
      <w:r>
        <w:rPr>
          <w:lang w:eastAsia="zh-CN"/>
        </w:rPr>
        <w:t>2020</w:t>
      </w:r>
      <w:r>
        <w:rPr>
          <w:lang w:eastAsia="zh-CN"/>
        </w:rPr>
        <w:t>年实施的三项监管要求的实施期限顺延六个月；及</w:t>
      </w:r>
      <w:r>
        <w:rPr>
          <w:lang w:eastAsia="zh-CN"/>
        </w:rPr>
        <w:t>(ii)</w:t>
      </w:r>
      <w:r>
        <w:rPr>
          <w:lang w:eastAsia="zh-CN"/>
        </w:rPr>
        <w:t>提醒中</w:t>
      </w:r>
      <w:r>
        <w:rPr>
          <w:lang w:eastAsia="zh-CN"/>
        </w:rPr>
        <w:t>介机构在现行的监管框架下就记录交易指示可选用的替代方案。</w:t>
      </w:r>
    </w:p>
    <w:p w:rsidR="00636277" w:rsidRDefault="00442DD0">
      <w:pPr>
        <w:numPr>
          <w:ilvl w:val="0"/>
          <w:numId w:val="4"/>
        </w:numPr>
        <w:rPr>
          <w:lang w:eastAsia="zh-CN"/>
        </w:rPr>
      </w:pPr>
      <w:r>
        <w:rPr>
          <w:lang w:eastAsia="zh-CN"/>
        </w:rPr>
        <w:t>顺延监管要求的实施期限</w:t>
      </w:r>
    </w:p>
    <w:p w:rsidR="00636277" w:rsidRDefault="00442DD0">
      <w:pPr>
        <w:numPr>
          <w:ilvl w:val="0"/>
          <w:numId w:val="1"/>
        </w:numPr>
        <w:rPr>
          <w:lang w:eastAsia="zh-CN"/>
        </w:rPr>
      </w:pPr>
      <w:r>
        <w:rPr>
          <w:lang w:eastAsia="zh-CN"/>
        </w:rPr>
        <w:t>实施期限已获顺延六个月的监管要求有三项，即：</w:t>
      </w:r>
      <w:r>
        <w:rPr>
          <w:lang w:eastAsia="zh-CN"/>
        </w:rPr>
        <w:t>(i)</w:t>
      </w:r>
      <w:r>
        <w:rPr>
          <w:lang w:eastAsia="zh-CN"/>
        </w:rPr>
        <w:t>外间电子数据存储的使用；</w:t>
      </w:r>
      <w:r>
        <w:rPr>
          <w:lang w:eastAsia="zh-CN"/>
        </w:rPr>
        <w:t>(ii)</w:t>
      </w:r>
      <w:r>
        <w:rPr>
          <w:lang w:eastAsia="zh-CN"/>
        </w:rPr>
        <w:t>保障客户资产的新措施；及</w:t>
      </w:r>
      <w:r>
        <w:rPr>
          <w:lang w:eastAsia="zh-CN"/>
        </w:rPr>
        <w:t>(iii)</w:t>
      </w:r>
      <w:r>
        <w:rPr>
          <w:lang w:eastAsia="zh-CN"/>
        </w:rPr>
        <w:t>适用于买卖盘生命周期的数据标准。</w:t>
      </w:r>
    </w:p>
    <w:p w:rsidR="00636277" w:rsidRDefault="00442DD0">
      <w:pPr>
        <w:numPr>
          <w:ilvl w:val="0"/>
          <w:numId w:val="4"/>
        </w:numPr>
      </w:pPr>
      <w:r>
        <w:t>遵循记录交易指示规定</w:t>
      </w:r>
    </w:p>
    <w:p w:rsidR="00636277" w:rsidRDefault="00442DD0">
      <w:pPr>
        <w:numPr>
          <w:ilvl w:val="0"/>
          <w:numId w:val="1"/>
        </w:numPr>
        <w:rPr>
          <w:lang w:eastAsia="zh-CN"/>
        </w:rPr>
      </w:pPr>
      <w:r>
        <w:rPr>
          <w:lang w:eastAsia="zh-CN"/>
        </w:rPr>
        <w:t>鉴于新冠病毒大流行期间采用的遥距办公安排，部分中介机构可能会发现难以完全遵循《证监会操守准则》第</w:t>
      </w:r>
      <w:r>
        <w:rPr>
          <w:lang w:eastAsia="zh-CN"/>
        </w:rPr>
        <w:t>3.9</w:t>
      </w:r>
      <w:r>
        <w:rPr>
          <w:lang w:eastAsia="zh-CN"/>
        </w:rPr>
        <w:t>段所载的记录交易指示的规定。</w:t>
      </w:r>
    </w:p>
    <w:p w:rsidR="00636277" w:rsidRDefault="00442DD0">
      <w:pPr>
        <w:numPr>
          <w:ilvl w:val="0"/>
          <w:numId w:val="1"/>
        </w:numPr>
        <w:rPr>
          <w:lang w:eastAsia="zh-CN"/>
        </w:rPr>
      </w:pPr>
      <w:r>
        <w:rPr>
          <w:lang w:eastAsia="zh-CN"/>
        </w:rPr>
        <w:t>证监会提醒中介机构可选用替代方案来收取和记录交易指示，以遵循监管规定。中介机构可在适当情况下采用有关方案，以配合其当前情况的需要。</w:t>
      </w:r>
    </w:p>
    <w:p w:rsidR="00636277" w:rsidRDefault="00442DD0">
      <w:pPr>
        <w:numPr>
          <w:ilvl w:val="0"/>
          <w:numId w:val="1"/>
        </w:numPr>
        <w:rPr>
          <w:lang w:eastAsia="zh-CN"/>
        </w:rPr>
      </w:pPr>
      <w:r>
        <w:rPr>
          <w:lang w:eastAsia="zh-CN"/>
        </w:rPr>
        <w:t>中介机构应制定适当的监控措施，确保有关替代方案能按照记录交易指示规定妥为实施。该通函还强调为了保障中介机构及客户的权益，完整及准确的记录是审计线索不可或缺的部分，这样在中介机构与客户就某项交易指示的细节存在争议时，有关记录便能确保有可靠的证据，以对争议进行评估。</w:t>
      </w:r>
    </w:p>
    <w:p w:rsidR="00636277" w:rsidRDefault="00442DD0">
      <w:pPr>
        <w:numPr>
          <w:ilvl w:val="0"/>
          <w:numId w:val="1"/>
        </w:numPr>
      </w:pPr>
      <w:r>
        <w:t>更多详情请参阅易周律师行关于该通函的通讯</w:t>
      </w:r>
      <w:hyperlink w:anchor="_ftn6">
        <w:r>
          <w:t>[6]</w:t>
        </w:r>
      </w:hyperlink>
      <w:r>
        <w:t>，载列网页</w:t>
      </w:r>
      <w:hyperlink r:id="rId14">
        <w:r>
          <w:t>https://www.charltonslaw.c</w:t>
        </w:r>
        <w:r>
          <w:t>om.cn/zheng-jian-hui-zai-2019-guan-zhuang-bing-du-da-liu-xing-bei-jing-xia-shun-yan-jian-guan-yao-qiu-shi-shi-qi-xian-bing-ti-xing-zhong-jie-ji-gou-zhu-yi-ji-lu-jiao-yi-zhi-shi-gui-ding/</w:t>
        </w:r>
      </w:hyperlink>
      <w:r>
        <w:t>。</w:t>
      </w:r>
    </w:p>
    <w:p w:rsidR="00636277" w:rsidRDefault="00442DD0">
      <w:pPr>
        <w:pStyle w:val="FirstParagraph"/>
        <w:rPr>
          <w:lang w:eastAsia="zh-CN"/>
        </w:rPr>
      </w:pPr>
      <w:r>
        <w:rPr>
          <w:lang w:eastAsia="zh-CN"/>
        </w:rPr>
        <w:t xml:space="preserve">3. </w:t>
      </w:r>
      <w:r>
        <w:rPr>
          <w:lang w:eastAsia="zh-CN"/>
        </w:rPr>
        <w:t>遵守《成交单据、户口结单及收据》规则</w:t>
      </w:r>
      <w:hyperlink w:anchor="_ftn7">
        <w:r>
          <w:rPr>
            <w:lang w:eastAsia="zh-CN"/>
          </w:rPr>
          <w:t>[7]</w:t>
        </w:r>
      </w:hyperlink>
    </w:p>
    <w:p w:rsidR="00636277" w:rsidRDefault="00442DD0">
      <w:pPr>
        <w:pStyle w:val="BodyText"/>
        <w:rPr>
          <w:lang w:eastAsia="zh-CN"/>
        </w:rPr>
      </w:pPr>
      <w:r>
        <w:rPr>
          <w:lang w:eastAsia="zh-CN"/>
        </w:rPr>
        <w:t>有关遵守《证券及期货〈成交单据、户口结单及收据〉规则》（</w:t>
      </w:r>
      <w:r>
        <w:rPr>
          <w:b/>
          <w:lang w:eastAsia="zh-CN"/>
        </w:rPr>
        <w:t>成交单据规则</w:t>
      </w:r>
      <w:r>
        <w:rPr>
          <w:lang w:eastAsia="zh-CN"/>
        </w:rPr>
        <w:t>），鉴于新冠疫情危机下多家海外邮递服务暂停，证监会表示将采用证监会于</w:t>
      </w:r>
      <w:r>
        <w:rPr>
          <w:lang w:eastAsia="zh-CN"/>
        </w:rPr>
        <w:t>2020</w:t>
      </w:r>
      <w:r>
        <w:rPr>
          <w:lang w:eastAsia="zh-CN"/>
        </w:rPr>
        <w:t>年</w:t>
      </w:r>
      <w:r>
        <w:rPr>
          <w:lang w:eastAsia="zh-CN"/>
        </w:rPr>
        <w:t>1</w:t>
      </w:r>
      <w:r>
        <w:rPr>
          <w:lang w:eastAsia="zh-CN"/>
        </w:rPr>
        <w:t>月</w:t>
      </w:r>
      <w:r>
        <w:rPr>
          <w:lang w:eastAsia="zh-CN"/>
        </w:rPr>
        <w:t>31</w:t>
      </w:r>
      <w:r>
        <w:rPr>
          <w:lang w:eastAsia="zh-CN"/>
        </w:rPr>
        <w:t>日就《遵守证券及期货〈成交单据、户口结单及收据〉规则》发出的邮件中所述原则及方法。</w:t>
      </w:r>
      <w:hyperlink w:anchor="_ftn8">
        <w:r>
          <w:rPr>
            <w:lang w:eastAsia="zh-CN"/>
          </w:rPr>
          <w:t>[8]</w:t>
        </w:r>
      </w:hyperlink>
    </w:p>
    <w:p w:rsidR="00636277" w:rsidRDefault="00442DD0">
      <w:pPr>
        <w:pStyle w:val="BodyText"/>
        <w:rPr>
          <w:lang w:eastAsia="zh-CN"/>
        </w:rPr>
      </w:pPr>
      <w:r>
        <w:rPr>
          <w:lang w:eastAsia="zh-CN"/>
        </w:rPr>
        <w:t>若持牌法团因为香港或海外邮递服务暂停而延迟成交单据、户口结单及收据的送达，该持牌法团不会被预期遵守《成交单据规则》第</w:t>
      </w:r>
      <w:r>
        <w:rPr>
          <w:lang w:eastAsia="zh-CN"/>
        </w:rPr>
        <w:t>18</w:t>
      </w:r>
      <w:r>
        <w:rPr>
          <w:lang w:eastAsia="zh-CN"/>
        </w:rPr>
        <w:t>条要求的向证监会发送书面通知的规定。</w:t>
      </w:r>
    </w:p>
    <w:p w:rsidR="00636277" w:rsidRDefault="00442DD0">
      <w:pPr>
        <w:pStyle w:val="BodyText"/>
        <w:rPr>
          <w:lang w:eastAsia="zh-CN"/>
        </w:rPr>
      </w:pPr>
      <w:r>
        <w:rPr>
          <w:lang w:eastAsia="zh-CN"/>
        </w:rPr>
        <w:t xml:space="preserve">4. </w:t>
      </w:r>
      <w:hyperlink r:id="rId15">
        <w:r>
          <w:rPr>
            <w:lang w:eastAsia="zh-CN"/>
          </w:rPr>
          <w:t>根据《证券及期货条例》第</w:t>
        </w:r>
        <w:r>
          <w:rPr>
            <w:lang w:eastAsia="zh-CN"/>
          </w:rPr>
          <w:t>156(1)</w:t>
        </w:r>
        <w:r>
          <w:rPr>
            <w:lang w:eastAsia="zh-CN"/>
          </w:rPr>
          <w:t>条呈交经审计账目及其他文件</w:t>
        </w:r>
      </w:hyperlink>
      <w:hyperlink w:anchor="_ftn9">
        <w:r>
          <w:rPr>
            <w:lang w:eastAsia="zh-CN"/>
          </w:rPr>
          <w:t>[9]</w:t>
        </w:r>
      </w:hyperlink>
    </w:p>
    <w:p w:rsidR="00636277" w:rsidRDefault="00442DD0">
      <w:pPr>
        <w:pStyle w:val="BodyText"/>
        <w:rPr>
          <w:lang w:eastAsia="zh-CN"/>
        </w:rPr>
      </w:pPr>
      <w:r>
        <w:rPr>
          <w:lang w:eastAsia="zh-CN"/>
        </w:rPr>
        <w:t>《证券及期货条例》第</w:t>
      </w:r>
      <w:r>
        <w:rPr>
          <w:lang w:eastAsia="zh-CN"/>
        </w:rPr>
        <w:t>156(1)</w:t>
      </w:r>
      <w:r>
        <w:rPr>
          <w:lang w:eastAsia="zh-CN"/>
        </w:rPr>
        <w:t>条规定：持牌法团及其有联系实体（认可财务机构除外）须在每个财政年度终结后四个月内向证监会提交其经审计账目及其他所规定的文件。由于现时新型冠状病毒疫情，某些持牌法团及有联系实体可</w:t>
      </w:r>
      <w:r>
        <w:rPr>
          <w:lang w:eastAsia="zh-CN"/>
        </w:rPr>
        <w:t>能无法在规定期限内提交其经审计账目。</w:t>
      </w:r>
    </w:p>
    <w:p w:rsidR="00636277" w:rsidRDefault="00442DD0">
      <w:pPr>
        <w:pStyle w:val="BodyText"/>
        <w:rPr>
          <w:lang w:eastAsia="zh-CN"/>
        </w:rPr>
      </w:pPr>
      <w:r>
        <w:rPr>
          <w:lang w:eastAsia="zh-CN"/>
        </w:rPr>
        <w:t>假如持牌法团或有联系实体预计其经审计账目或其他文件的拟备工作会有所延误，它可在切实可行的范围内，尽快使用刊载于证监会网站的《表格</w:t>
      </w:r>
      <w:r>
        <w:rPr>
          <w:lang w:eastAsia="zh-CN"/>
        </w:rPr>
        <w:t>B</w:t>
      </w:r>
      <w:r>
        <w:rPr>
          <w:lang w:eastAsia="zh-CN"/>
        </w:rPr>
        <w:t>》（适用于持牌法团）或《表格</w:t>
      </w:r>
      <w:r>
        <w:rPr>
          <w:lang w:eastAsia="zh-CN"/>
        </w:rPr>
        <w:t>E</w:t>
      </w:r>
      <w:r>
        <w:rPr>
          <w:lang w:eastAsia="zh-CN"/>
        </w:rPr>
        <w:t>》（适用于有联系实体），或经证监会电子服务网站，申请延长呈交的期限。证监会在处理有关申请时，会考虑冠状病毒疫情对持牌法团或有关联实体及其核数师的影响。</w:t>
      </w:r>
    </w:p>
    <w:p w:rsidR="00636277" w:rsidRDefault="00442DD0">
      <w:pPr>
        <w:pStyle w:val="BodyText"/>
        <w:rPr>
          <w:lang w:eastAsia="zh-CN"/>
        </w:rPr>
      </w:pPr>
      <w:r>
        <w:rPr>
          <w:lang w:eastAsia="zh-CN"/>
        </w:rPr>
        <w:t xml:space="preserve">5. </w:t>
      </w:r>
      <w:r>
        <w:rPr>
          <w:lang w:eastAsia="zh-CN"/>
        </w:rPr>
        <w:t>新冠病毒大流行下的牌照相关事宜</w:t>
      </w:r>
    </w:p>
    <w:p w:rsidR="00636277" w:rsidRDefault="00442DD0">
      <w:pPr>
        <w:pStyle w:val="BodyText"/>
      </w:pPr>
      <w:r>
        <w:rPr>
          <w:lang w:eastAsia="zh-CN"/>
        </w:rPr>
        <w:t>证监会得悉，中介人或牌照申请人因面对外游、公众聚会及封关方面的限制，令履行有关责任时可能遭遇困难。为了灵活处理监管事宜，以助</w:t>
      </w:r>
      <w:r>
        <w:rPr>
          <w:lang w:eastAsia="zh-CN"/>
        </w:rPr>
        <w:t>中介人应对</w:t>
      </w:r>
      <w:r>
        <w:rPr>
          <w:lang w:eastAsia="zh-CN"/>
        </w:rPr>
        <w:t>2019</w:t>
      </w:r>
      <w:r>
        <w:rPr>
          <w:lang w:eastAsia="zh-CN"/>
        </w:rPr>
        <w:t>冠状病毒大流行导致的不便，证监</w:t>
      </w:r>
      <w:r>
        <w:rPr>
          <w:lang w:eastAsia="zh-CN"/>
        </w:rPr>
        <w:lastRenderedPageBreak/>
        <w:t>会已经发出《</w:t>
      </w:r>
      <w:r>
        <w:rPr>
          <w:lang w:eastAsia="zh-CN"/>
        </w:rPr>
        <w:t>2019</w:t>
      </w:r>
      <w:r>
        <w:rPr>
          <w:lang w:eastAsia="zh-CN"/>
        </w:rPr>
        <w:t>冠状病毒大流行下的牌照相关事宜〈常见问题〉》</w:t>
      </w:r>
      <w:hyperlink w:anchor="_ftn10">
        <w:r>
          <w:rPr>
            <w:lang w:eastAsia="zh-CN"/>
          </w:rPr>
          <w:t>[10]</w:t>
        </w:r>
      </w:hyperlink>
      <w:r>
        <w:rPr>
          <w:lang w:eastAsia="zh-CN"/>
        </w:rPr>
        <w:t>，就中介人及牌照申请人的部分疑问（如有）提供示例。</w:t>
      </w:r>
      <w:r>
        <w:t>内容涉及诸多事项，包括：</w:t>
      </w:r>
    </w:p>
    <w:p w:rsidR="00636277" w:rsidRDefault="00442DD0">
      <w:pPr>
        <w:pStyle w:val="Compact"/>
        <w:numPr>
          <w:ilvl w:val="0"/>
          <w:numId w:val="5"/>
        </w:numPr>
        <w:rPr>
          <w:lang w:eastAsia="zh-CN"/>
        </w:rPr>
      </w:pPr>
      <w:r>
        <w:rPr>
          <w:lang w:eastAsia="zh-CN"/>
        </w:rPr>
        <w:t>如持牌人需要在</w:t>
      </w:r>
      <w:r>
        <w:rPr>
          <w:lang w:eastAsia="zh-CN"/>
        </w:rPr>
        <w:t>2020</w:t>
      </w:r>
      <w:r>
        <w:rPr>
          <w:lang w:eastAsia="zh-CN"/>
        </w:rPr>
        <w:t>年</w:t>
      </w:r>
      <w:r>
        <w:rPr>
          <w:lang w:eastAsia="zh-CN"/>
        </w:rPr>
        <w:t>9</w:t>
      </w:r>
      <w:r>
        <w:rPr>
          <w:lang w:eastAsia="zh-CN"/>
        </w:rPr>
        <w:t>月</w:t>
      </w:r>
      <w:r>
        <w:rPr>
          <w:lang w:eastAsia="zh-CN"/>
        </w:rPr>
        <w:t>30</w:t>
      </w:r>
      <w:r>
        <w:rPr>
          <w:lang w:eastAsia="zh-CN"/>
        </w:rPr>
        <w:t>日之前通过规管考试，有关期限顺延三个月。且持牌人无需就延期一事提交任何申请；</w:t>
      </w:r>
    </w:p>
    <w:p w:rsidR="00636277" w:rsidRDefault="00442DD0">
      <w:pPr>
        <w:pStyle w:val="Compact"/>
        <w:numPr>
          <w:ilvl w:val="0"/>
          <w:numId w:val="5"/>
        </w:numPr>
        <w:rPr>
          <w:lang w:eastAsia="zh-CN"/>
        </w:rPr>
      </w:pPr>
      <w:r>
        <w:rPr>
          <w:lang w:eastAsia="zh-CN"/>
        </w:rPr>
        <w:t>如持牌人承诺在</w:t>
      </w:r>
      <w:r>
        <w:rPr>
          <w:lang w:eastAsia="zh-CN"/>
        </w:rPr>
        <w:t>2020</w:t>
      </w:r>
      <w:r>
        <w:rPr>
          <w:lang w:eastAsia="zh-CN"/>
        </w:rPr>
        <w:t>年</w:t>
      </w:r>
      <w:r>
        <w:rPr>
          <w:lang w:eastAsia="zh-CN"/>
        </w:rPr>
        <w:t>9</w:t>
      </w:r>
      <w:r>
        <w:rPr>
          <w:lang w:eastAsia="zh-CN"/>
        </w:rPr>
        <w:t>月</w:t>
      </w:r>
      <w:r>
        <w:rPr>
          <w:lang w:eastAsia="zh-CN"/>
        </w:rPr>
        <w:t>30</w:t>
      </w:r>
      <w:r>
        <w:rPr>
          <w:lang w:eastAsia="zh-CN"/>
        </w:rPr>
        <w:t>日或之前完成额外持续培训时数，有关期限顺延三个月；</w:t>
      </w:r>
    </w:p>
    <w:p w:rsidR="00636277" w:rsidRDefault="00442DD0">
      <w:pPr>
        <w:pStyle w:val="Compact"/>
        <w:numPr>
          <w:ilvl w:val="0"/>
          <w:numId w:val="5"/>
        </w:numPr>
        <w:rPr>
          <w:lang w:eastAsia="zh-CN"/>
        </w:rPr>
      </w:pPr>
      <w:r>
        <w:rPr>
          <w:lang w:eastAsia="zh-CN"/>
        </w:rPr>
        <w:t>如持牌人无法于</w:t>
      </w:r>
      <w:r>
        <w:rPr>
          <w:lang w:eastAsia="zh-CN"/>
        </w:rPr>
        <w:t>2020</w:t>
      </w:r>
      <w:r>
        <w:rPr>
          <w:lang w:eastAsia="zh-CN"/>
        </w:rPr>
        <w:t>年</w:t>
      </w:r>
      <w:r>
        <w:rPr>
          <w:lang w:eastAsia="zh-CN"/>
        </w:rPr>
        <w:t>12</w:t>
      </w:r>
      <w:r>
        <w:rPr>
          <w:lang w:eastAsia="zh-CN"/>
        </w:rPr>
        <w:t>月</w:t>
      </w:r>
      <w:r>
        <w:rPr>
          <w:lang w:eastAsia="zh-CN"/>
        </w:rPr>
        <w:t>31</w:t>
      </w:r>
      <w:r>
        <w:rPr>
          <w:lang w:eastAsia="zh-CN"/>
        </w:rPr>
        <w:t>日前完成年度持续培训时数，便会</w:t>
      </w:r>
      <w:r>
        <w:rPr>
          <w:lang w:eastAsia="zh-CN"/>
        </w:rPr>
        <w:t>获准将</w:t>
      </w:r>
      <w:r>
        <w:rPr>
          <w:lang w:eastAsia="zh-CN"/>
        </w:rPr>
        <w:t>2020</w:t>
      </w:r>
      <w:r>
        <w:rPr>
          <w:lang w:eastAsia="zh-CN"/>
        </w:rPr>
        <w:t>年未完成的持续培训时数转移至</w:t>
      </w:r>
      <w:r>
        <w:rPr>
          <w:lang w:eastAsia="zh-CN"/>
        </w:rPr>
        <w:t>2021</w:t>
      </w:r>
      <w:r>
        <w:rPr>
          <w:lang w:eastAsia="zh-CN"/>
        </w:rPr>
        <w:t>年。该通函还提出网上课程（视作自我进修）同样会被接纳并能够用于达致持续培训要求；</w:t>
      </w:r>
    </w:p>
    <w:p w:rsidR="00636277" w:rsidRDefault="00442DD0">
      <w:pPr>
        <w:pStyle w:val="Compact"/>
        <w:numPr>
          <w:ilvl w:val="0"/>
          <w:numId w:val="5"/>
        </w:numPr>
        <w:rPr>
          <w:lang w:eastAsia="zh-CN"/>
        </w:rPr>
      </w:pPr>
      <w:r>
        <w:rPr>
          <w:lang w:eastAsia="zh-CN"/>
        </w:rPr>
        <w:t>根据《证券及期货（发牌及注册）（资料）规则》第</w:t>
      </w:r>
      <w:r>
        <w:rPr>
          <w:lang w:eastAsia="zh-CN"/>
        </w:rPr>
        <w:t>4</w:t>
      </w:r>
      <w:r>
        <w:rPr>
          <w:lang w:eastAsia="zh-CN"/>
        </w:rPr>
        <w:t>条及附表</w:t>
      </w:r>
      <w:r>
        <w:rPr>
          <w:lang w:eastAsia="zh-CN"/>
        </w:rPr>
        <w:t>3</w:t>
      </w:r>
      <w:r>
        <w:rPr>
          <w:lang w:eastAsia="zh-CN"/>
        </w:rPr>
        <w:t>第</w:t>
      </w:r>
      <w:r>
        <w:rPr>
          <w:lang w:eastAsia="zh-CN"/>
        </w:rPr>
        <w:t>9</w:t>
      </w:r>
      <w:r>
        <w:rPr>
          <w:lang w:eastAsia="zh-CN"/>
        </w:rPr>
        <w:t>段，持牌法团须就涵盖内部监控、组织架构、应变计划及相关事宜的业务计划的重大改变立即通知证监会。证监会给出以下需向其通知的情况的非详尽样例：</w:t>
      </w:r>
    </w:p>
    <w:p w:rsidR="00636277" w:rsidRDefault="00442DD0">
      <w:pPr>
        <w:pStyle w:val="Compact"/>
        <w:numPr>
          <w:ilvl w:val="1"/>
          <w:numId w:val="6"/>
        </w:numPr>
        <w:rPr>
          <w:lang w:eastAsia="zh-CN"/>
        </w:rPr>
      </w:pPr>
      <w:r>
        <w:rPr>
          <w:lang w:eastAsia="zh-CN"/>
        </w:rPr>
        <w:t>如有员工确诊以致可能会对持牌法团的营运构成影响；</w:t>
      </w:r>
    </w:p>
    <w:p w:rsidR="00636277" w:rsidRDefault="00442DD0">
      <w:pPr>
        <w:pStyle w:val="Compact"/>
        <w:numPr>
          <w:ilvl w:val="1"/>
          <w:numId w:val="6"/>
        </w:numPr>
        <w:rPr>
          <w:lang w:eastAsia="zh-CN"/>
        </w:rPr>
      </w:pPr>
      <w:r>
        <w:rPr>
          <w:lang w:eastAsia="zh-CN"/>
        </w:rPr>
        <w:t>因员工确诊或政府封关而关闭本地或海外办事处，且此举对持牌法团营运或进行受规管活动有所影响（例如暂时关闭处理中后勤部门事务的海外办</w:t>
      </w:r>
      <w:r>
        <w:rPr>
          <w:lang w:eastAsia="zh-CN"/>
        </w:rPr>
        <w:t>事处）；</w:t>
      </w:r>
    </w:p>
    <w:p w:rsidR="00636277" w:rsidRDefault="00442DD0">
      <w:pPr>
        <w:pStyle w:val="Compact"/>
        <w:numPr>
          <w:ilvl w:val="1"/>
          <w:numId w:val="6"/>
        </w:numPr>
        <w:rPr>
          <w:lang w:eastAsia="zh-CN"/>
        </w:rPr>
      </w:pPr>
      <w:r>
        <w:rPr>
          <w:lang w:eastAsia="zh-CN"/>
        </w:rPr>
        <w:t>资源架构有变（例如分割工作安排，调派员工至海外办事处工作）；及</w:t>
      </w:r>
    </w:p>
    <w:p w:rsidR="00636277" w:rsidRDefault="00442DD0">
      <w:pPr>
        <w:pStyle w:val="Compact"/>
        <w:numPr>
          <w:ilvl w:val="1"/>
          <w:numId w:val="6"/>
        </w:numPr>
        <w:rPr>
          <w:lang w:eastAsia="zh-CN"/>
        </w:rPr>
      </w:pPr>
      <w:r>
        <w:rPr>
          <w:lang w:eastAsia="zh-CN"/>
        </w:rPr>
        <w:t>触发持牌法团的业务延续计划；</w:t>
      </w:r>
    </w:p>
    <w:p w:rsidR="00636277" w:rsidRDefault="00442DD0">
      <w:pPr>
        <w:pStyle w:val="Compact"/>
        <w:numPr>
          <w:ilvl w:val="0"/>
          <w:numId w:val="5"/>
        </w:numPr>
        <w:rPr>
          <w:lang w:eastAsia="zh-CN"/>
        </w:rPr>
      </w:pPr>
      <w:r>
        <w:rPr>
          <w:lang w:eastAsia="zh-CN"/>
        </w:rPr>
        <w:t>海外人士需要取得临时代表牌照，以便从海外与香港客户透过电话会议或视像会议进行受规管活动；</w:t>
      </w:r>
    </w:p>
    <w:p w:rsidR="00636277" w:rsidRDefault="00442DD0">
      <w:pPr>
        <w:pStyle w:val="Compact"/>
        <w:numPr>
          <w:ilvl w:val="0"/>
          <w:numId w:val="5"/>
        </w:numPr>
        <w:rPr>
          <w:lang w:eastAsia="zh-CN"/>
        </w:rPr>
      </w:pPr>
      <w:r>
        <w:rPr>
          <w:lang w:eastAsia="zh-CN"/>
        </w:rPr>
        <w:t>如持牌法团因新冠病毒大流行而需要暂时关闭交易部门，有关问题是该等情况下其海外联属公司的交易者（驻守香港以外地区且未获证监会发牌）可否代替该持牌法团执行有关的交易职能，使该持牌法团能够继续向其现有客户提供服务。证监会要求持牌法团应维持一个后备办事处，并可遥距操作交易设施，令持牌法团可以在其提供交易服务的主要办事处关闭时</w:t>
      </w:r>
      <w:r>
        <w:rPr>
          <w:lang w:eastAsia="zh-CN"/>
        </w:rPr>
        <w:t>继续提供交易服务。然而，假若备用设施失效，令交易指示需要转交海外联属公司执行，持牌法团便须即时通知证监会，以及寻求证监会和海外当局的批准以进行离岸交易（若需要）。在这些特殊情况下，证监会会弹性处理和提供协助，以确保持牌法团能继续为客户提供服务；</w:t>
      </w:r>
    </w:p>
    <w:p w:rsidR="00636277" w:rsidRDefault="00442DD0">
      <w:pPr>
        <w:pStyle w:val="Compact"/>
        <w:numPr>
          <w:ilvl w:val="0"/>
          <w:numId w:val="5"/>
        </w:numPr>
        <w:rPr>
          <w:lang w:eastAsia="zh-CN"/>
        </w:rPr>
      </w:pPr>
      <w:r>
        <w:rPr>
          <w:lang w:eastAsia="zh-CN"/>
        </w:rPr>
        <w:t>根据《证券及期货条例》第</w:t>
      </w:r>
      <w:r>
        <w:rPr>
          <w:lang w:eastAsia="zh-CN"/>
        </w:rPr>
        <w:t>130</w:t>
      </w:r>
      <w:r>
        <w:rPr>
          <w:lang w:eastAsia="zh-CN"/>
        </w:rPr>
        <w:t>条，持牌法团需要取得证监会的事先批准，才可将特定处所用作存放关乎其进行受规管活动的记录或文件。证监会明白持牌法团可能安排员工在家居或其自营或联属公司的海外办事处工作。证监会要求持牌法团应确保员工能够遥距操作其交易或其他系统，并确保员工进</w:t>
      </w:r>
      <w:r>
        <w:rPr>
          <w:lang w:eastAsia="zh-CN"/>
        </w:rPr>
        <w:t>行的活动会记录在有关系统产生的记录及文件中。如某些记录及文件需要暂时存放在未经批准的处所，持牌法团便应在切实可行情况下尽快将有关记录送抵获批准的记录存放处所；</w:t>
      </w:r>
    </w:p>
    <w:p w:rsidR="00636277" w:rsidRDefault="00442DD0">
      <w:pPr>
        <w:pStyle w:val="Compact"/>
        <w:numPr>
          <w:ilvl w:val="0"/>
          <w:numId w:val="5"/>
        </w:numPr>
        <w:rPr>
          <w:lang w:eastAsia="zh-CN"/>
        </w:rPr>
      </w:pPr>
      <w:r>
        <w:rPr>
          <w:lang w:eastAsia="zh-CN"/>
        </w:rPr>
        <w:t>身处海外的牌照申请人提交临时牌照申请文件的签署页时，若申请人所在司法管辖区已暂停邮递服务或强制执行</w:t>
      </w:r>
      <w:r>
        <w:rPr>
          <w:lang w:eastAsia="zh-CN"/>
        </w:rPr>
        <w:t>“</w:t>
      </w:r>
      <w:r>
        <w:rPr>
          <w:lang w:eastAsia="zh-CN"/>
        </w:rPr>
        <w:t>禁止外出</w:t>
      </w:r>
      <w:r>
        <w:rPr>
          <w:lang w:eastAsia="zh-CN"/>
        </w:rPr>
        <w:t>”</w:t>
      </w:r>
      <w:r>
        <w:rPr>
          <w:lang w:eastAsia="zh-CN"/>
        </w:rPr>
        <w:t>的限制，申请人可以电子化的方式向证监会提交签署页副本，同时注明未能提交签署页的正本的原因，并应在情况回复正常后，立即邮寄签署页的正本予证监会；及</w:t>
      </w:r>
    </w:p>
    <w:p w:rsidR="00636277" w:rsidRDefault="00442DD0">
      <w:pPr>
        <w:pStyle w:val="Compact"/>
        <w:numPr>
          <w:ilvl w:val="0"/>
          <w:numId w:val="5"/>
        </w:numPr>
        <w:rPr>
          <w:lang w:eastAsia="zh-CN"/>
        </w:rPr>
      </w:pPr>
      <w:r>
        <w:rPr>
          <w:lang w:eastAsia="zh-CN"/>
        </w:rPr>
        <w:t>假如持牌法团及其有联系实体按规定在财政年度终结后四个月内呈交其经审计的账目，可透过呈交《表格</w:t>
      </w:r>
      <w:r>
        <w:rPr>
          <w:lang w:eastAsia="zh-CN"/>
        </w:rPr>
        <w:t>B</w:t>
      </w:r>
      <w:r>
        <w:rPr>
          <w:lang w:eastAsia="zh-CN"/>
        </w:rPr>
        <w:t>》</w:t>
      </w:r>
      <w:r>
        <w:rPr>
          <w:lang w:eastAsia="zh-CN"/>
        </w:rPr>
        <w:t>（适用于持牌法团）或《表格</w:t>
      </w:r>
      <w:r>
        <w:rPr>
          <w:lang w:eastAsia="zh-CN"/>
        </w:rPr>
        <w:t>E</w:t>
      </w:r>
      <w:r>
        <w:rPr>
          <w:lang w:eastAsia="zh-CN"/>
        </w:rPr>
        <w:t>》（适用于有联系实体）延长呈交期限。</w:t>
      </w:r>
    </w:p>
    <w:p w:rsidR="00636277" w:rsidRDefault="00442DD0">
      <w:r>
        <w:pict>
          <v:rect id="_x0000_i1025" style="width:0;height:1.5pt" o:hralign="center" o:hrstd="t" o:hr="t"/>
        </w:pict>
      </w:r>
    </w:p>
    <w:p w:rsidR="00636277" w:rsidRDefault="00442DD0">
      <w:pPr>
        <w:pStyle w:val="FirstParagraph"/>
        <w:rPr>
          <w:lang w:eastAsia="zh-CN"/>
        </w:rPr>
      </w:pPr>
      <w:hyperlink w:anchor="_ftnref1">
        <w:r>
          <w:rPr>
            <w:lang w:eastAsia="zh-CN"/>
          </w:rPr>
          <w:t>[1]</w:t>
        </w:r>
      </w:hyperlink>
      <w:r>
        <w:rPr>
          <w:lang w:eastAsia="zh-CN"/>
        </w:rPr>
        <w:t xml:space="preserve"> </w:t>
      </w:r>
      <w:r>
        <w:rPr>
          <w:lang w:eastAsia="zh-CN"/>
        </w:rPr>
        <w:t>证监会。《证监会在新冠疫情下的监管对策》。</w:t>
      </w:r>
      <w:r>
        <w:rPr>
          <w:lang w:eastAsia="zh-CN"/>
        </w:rPr>
        <w:t>2020</w:t>
      </w:r>
      <w:r>
        <w:rPr>
          <w:lang w:eastAsia="zh-CN"/>
        </w:rPr>
        <w:t>年</w:t>
      </w:r>
      <w:r>
        <w:rPr>
          <w:lang w:eastAsia="zh-CN"/>
        </w:rPr>
        <w:t>4</w:t>
      </w:r>
      <w:r>
        <w:rPr>
          <w:lang w:eastAsia="zh-CN"/>
        </w:rPr>
        <w:t>月</w:t>
      </w:r>
      <w:r>
        <w:rPr>
          <w:lang w:eastAsia="zh-CN"/>
        </w:rPr>
        <w:t>21</w:t>
      </w:r>
      <w:r>
        <w:rPr>
          <w:lang w:eastAsia="zh-CN"/>
        </w:rPr>
        <w:t>日。载列网页：</w:t>
      </w:r>
      <w:hyperlink r:id="rId16">
        <w:r>
          <w:rPr>
            <w:lang w:eastAsia="zh-CN"/>
          </w:rPr>
          <w:t>https://www.sfc.hk/edistributionWeb/ga</w:t>
        </w:r>
        <w:r>
          <w:rPr>
            <w:lang w:eastAsia="zh-CN"/>
          </w:rPr>
          <w:t>teway/TC/news-and-announcements/news/doc?refNo=20PR35</w:t>
        </w:r>
      </w:hyperlink>
    </w:p>
    <w:p w:rsidR="00636277" w:rsidRDefault="00442DD0">
      <w:pPr>
        <w:pStyle w:val="BodyText"/>
        <w:rPr>
          <w:lang w:eastAsia="zh-CN"/>
        </w:rPr>
      </w:pPr>
      <w:hyperlink w:anchor="_ftnref2">
        <w:r>
          <w:rPr>
            <w:lang w:eastAsia="zh-CN"/>
          </w:rPr>
          <w:t>[2]</w:t>
        </w:r>
      </w:hyperlink>
      <w:r>
        <w:rPr>
          <w:lang w:eastAsia="zh-CN"/>
        </w:rPr>
        <w:t xml:space="preserve"> </w:t>
      </w:r>
      <w:r>
        <w:rPr>
          <w:lang w:eastAsia="zh-CN"/>
        </w:rPr>
        <w:t>证监会。致中介人的通函</w:t>
      </w:r>
      <w:r>
        <w:rPr>
          <w:lang w:eastAsia="zh-CN"/>
        </w:rPr>
        <w:t>-</w:t>
      </w:r>
      <w:r>
        <w:rPr>
          <w:lang w:eastAsia="zh-CN"/>
        </w:rPr>
        <w:t>《有关确保为客户提供合理适当建议和及时向客户发放资料的重要责任的提示》。</w:t>
      </w:r>
      <w:r>
        <w:rPr>
          <w:lang w:eastAsia="zh-CN"/>
        </w:rPr>
        <w:t>2020</w:t>
      </w:r>
      <w:r>
        <w:rPr>
          <w:lang w:eastAsia="zh-CN"/>
        </w:rPr>
        <w:t>年</w:t>
      </w:r>
      <w:r>
        <w:rPr>
          <w:lang w:eastAsia="zh-CN"/>
        </w:rPr>
        <w:t>3</w:t>
      </w:r>
      <w:r>
        <w:rPr>
          <w:lang w:eastAsia="zh-CN"/>
        </w:rPr>
        <w:t>月</w:t>
      </w:r>
      <w:r>
        <w:rPr>
          <w:lang w:eastAsia="zh-CN"/>
        </w:rPr>
        <w:t>27</w:t>
      </w:r>
      <w:r>
        <w:rPr>
          <w:lang w:eastAsia="zh-CN"/>
        </w:rPr>
        <w:lastRenderedPageBreak/>
        <w:t>日。载列网页：</w:t>
      </w:r>
      <w:hyperlink r:id="rId17">
        <w:r>
          <w:rPr>
            <w:lang w:eastAsia="zh-CN"/>
          </w:rPr>
          <w:t>https://sc.sfc.hk/gb/www.sfc.hk/edistributionWeb/gateway/TC/circular/suitability/doc?refNo=20EC25</w:t>
        </w:r>
      </w:hyperlink>
    </w:p>
    <w:p w:rsidR="00636277" w:rsidRDefault="00442DD0">
      <w:pPr>
        <w:pStyle w:val="BodyText"/>
        <w:rPr>
          <w:lang w:eastAsia="zh-CN"/>
        </w:rPr>
      </w:pPr>
      <w:hyperlink w:anchor="_ftnref3">
        <w:r>
          <w:rPr>
            <w:lang w:eastAsia="zh-CN"/>
          </w:rPr>
          <w:t>[3]</w:t>
        </w:r>
      </w:hyperlink>
      <w:r>
        <w:rPr>
          <w:lang w:eastAsia="zh-CN"/>
        </w:rPr>
        <w:t xml:space="preserve"> </w:t>
      </w:r>
      <w:r>
        <w:rPr>
          <w:lang w:eastAsia="zh-CN"/>
        </w:rPr>
        <w:t>证监会。《有关触</w:t>
      </w:r>
      <w:r>
        <w:rPr>
          <w:lang w:eastAsia="zh-CN"/>
        </w:rPr>
        <w:t>发为客户提供合理适当建议的责任的常见问题》。</w:t>
      </w:r>
      <w:r>
        <w:rPr>
          <w:lang w:eastAsia="zh-CN"/>
        </w:rPr>
        <w:t>2018</w:t>
      </w:r>
      <w:r>
        <w:rPr>
          <w:lang w:eastAsia="zh-CN"/>
        </w:rPr>
        <w:t>年</w:t>
      </w:r>
      <w:r>
        <w:rPr>
          <w:lang w:eastAsia="zh-CN"/>
        </w:rPr>
        <w:t>12</w:t>
      </w:r>
      <w:r>
        <w:rPr>
          <w:lang w:eastAsia="zh-CN"/>
        </w:rPr>
        <w:t>月。载列网页：</w:t>
      </w:r>
      <w:hyperlink r:id="rId18">
        <w:r>
          <w:rPr>
            <w:lang w:eastAsia="zh-CN"/>
          </w:rPr>
          <w:t>https://sc.sfc.hk/gb/www.sfc.hk/web/TC/faqs/in</w:t>
        </w:r>
        <w:r>
          <w:rPr>
            <w:lang w:eastAsia="zh-CN"/>
          </w:rPr>
          <w:t>temediaries/supervision/triggering-of-suitability-obligations-c/triggering-of-suitability-obligations-c.html</w:t>
        </w:r>
      </w:hyperlink>
    </w:p>
    <w:p w:rsidR="00636277" w:rsidRDefault="00442DD0">
      <w:pPr>
        <w:pStyle w:val="BodyText"/>
        <w:rPr>
          <w:lang w:eastAsia="zh-CN"/>
        </w:rPr>
      </w:pPr>
      <w:hyperlink w:anchor="_ftnref4">
        <w:r>
          <w:rPr>
            <w:lang w:eastAsia="zh-CN"/>
          </w:rPr>
          <w:t>[4]</w:t>
        </w:r>
      </w:hyperlink>
      <w:r>
        <w:rPr>
          <w:lang w:eastAsia="zh-CN"/>
        </w:rPr>
        <w:t xml:space="preserve"> </w:t>
      </w:r>
      <w:r>
        <w:rPr>
          <w:lang w:eastAsia="zh-CN"/>
        </w:rPr>
        <w:t>证监会。《有关持牌人或注册人遵守为客户提供合理适当建议的责任的常见问题》。</w:t>
      </w:r>
      <w:r>
        <w:rPr>
          <w:lang w:eastAsia="zh-CN"/>
        </w:rPr>
        <w:t>2018</w:t>
      </w:r>
      <w:r>
        <w:rPr>
          <w:lang w:eastAsia="zh-CN"/>
        </w:rPr>
        <w:t>年</w:t>
      </w:r>
      <w:r>
        <w:rPr>
          <w:lang w:eastAsia="zh-CN"/>
        </w:rPr>
        <w:t>12</w:t>
      </w:r>
      <w:r>
        <w:rPr>
          <w:lang w:eastAsia="zh-CN"/>
        </w:rPr>
        <w:t>月。载列网页：</w:t>
      </w:r>
      <w:hyperlink r:id="rId19">
        <w:r>
          <w:rPr>
            <w:lang w:eastAsia="zh-CN"/>
          </w:rPr>
          <w:t>https://sc.sfc.hk/gb/www.sfc.hk/web/TC/faqs/intemediaries/supervision/compliance-with-suitability-obligations/compliance-with-suitability-obl</w:t>
        </w:r>
        <w:r>
          <w:rPr>
            <w:lang w:eastAsia="zh-CN"/>
          </w:rPr>
          <w:t>igations-c.html</w:t>
        </w:r>
      </w:hyperlink>
    </w:p>
    <w:p w:rsidR="00636277" w:rsidRDefault="00442DD0">
      <w:pPr>
        <w:pStyle w:val="BodyText"/>
        <w:rPr>
          <w:lang w:eastAsia="zh-CN"/>
        </w:rPr>
      </w:pPr>
      <w:hyperlink w:anchor="_ftnref5">
        <w:r>
          <w:rPr>
            <w:lang w:eastAsia="zh-CN"/>
          </w:rPr>
          <w:t>[5]</w:t>
        </w:r>
      </w:hyperlink>
      <w:r>
        <w:rPr>
          <w:lang w:eastAsia="zh-CN"/>
        </w:rPr>
        <w:t xml:space="preserve"> </w:t>
      </w:r>
      <w:r>
        <w:rPr>
          <w:lang w:eastAsia="zh-CN"/>
        </w:rPr>
        <w:t>证监会。致中介机构的通函</w:t>
      </w:r>
      <w:r>
        <w:rPr>
          <w:lang w:eastAsia="zh-CN"/>
        </w:rPr>
        <w:t>-</w:t>
      </w:r>
      <w:r>
        <w:rPr>
          <w:lang w:eastAsia="zh-CN"/>
        </w:rPr>
        <w:t>《有关在新冠疫情下顺延监管要求的实施期限及提醒业界注意记录交易指示规定》。</w:t>
      </w:r>
      <w:r>
        <w:rPr>
          <w:lang w:eastAsia="zh-CN"/>
        </w:rPr>
        <w:t>2020</w:t>
      </w:r>
      <w:r>
        <w:rPr>
          <w:lang w:eastAsia="zh-CN"/>
        </w:rPr>
        <w:t>年</w:t>
      </w:r>
      <w:r>
        <w:rPr>
          <w:lang w:eastAsia="zh-CN"/>
        </w:rPr>
        <w:t>3</w:t>
      </w:r>
      <w:r>
        <w:rPr>
          <w:lang w:eastAsia="zh-CN"/>
        </w:rPr>
        <w:t>月</w:t>
      </w:r>
      <w:r>
        <w:rPr>
          <w:lang w:eastAsia="zh-CN"/>
        </w:rPr>
        <w:t>31</w:t>
      </w:r>
      <w:r>
        <w:rPr>
          <w:lang w:eastAsia="zh-CN"/>
        </w:rPr>
        <w:t>日。载列网页：</w:t>
      </w:r>
      <w:hyperlink r:id="rId20">
        <w:r>
          <w:rPr>
            <w:lang w:eastAsia="zh-CN"/>
          </w:rPr>
          <w:t>https:/</w:t>
        </w:r>
        <w:r>
          <w:rPr>
            <w:lang w:eastAsia="zh-CN"/>
          </w:rPr>
          <w:t>/sc.sfc.hk/gb/www.sfc.hk/edistributionWeb/gateway/TC/circular/intermediaries/supervision/doc?refNo=20EC26</w:t>
        </w:r>
      </w:hyperlink>
    </w:p>
    <w:p w:rsidR="00636277" w:rsidRDefault="00442DD0">
      <w:pPr>
        <w:pStyle w:val="BodyText"/>
        <w:rPr>
          <w:lang w:eastAsia="zh-CN"/>
        </w:rPr>
      </w:pPr>
      <w:hyperlink w:anchor="_ftnref6">
        <w:r>
          <w:rPr>
            <w:lang w:eastAsia="zh-CN"/>
          </w:rPr>
          <w:t>[6]</w:t>
        </w:r>
      </w:hyperlink>
      <w:r>
        <w:rPr>
          <w:lang w:eastAsia="zh-CN"/>
        </w:rPr>
        <w:t xml:space="preserve"> </w:t>
      </w:r>
      <w:r>
        <w:rPr>
          <w:lang w:eastAsia="zh-CN"/>
        </w:rPr>
        <w:t>易周律师行。《证监会在</w:t>
      </w:r>
      <w:r>
        <w:rPr>
          <w:lang w:eastAsia="zh-CN"/>
        </w:rPr>
        <w:t>2019</w:t>
      </w:r>
      <w:r>
        <w:rPr>
          <w:lang w:eastAsia="zh-CN"/>
        </w:rPr>
        <w:t>冠状病毒大流行背景下顺延监管要求实施期限并提醒中介机构注意记录交易指示规定》。</w:t>
      </w:r>
      <w:r>
        <w:rPr>
          <w:lang w:eastAsia="zh-CN"/>
        </w:rPr>
        <w:t>2020</w:t>
      </w:r>
      <w:r>
        <w:rPr>
          <w:lang w:eastAsia="zh-CN"/>
        </w:rPr>
        <w:t>年</w:t>
      </w:r>
      <w:r>
        <w:rPr>
          <w:lang w:eastAsia="zh-CN"/>
        </w:rPr>
        <w:t>4</w:t>
      </w:r>
      <w:r>
        <w:rPr>
          <w:lang w:eastAsia="zh-CN"/>
        </w:rPr>
        <w:t>月。载列网页：</w:t>
      </w:r>
      <w:hyperlink r:id="rId21">
        <w:r>
          <w:rPr>
            <w:lang w:eastAsia="zh-CN"/>
          </w:rPr>
          <w:t>https://www.charltonslaw.c</w:t>
        </w:r>
        <w:r>
          <w:rPr>
            <w:lang w:eastAsia="zh-CN"/>
          </w:rPr>
          <w:t>om.cn/zheng-jian-hui-zai-2019-guan-zhuang-bing-du-da-liu-xing-bei-jing-xia-shun-yan-jian-guan-yao-qiu-shi-shi-qi-xian-bing-ti-xing-zhong-jie-ji-gou-zhu-yi-ji-lu-jiao-yi-zhi-shi-gui-ding/</w:t>
        </w:r>
      </w:hyperlink>
    </w:p>
    <w:p w:rsidR="00636277" w:rsidRDefault="00442DD0">
      <w:pPr>
        <w:pStyle w:val="BodyText"/>
      </w:pPr>
      <w:hyperlink w:anchor="_ftnref7">
        <w:r>
          <w:t>[7]</w:t>
        </w:r>
      </w:hyperlink>
      <w:r>
        <w:t xml:space="preserve"> </w:t>
      </w:r>
      <w:r>
        <w:t>载列网页：</w:t>
      </w:r>
      <w:hyperlink r:id="rId22">
        <w:r>
          <w:t>https://www.sfc.hk/web/EN/files/ER/Email%20on%20COVID.pdf</w:t>
        </w:r>
      </w:hyperlink>
    </w:p>
    <w:p w:rsidR="00636277" w:rsidRDefault="00442DD0">
      <w:pPr>
        <w:pStyle w:val="BodyText"/>
      </w:pPr>
      <w:hyperlink w:anchor="_ftnref8">
        <w:r>
          <w:t>[8]</w:t>
        </w:r>
      </w:hyperlink>
      <w:r>
        <w:t xml:space="preserve"> </w:t>
      </w:r>
      <w:r>
        <w:t>载列网页：</w:t>
      </w:r>
      <w:hyperlink r:id="rId23">
        <w:r>
          <w:t>https://www.sfc.hk/web/EN/files/E</w:t>
        </w:r>
        <w:r>
          <w:t>R/CNR_email_31012020.pdf</w:t>
        </w:r>
      </w:hyperlink>
    </w:p>
    <w:p w:rsidR="00636277" w:rsidRDefault="00442DD0">
      <w:pPr>
        <w:pStyle w:val="BodyText"/>
      </w:pPr>
      <w:hyperlink w:anchor="_ftnref9">
        <w:r>
          <w:t>[9]</w:t>
        </w:r>
      </w:hyperlink>
      <w:r>
        <w:t xml:space="preserve"> </w:t>
      </w:r>
      <w:r>
        <w:t>载列网页：</w:t>
      </w:r>
      <w:hyperlink r:id="rId24">
        <w:r>
          <w:t>https://www.sfc.hk/web/TC/files/LIC/pdf/Audited%20Accounts%20-%2020200207%20(C</w:t>
        </w:r>
        <w:r>
          <w:t>hi)%20(002).pdf</w:t>
        </w:r>
      </w:hyperlink>
    </w:p>
    <w:p w:rsidR="00636277" w:rsidRDefault="00442DD0">
      <w:pPr>
        <w:pStyle w:val="BodyText"/>
      </w:pPr>
      <w:hyperlink w:anchor="_ftnref10">
        <w:r>
          <w:t>[10]</w:t>
        </w:r>
      </w:hyperlink>
      <w:r>
        <w:t xml:space="preserve"> </w:t>
      </w:r>
      <w:r>
        <w:t>载列网页：</w:t>
      </w:r>
      <w:hyperlink r:id="rId25">
        <w:r>
          <w:t>https://www.sfc.hk/web/EN/files/ER/Email%20on%20COVID.pdf</w:t>
        </w:r>
      </w:hyperlink>
    </w:p>
    <w:p w:rsidR="00636277" w:rsidRDefault="00442DD0">
      <w:pPr>
        <w:pStyle w:val="DisclaimerBold"/>
        <w:rPr>
          <w:lang w:eastAsia="zh-CN"/>
        </w:rPr>
      </w:pPr>
      <w:r>
        <w:rPr>
          <w:lang w:eastAsia="zh-CN"/>
        </w:rPr>
        <w:t>此法讯仅为提供相关资料信息之用，其内容并</w:t>
      </w:r>
    </w:p>
    <w:p w:rsidR="00636277" w:rsidRDefault="00442DD0">
      <w:pPr>
        <w:pStyle w:val="Disclaimer"/>
        <w:rPr>
          <w:lang w:eastAsia="zh-CN"/>
        </w:rPr>
      </w:pPr>
      <w:r>
        <w:rPr>
          <w:lang w:eastAsia="zh-CN"/>
        </w:rPr>
        <w:t>不构成法律建议及个案的法律分析。</w:t>
      </w:r>
    </w:p>
    <w:p w:rsidR="00636277" w:rsidRDefault="00442DD0">
      <w:pPr>
        <w:pStyle w:val="Disclaimer"/>
        <w:rPr>
          <w:lang w:eastAsia="zh-CN"/>
        </w:rPr>
      </w:pPr>
      <w:r>
        <w:rPr>
          <w:lang w:eastAsia="zh-CN"/>
        </w:rPr>
        <w:t>此法讯的发送并不是为了在易周律师行与用户或浏览者之</w:t>
      </w:r>
      <w:r>
        <w:rPr>
          <w:lang w:eastAsia="zh-CN"/>
        </w:rPr>
        <w:t>间建立一种律师与客户之关系。</w:t>
      </w:r>
    </w:p>
    <w:p w:rsidR="00636277" w:rsidRDefault="00442DD0">
      <w:pPr>
        <w:pStyle w:val="Disclaimer"/>
        <w:rPr>
          <w:lang w:eastAsia="zh-CN"/>
        </w:rPr>
      </w:pPr>
      <w:r>
        <w:rPr>
          <w:lang w:eastAsia="zh-CN"/>
        </w:rPr>
        <w:t>易周律师行并不对可从互联网获得的任何第三方内容负责。</w:t>
      </w:r>
    </w:p>
    <w:p w:rsidR="00636277" w:rsidRDefault="00442DD0">
      <w:pPr>
        <w:pStyle w:val="Disclaimer"/>
        <w:rPr>
          <w:lang w:eastAsia="zh-CN"/>
        </w:rPr>
      </w:pPr>
      <w:r>
        <w:rPr>
          <w:lang w:eastAsia="zh-CN"/>
        </w:rPr>
        <w:t>如你不希望再收到易周法讯，请发送电邮至</w:t>
      </w:r>
      <w:r>
        <w:rPr>
          <w:lang w:eastAsia="zh-CN"/>
        </w:rPr>
        <w:t xml:space="preserve">  </w:t>
      </w:r>
      <w:hyperlink r:id="rId26">
        <w:r>
          <w:rPr>
            <w:lang w:eastAsia="zh-CN"/>
          </w:rPr>
          <w:t>unsubscribe@charltonslaw.com</w:t>
        </w:r>
      </w:hyperlink>
    </w:p>
    <w:p w:rsidR="00636277" w:rsidRDefault="00442DD0">
      <w:pPr>
        <w:pStyle w:val="BlackStrips"/>
      </w:pPr>
      <w:r>
        <w:t xml:space="preserve">Charltons - </w:t>
      </w:r>
      <w:r>
        <w:t>香港法律</w:t>
      </w:r>
      <w:r>
        <w:t xml:space="preserve"> - 2020</w:t>
      </w:r>
      <w:r>
        <w:t>年</w:t>
      </w:r>
      <w:r>
        <w:t>5</w:t>
      </w:r>
      <w:r>
        <w:t>月</w:t>
      </w:r>
      <w:r>
        <w:t>6</w:t>
      </w:r>
      <w:r>
        <w:t>日</w:t>
      </w:r>
    </w:p>
    <w:sectPr w:rsidR="00636277">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42DD0">
      <w:pPr>
        <w:spacing w:after="0"/>
      </w:pPr>
      <w:r>
        <w:separator/>
      </w:r>
    </w:p>
  </w:endnote>
  <w:endnote w:type="continuationSeparator" w:id="0">
    <w:p w:rsidR="00000000" w:rsidRDefault="00442D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277" w:rsidRDefault="00442DD0">
      <w:r>
        <w:separator/>
      </w:r>
    </w:p>
  </w:footnote>
  <w:footnote w:type="continuationSeparator" w:id="0">
    <w:p w:rsidR="00636277" w:rsidRDefault="00442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61620E"/>
    <w:multiLevelType w:val="multilevel"/>
    <w:tmpl w:val="1F1CC4E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B6038633"/>
    <w:multiLevelType w:val="multilevel"/>
    <w:tmpl w:val="E95C27D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E65469D5"/>
    <w:multiLevelType w:val="multilevel"/>
    <w:tmpl w:val="D55A73B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3" w15:restartNumberingAfterBreak="0">
    <w:nsid w:val="1BFE108F"/>
    <w:multiLevelType w:val="hybridMultilevel"/>
    <w:tmpl w:val="5A7A7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42DD0"/>
    <w:rsid w:val="004E29B3"/>
    <w:rsid w:val="00590D07"/>
    <w:rsid w:val="0063627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53DAD3"/>
  <w15:docId w15:val="{22BC3B8F-CD6A-43BD-A9FD-A5DC47B9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edistributionWeb/gateway/EN/news-and-announcements/news/doc?refNo=20PR35" TargetMode="External"/><Relationship Id="rId13" Type="http://schemas.openxmlformats.org/officeDocument/2006/relationships/hyperlink" Target="https://www.sfc.hk/edistributionWeb/gateway/EN/circular/intermediaries/supervision/doc?refNo=20EC26" TargetMode="External"/><Relationship Id="rId18" Type="http://schemas.openxmlformats.org/officeDocument/2006/relationships/hyperlink" Target="https://sc.sfc.hk/gb/www.sfc.hk/web/TC/faqs/intemediaries/supervision/triggering-of-suitability-obligations-c/triggering-of-suitability-obligations-c.html" TargetMode="External"/><Relationship Id="rId26"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21" Type="http://schemas.openxmlformats.org/officeDocument/2006/relationships/hyperlink" Target="https://www.charltonslaw.com.cn/zheng-jian-hui-zai-2019-guan-zhuang-bing-du-da-liu-xing-bei-jing-xia-shun-yan-jian-guan-yao-qiu-shi-shi-qi-xian-bing-ti-xing-zhong-jie-ji-gou-zhu-yi-ji-lu-jiao-yi-zhi-shi-gui-ding/" TargetMode="External"/><Relationship Id="rId7" Type="http://schemas.openxmlformats.org/officeDocument/2006/relationships/hyperlink" Target="http://www.charltonslaw.com.cn/zheng-jian-hui-zai-xin-guan-yi-qing-da-liu-xing-bei-jing-xia-xiang-chi-pai-zhong-jie-ren-fa-chu-zhi-yin" TargetMode="External"/><Relationship Id="rId12" Type="http://schemas.openxmlformats.org/officeDocument/2006/relationships/hyperlink" Target="https://www.sfc.hk/web/EN/faqs/intermediaries/supervision/suitability-obligations-of-investment-advisers/compliance-with-suitability-obligations.html" TargetMode="External"/><Relationship Id="rId17" Type="http://schemas.openxmlformats.org/officeDocument/2006/relationships/hyperlink" Target="https://sc.sfc.hk/gb/www.sfc.hk/edistributionWeb/gateway/TC/circular/suitability/doc?refNo=20EC25" TargetMode="External"/><Relationship Id="rId25" Type="http://schemas.openxmlformats.org/officeDocument/2006/relationships/hyperlink" Target="https://www.sfc.hk/web/EN/files/ER/Email%20on%20COVID.pdf" TargetMode="External"/><Relationship Id="rId2" Type="http://schemas.openxmlformats.org/officeDocument/2006/relationships/styles" Target="styles.xml"/><Relationship Id="rId16" Type="http://schemas.openxmlformats.org/officeDocument/2006/relationships/hyperlink" Target="https://www.sfc.hk/edistributionWeb/gateway/TC/news-and-announcements/news/doc?refNo=20PR35" TargetMode="External"/><Relationship Id="rId20" Type="http://schemas.openxmlformats.org/officeDocument/2006/relationships/hyperlink" Target="https://sc.sfc.hk/gb/www.sfc.hk/edistributionWeb/gateway/TC/circular/intermediaries/supervision/doc?refNo=20EC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web/EN/faqs/intermediaries/supervision/triggering-of-suitability-obligations/triggering-of-suitability-obligations.html" TargetMode="External"/><Relationship Id="rId24" Type="http://schemas.openxmlformats.org/officeDocument/2006/relationships/hyperlink" Target="https://www.sfc.hk/web/TC/files/LIC/pdf/Audited%20Accounts%20-%2020200207%20(Chi)%20(002).pdf" TargetMode="External"/><Relationship Id="rId5" Type="http://schemas.openxmlformats.org/officeDocument/2006/relationships/footnotes" Target="footnotes.xml"/><Relationship Id="rId15" Type="http://schemas.openxmlformats.org/officeDocument/2006/relationships/hyperlink" Target="https://www.sfc.hk/web/EN/files/LIC/pdf/Audited%20Accounts%20-%2020200207%20(Eng)%20(002).pdf" TargetMode="External"/><Relationship Id="rId23" Type="http://schemas.openxmlformats.org/officeDocument/2006/relationships/hyperlink" Target="https://www.sfc.hk/web/EN/files/ER/CNR_email_31012020.pdf" TargetMode="External"/><Relationship Id="rId28" Type="http://schemas.openxmlformats.org/officeDocument/2006/relationships/theme" Target="theme/theme1.xml"/><Relationship Id="rId10" Type="http://schemas.openxmlformats.org/officeDocument/2006/relationships/hyperlink" Target="https://www.sfc.hk/edistributionWeb/gateway/EN/circular/suitability/doc?refNo=20EC25" TargetMode="External"/><Relationship Id="rId19" Type="http://schemas.openxmlformats.org/officeDocument/2006/relationships/hyperlink" Target="https://sc.sfc.hk/gb/www.sfc.hk/web/TC/faqs/intemediaries/supervision/compliance-with-suitability-obligations/compliance-with-suitability-obligations-c.html" TargetMode="External"/><Relationship Id="rId4" Type="http://schemas.openxmlformats.org/officeDocument/2006/relationships/webSettings" Target="webSettings.xml"/><Relationship Id="rId9" Type="http://schemas.openxmlformats.org/officeDocument/2006/relationships/hyperlink" Target="https://sc.sfc.hk/gb/www.sfc.hk/web/TC/information-for-firms-on-covid-19.html" TargetMode="External"/><Relationship Id="rId14" Type="http://schemas.openxmlformats.org/officeDocument/2006/relationships/hyperlink" Target="https://www.charltonslaw.com.cn/zheng-jian-hui-zai-2019-guan-zhuang-bing-du-da-liu-xing-bei-jing-xia-shun-yan-jian-guan-yao-qiu-shi-shi-qi-xian-bing-ti-xing-zhong-jie-ji-gou-zhu-yi-ji-lu-jiao-yi-zhi-shi-gui-ding/" TargetMode="External"/><Relationship Id="rId22" Type="http://schemas.openxmlformats.org/officeDocument/2006/relationships/hyperlink" Target="https://www.sfc.hk/web/EN/files/ER/Email%20on%20COVID.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1334</Words>
  <Characters>7607</Characters>
  <Application>Microsoft Office Word</Application>
  <DocSecurity>0</DocSecurity>
  <Lines>63</Lines>
  <Paragraphs>17</Paragraphs>
  <ScaleCrop>false</ScaleCrop>
  <Company>Charltons</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2020-05-06T02:19:00Z</dcterms:created>
  <dcterms:modified xsi:type="dcterms:W3CDTF">2020-05-06T08:12:00Z</dcterms:modified>
</cp:coreProperties>
</file>