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FC" w:rsidRDefault="007C57C4">
      <w:pPr>
        <w:pStyle w:val="BlackStrips"/>
      </w:pPr>
      <w:r>
        <w:t xml:space="preserve">Charltons - </w:t>
      </w:r>
      <w:r>
        <w:t>香港法律</w:t>
      </w:r>
      <w:r>
        <w:t xml:space="preserve"> - 2020</w:t>
      </w:r>
      <w:r>
        <w:t>年</w:t>
      </w:r>
      <w:r>
        <w:t>5</w:t>
      </w:r>
      <w:r>
        <w:t>月</w:t>
      </w:r>
      <w:r>
        <w:t>22</w:t>
      </w:r>
      <w:r>
        <w:t>日</w:t>
      </w:r>
    </w:p>
    <w:p w:rsidR="00D97FFC" w:rsidRDefault="007C57C4">
      <w:pPr>
        <w:pStyle w:val="ReadOnline"/>
        <w:rPr>
          <w:lang w:eastAsia="zh-CN"/>
        </w:rPr>
      </w:pPr>
      <w:hyperlink r:id="rId7">
        <w:r>
          <w:rPr>
            <w:lang w:eastAsia="zh-CN"/>
          </w:rPr>
          <w:t>online version</w:t>
        </w:r>
      </w:hyperlink>
    </w:p>
    <w:p w:rsidR="00D97FFC" w:rsidRDefault="007C57C4">
      <w:pPr>
        <w:pStyle w:val="Title"/>
        <w:rPr>
          <w:lang w:eastAsia="zh-CN"/>
        </w:rPr>
      </w:pPr>
      <w:r>
        <w:rPr>
          <w:lang w:eastAsia="zh-CN"/>
        </w:rPr>
        <w:t>证监会就</w:t>
      </w:r>
      <w:r>
        <w:rPr>
          <w:lang w:eastAsia="zh-CN"/>
        </w:rPr>
        <w:t>2019</w:t>
      </w:r>
      <w:r>
        <w:rPr>
          <w:lang w:eastAsia="zh-CN"/>
        </w:rPr>
        <w:t>冠状病毒大流行（</w:t>
      </w:r>
      <w:r>
        <w:rPr>
          <w:lang w:eastAsia="zh-CN"/>
        </w:rPr>
        <w:t>COVID</w:t>
      </w:r>
      <w:r>
        <w:rPr>
          <w:rFonts w:hint="eastAsia"/>
          <w:lang w:eastAsia="zh-CN"/>
        </w:rPr>
        <w:t>-</w:t>
      </w:r>
      <w:r>
        <w:rPr>
          <w:lang w:eastAsia="zh-CN"/>
        </w:rPr>
        <w:t>19</w:t>
      </w:r>
      <w:r>
        <w:rPr>
          <w:lang w:eastAsia="zh-CN"/>
        </w:rPr>
        <w:t>）期间遥距工作安排的网络保安风险管理向持牌法团发出指引</w:t>
      </w:r>
    </w:p>
    <w:p w:rsidR="00D97FFC" w:rsidRDefault="007C57C4">
      <w:pPr>
        <w:pStyle w:val="FirstParagraph"/>
        <w:rPr>
          <w:lang w:eastAsia="zh-CN"/>
        </w:rPr>
      </w:pPr>
      <w:r>
        <w:rPr>
          <w:lang w:eastAsia="zh-CN"/>
        </w:rPr>
        <w:t>2020</w:t>
      </w:r>
      <w:r>
        <w:rPr>
          <w:lang w:eastAsia="zh-CN"/>
        </w:rPr>
        <w:t>年</w:t>
      </w:r>
      <w:r>
        <w:rPr>
          <w:lang w:eastAsia="zh-CN"/>
        </w:rPr>
        <w:t>4</w:t>
      </w:r>
      <w:r>
        <w:rPr>
          <w:lang w:eastAsia="zh-CN"/>
        </w:rPr>
        <w:t>月</w:t>
      </w:r>
      <w:r>
        <w:rPr>
          <w:lang w:eastAsia="zh-CN"/>
        </w:rPr>
        <w:t>29</w:t>
      </w:r>
      <w:r>
        <w:rPr>
          <w:lang w:eastAsia="zh-CN"/>
        </w:rPr>
        <w:t>日，证券及期货事务监察委员会（</w:t>
      </w:r>
      <w:r>
        <w:rPr>
          <w:b/>
          <w:lang w:eastAsia="zh-CN"/>
        </w:rPr>
        <w:t>证监会</w:t>
      </w:r>
      <w:r>
        <w:rPr>
          <w:lang w:eastAsia="zh-CN"/>
        </w:rPr>
        <w:t>）发出了</w:t>
      </w:r>
      <w:hyperlink r:id="rId8">
        <w:r>
          <w:rPr>
            <w:rFonts w:ascii="SimSun" w:eastAsia="SimSun" w:hAnsi="SimSun" w:cs="SimSun" w:hint="eastAsia"/>
            <w:lang w:eastAsia="zh-CN"/>
          </w:rPr>
          <w:t>《致持牌法团的通函与遥距工作安排的网络保安风险管理》</w:t>
        </w:r>
      </w:hyperlink>
      <w:hyperlink w:anchor="_ftn1">
        <w:r>
          <w:rPr>
            <w:vertAlign w:val="superscript"/>
            <w:lang w:eastAsia="zh-CN"/>
          </w:rPr>
          <w:t>[1]</w:t>
        </w:r>
      </w:hyperlink>
      <w:r>
        <w:rPr>
          <w:lang w:eastAsia="zh-CN"/>
        </w:rPr>
        <w:t>（</w:t>
      </w:r>
      <w:r>
        <w:rPr>
          <w:b/>
          <w:lang w:eastAsia="zh-CN"/>
        </w:rPr>
        <w:t>证监会网络保安风险通函</w:t>
      </w:r>
      <w:r>
        <w:rPr>
          <w:lang w:eastAsia="zh-CN"/>
        </w:rPr>
        <w:t>），提醒证监会持牌法团须评估其操作能力，及实施适当的措施以管理与遥距工作安排相关的网络保安风险。证监会是鉴于新冠病毒大流行期间愈来愈多公司采用遥距工作安排的情况而发出该指引。</w:t>
      </w:r>
    </w:p>
    <w:p w:rsidR="00D97FFC" w:rsidRDefault="007C57C4">
      <w:pPr>
        <w:pStyle w:val="BodyText"/>
        <w:rPr>
          <w:lang w:eastAsia="zh-CN"/>
        </w:rPr>
      </w:pPr>
      <w:r>
        <w:rPr>
          <w:lang w:eastAsia="zh-CN"/>
        </w:rPr>
        <w:t>透过遥距工作安排，雇员可以从办事处以外的地点接达证</w:t>
      </w:r>
      <w:bookmarkStart w:id="0" w:name="_GoBack"/>
      <w:bookmarkEnd w:id="0"/>
      <w:r>
        <w:rPr>
          <w:lang w:eastAsia="zh-CN"/>
        </w:rPr>
        <w:t>监会持牌法团的内部网络和系统。遥距工</w:t>
      </w:r>
      <w:r>
        <w:rPr>
          <w:lang w:eastAsia="zh-CN"/>
        </w:rPr>
        <w:t>作安排还可以让员工透过视像会议举行会议。证监会网络保安风险通函就监控措施及程序列举了多个例子（非详尽无遗），以协助证监会持牌法团保护内部网络及数据。</w:t>
      </w:r>
    </w:p>
    <w:p w:rsidR="00D97FFC" w:rsidRDefault="007C57C4">
      <w:pPr>
        <w:pStyle w:val="BodyText"/>
        <w:rPr>
          <w:lang w:eastAsia="zh-CN"/>
        </w:rPr>
      </w:pPr>
      <w:r>
        <w:rPr>
          <w:lang w:eastAsia="zh-CN"/>
        </w:rPr>
        <w:t>《证券及期货事务监察委员会持牌人或注册人操守准则》第</w:t>
      </w:r>
      <w:r>
        <w:rPr>
          <w:lang w:eastAsia="zh-CN"/>
        </w:rPr>
        <w:t>4.3</w:t>
      </w:r>
      <w:r>
        <w:rPr>
          <w:lang w:eastAsia="zh-CN"/>
        </w:rPr>
        <w:t>段规定，持牌法团须设有妥善的内部监控程序、财政资源及操作能力，而按照合理的预期，这些程序和能力足以保障其运作、客户及其他持牌人或注册人，以免其受偷窃、欺诈或不诚实的行为、专业上的失当行为或不作为而招致财政损失。因此持牌法团须实施并维持其视为适当且与其业务规模及复杂程度相称的监控措施及程序。</w:t>
      </w:r>
    </w:p>
    <w:p w:rsidR="00D97FFC" w:rsidRDefault="007C57C4">
      <w:pPr>
        <w:pStyle w:val="BodyText"/>
        <w:rPr>
          <w:lang w:eastAsia="zh-CN"/>
        </w:rPr>
      </w:pPr>
      <w:r>
        <w:rPr>
          <w:lang w:eastAsia="zh-CN"/>
        </w:rPr>
        <w:t>遥距接达证监</w:t>
      </w:r>
      <w:r>
        <w:rPr>
          <w:lang w:eastAsia="zh-CN"/>
        </w:rPr>
        <w:t>会持牌法团的内部网络</w:t>
      </w:r>
    </w:p>
    <w:p w:rsidR="00D97FFC" w:rsidRDefault="007C57C4" w:rsidP="007C57C4">
      <w:pPr>
        <w:pStyle w:val="BodyText"/>
        <w:jc w:val="left"/>
        <w:rPr>
          <w:lang w:eastAsia="zh-CN"/>
        </w:rPr>
      </w:pPr>
      <w:r>
        <w:rPr>
          <w:lang w:eastAsia="zh-CN"/>
        </w:rPr>
        <w:t xml:space="preserve">员工一般透过虚拟私有网络（Virtual Private </w:t>
      </w:r>
      <w:r>
        <w:rPr>
          <w:lang w:eastAsia="zh-CN"/>
        </w:rPr>
        <w:t>Network</w:t>
      </w:r>
      <w:r>
        <w:rPr>
          <w:lang w:eastAsia="zh-CN"/>
        </w:rPr>
        <w:t>，简称</w:t>
      </w:r>
      <w:r>
        <w:rPr>
          <w:lang w:eastAsia="zh-CN"/>
        </w:rPr>
        <w:t>VPN</w:t>
      </w:r>
      <w:r>
        <w:rPr>
          <w:lang w:eastAsia="zh-CN"/>
        </w:rPr>
        <w:t>）软件接达证监会持牌法团的内部网络。</w:t>
      </w:r>
      <w:r>
        <w:rPr>
          <w:lang w:eastAsia="zh-CN"/>
        </w:rPr>
        <w:t>VPN</w:t>
      </w:r>
      <w:r>
        <w:rPr>
          <w:lang w:eastAsia="zh-CN"/>
        </w:rPr>
        <w:t>软件透过互联网提供加密连接，从而使得雇员能够遥距接达内部网络并确保敏感数据在传输过程中得到保护。证监会网络保安风险通函中提到近期某持牌法团所汇报的一宗网络保安事故，并特别指出网络罪犯如何利用</w:t>
      </w:r>
      <w:r>
        <w:rPr>
          <w:lang w:eastAsia="zh-CN"/>
        </w:rPr>
        <w:t>VPN</w:t>
      </w:r>
      <w:r>
        <w:rPr>
          <w:lang w:eastAsia="zh-CN"/>
        </w:rPr>
        <w:t>的已知缺陷入侵证监会持牌法团的内部网络，存取客户数据及发出未经授权而转移资金的指示。</w:t>
      </w:r>
    </w:p>
    <w:p w:rsidR="00D97FFC" w:rsidRDefault="007C57C4">
      <w:pPr>
        <w:pStyle w:val="BodyText"/>
        <w:rPr>
          <w:lang w:eastAsia="zh-CN"/>
        </w:rPr>
      </w:pPr>
      <w:r>
        <w:rPr>
          <w:lang w:eastAsia="zh-CN"/>
        </w:rPr>
        <w:t>纾减网络保安风险的监控措施及程序</w:t>
      </w:r>
    </w:p>
    <w:p w:rsidR="00D97FFC" w:rsidRDefault="007C57C4">
      <w:pPr>
        <w:pStyle w:val="BodyText"/>
        <w:rPr>
          <w:lang w:eastAsia="zh-CN"/>
        </w:rPr>
      </w:pPr>
      <w:r>
        <w:rPr>
          <w:lang w:eastAsia="zh-CN"/>
        </w:rPr>
        <w:t>证监会网络保安风险通函列出以下用以纾减遥距接达网</w:t>
      </w:r>
      <w:r>
        <w:rPr>
          <w:lang w:eastAsia="zh-CN"/>
        </w:rPr>
        <w:t>络保安风险的监控措施及程序：</w:t>
      </w:r>
    </w:p>
    <w:p w:rsidR="00D97FFC" w:rsidRDefault="007C57C4">
      <w:pPr>
        <w:pStyle w:val="Compact"/>
        <w:numPr>
          <w:ilvl w:val="0"/>
          <w:numId w:val="2"/>
        </w:numPr>
        <w:rPr>
          <w:lang w:eastAsia="zh-CN"/>
        </w:rPr>
      </w:pPr>
      <w:r>
        <w:rPr>
          <w:lang w:eastAsia="zh-CN"/>
        </w:rPr>
        <w:t>实施稳健的</w:t>
      </w:r>
      <w:r>
        <w:rPr>
          <w:lang w:eastAsia="zh-CN"/>
        </w:rPr>
        <w:t>VPN</w:t>
      </w:r>
      <w:r>
        <w:rPr>
          <w:lang w:eastAsia="zh-CN"/>
        </w:rPr>
        <w:t>解决方案，藉以提供强效的加密程式及两重或以上的防护，以保护在遥距接达装置与持牌法团内部网络之间传输的数据；</w:t>
      </w:r>
    </w:p>
    <w:p w:rsidR="00D97FFC" w:rsidRDefault="007C57C4">
      <w:pPr>
        <w:pStyle w:val="Compact"/>
        <w:numPr>
          <w:ilvl w:val="0"/>
          <w:numId w:val="2"/>
        </w:numPr>
        <w:rPr>
          <w:lang w:eastAsia="zh-CN"/>
        </w:rPr>
      </w:pPr>
      <w:r>
        <w:rPr>
          <w:lang w:eastAsia="zh-CN"/>
        </w:rPr>
        <w:t>使用多个</w:t>
      </w:r>
      <w:r>
        <w:rPr>
          <w:lang w:eastAsia="zh-CN"/>
        </w:rPr>
        <w:t>VPN</w:t>
      </w:r>
      <w:r>
        <w:rPr>
          <w:lang w:eastAsia="zh-CN"/>
        </w:rPr>
        <w:t>伺服器以提供额外保障；</w:t>
      </w:r>
    </w:p>
    <w:p w:rsidR="00D97FFC" w:rsidRDefault="007C57C4">
      <w:pPr>
        <w:pStyle w:val="Compact"/>
        <w:numPr>
          <w:ilvl w:val="0"/>
          <w:numId w:val="2"/>
        </w:numPr>
        <w:rPr>
          <w:lang w:eastAsia="zh-CN"/>
        </w:rPr>
      </w:pPr>
      <w:r>
        <w:rPr>
          <w:lang w:eastAsia="zh-CN"/>
        </w:rPr>
        <w:t>及时监察、评估及执行</w:t>
      </w:r>
      <w:r>
        <w:rPr>
          <w:lang w:eastAsia="zh-CN"/>
        </w:rPr>
        <w:t>VPN</w:t>
      </w:r>
      <w:r>
        <w:rPr>
          <w:lang w:eastAsia="zh-CN"/>
        </w:rPr>
        <w:t>软件提供者发布的保安修补程式或修正程式。多个资讯科技保安专业人士已对以下事项表示关注：使用存在未修补漏洞</w:t>
      </w:r>
      <w:r>
        <w:rPr>
          <w:lang w:eastAsia="zh-CN"/>
        </w:rPr>
        <w:t>VPN</w:t>
      </w:r>
      <w:r>
        <w:rPr>
          <w:lang w:eastAsia="zh-CN"/>
        </w:rPr>
        <w:t>软件的组织可能容易被黑客入侵，危害组织内部网络；</w:t>
      </w:r>
    </w:p>
    <w:p w:rsidR="00D97FFC" w:rsidRDefault="007C57C4">
      <w:pPr>
        <w:pStyle w:val="Compact"/>
        <w:numPr>
          <w:ilvl w:val="0"/>
          <w:numId w:val="2"/>
        </w:numPr>
        <w:rPr>
          <w:lang w:eastAsia="zh-CN"/>
        </w:rPr>
      </w:pPr>
      <w:r>
        <w:rPr>
          <w:lang w:eastAsia="zh-CN"/>
        </w:rPr>
        <w:t>规定雇员、代理及服务提供者须使用难以破解的登入密码来进行遥距接达，及实施双重认证，尤其是在接达特权账户及敏感数据时；</w:t>
      </w:r>
    </w:p>
    <w:p w:rsidR="00D97FFC" w:rsidRDefault="007C57C4">
      <w:pPr>
        <w:pStyle w:val="Compact"/>
        <w:numPr>
          <w:ilvl w:val="0"/>
          <w:numId w:val="2"/>
        </w:numPr>
        <w:rPr>
          <w:lang w:eastAsia="zh-CN"/>
        </w:rPr>
      </w:pPr>
      <w:r>
        <w:rPr>
          <w:lang w:eastAsia="zh-CN"/>
        </w:rPr>
        <w:t>避免向第三方人士</w:t>
      </w:r>
      <w:r>
        <w:rPr>
          <w:lang w:eastAsia="zh-CN"/>
        </w:rPr>
        <w:t>授出常设或永久接达权，及只容许系统供应商在预设的时段内接达特定的系统；</w:t>
      </w:r>
    </w:p>
    <w:p w:rsidR="00D97FFC" w:rsidRDefault="007C57C4">
      <w:pPr>
        <w:pStyle w:val="Compact"/>
        <w:numPr>
          <w:ilvl w:val="0"/>
          <w:numId w:val="2"/>
        </w:numPr>
        <w:rPr>
          <w:lang w:eastAsia="zh-CN"/>
        </w:rPr>
      </w:pPr>
      <w:r>
        <w:rPr>
          <w:lang w:eastAsia="zh-CN"/>
        </w:rPr>
        <w:t>实施不同级别的遥距接达，例如确保持牌法团所提供的电脑和流动装置具有比雇员私人拥有的装置更佳的操作能力；</w:t>
      </w:r>
    </w:p>
    <w:p w:rsidR="00D97FFC" w:rsidRDefault="007C57C4">
      <w:pPr>
        <w:pStyle w:val="Compact"/>
        <w:numPr>
          <w:ilvl w:val="0"/>
          <w:numId w:val="2"/>
        </w:numPr>
        <w:rPr>
          <w:lang w:eastAsia="zh-CN"/>
        </w:rPr>
      </w:pPr>
      <w:r>
        <w:rPr>
          <w:lang w:eastAsia="zh-CN"/>
        </w:rPr>
        <w:t>实施保安监控措施，以防止有人在未经授权的情况下为证监会持牌法团供应的电脑和装置安装硬件和软件；及</w:t>
      </w:r>
    </w:p>
    <w:p w:rsidR="00D97FFC" w:rsidRDefault="007C57C4">
      <w:pPr>
        <w:pStyle w:val="Compact"/>
        <w:numPr>
          <w:ilvl w:val="0"/>
          <w:numId w:val="2"/>
        </w:numPr>
        <w:rPr>
          <w:lang w:eastAsia="zh-CN"/>
        </w:rPr>
      </w:pPr>
      <w:r>
        <w:rPr>
          <w:lang w:eastAsia="zh-CN"/>
        </w:rPr>
        <w:lastRenderedPageBreak/>
        <w:t>实施稳健的网络隔离措施，以根据关键程度来分隔系统伺服器及数据库，从而加强保护关键和敏感数据，例如客户个人资料。</w:t>
      </w:r>
    </w:p>
    <w:p w:rsidR="00D97FFC" w:rsidRDefault="007C57C4">
      <w:pPr>
        <w:pStyle w:val="FirstParagraph"/>
        <w:rPr>
          <w:lang w:eastAsia="zh-CN"/>
        </w:rPr>
      </w:pPr>
      <w:r>
        <w:rPr>
          <w:lang w:eastAsia="zh-CN"/>
        </w:rPr>
        <w:t>证监会持牌法团使用视像会议</w:t>
      </w:r>
    </w:p>
    <w:p w:rsidR="00D97FFC" w:rsidRDefault="007C57C4">
      <w:pPr>
        <w:pStyle w:val="BodyText"/>
        <w:rPr>
          <w:lang w:eastAsia="zh-CN"/>
        </w:rPr>
      </w:pPr>
      <w:r>
        <w:rPr>
          <w:lang w:eastAsia="zh-CN"/>
        </w:rPr>
        <w:t>与视像会议相关的保安问题时有报道。证监会建议持牌法团采用以下监控措施及程序以降低出现安全漏洞及泄露</w:t>
      </w:r>
      <w:r>
        <w:rPr>
          <w:lang w:eastAsia="zh-CN"/>
        </w:rPr>
        <w:t>关键或敏感数据的风险：</w:t>
      </w:r>
    </w:p>
    <w:p w:rsidR="00D97FFC" w:rsidRDefault="007C57C4">
      <w:pPr>
        <w:pStyle w:val="Compact"/>
        <w:numPr>
          <w:ilvl w:val="0"/>
          <w:numId w:val="3"/>
        </w:numPr>
        <w:rPr>
          <w:lang w:eastAsia="zh-CN"/>
        </w:rPr>
      </w:pPr>
      <w:r>
        <w:rPr>
          <w:lang w:eastAsia="zh-CN"/>
        </w:rPr>
        <w:t>在使用视像会议平台之前，审查其保安特点；</w:t>
      </w:r>
    </w:p>
    <w:p w:rsidR="00D97FFC" w:rsidRDefault="007C57C4">
      <w:pPr>
        <w:pStyle w:val="Compact"/>
        <w:numPr>
          <w:ilvl w:val="0"/>
          <w:numId w:val="3"/>
        </w:numPr>
        <w:rPr>
          <w:lang w:eastAsia="zh-CN"/>
        </w:rPr>
      </w:pPr>
      <w:r>
        <w:rPr>
          <w:lang w:eastAsia="zh-CN"/>
        </w:rPr>
        <w:t>规定参与者须登记方可出席视像会议；</w:t>
      </w:r>
    </w:p>
    <w:p w:rsidR="00D97FFC" w:rsidRDefault="007C57C4">
      <w:pPr>
        <w:pStyle w:val="Compact"/>
        <w:numPr>
          <w:ilvl w:val="0"/>
          <w:numId w:val="3"/>
        </w:numPr>
        <w:rPr>
          <w:lang w:eastAsia="zh-CN"/>
        </w:rPr>
      </w:pPr>
      <w:r>
        <w:rPr>
          <w:lang w:eastAsia="zh-CN"/>
        </w:rPr>
        <w:t>透过确认使用者的电邮地址或利用</w:t>
      </w:r>
      <w:r>
        <w:rPr>
          <w:lang w:eastAsia="zh-CN"/>
        </w:rPr>
        <w:t>“</w:t>
      </w:r>
      <w:r>
        <w:rPr>
          <w:lang w:eastAsia="zh-CN"/>
        </w:rPr>
        <w:t>等候室</w:t>
      </w:r>
      <w:r>
        <w:rPr>
          <w:lang w:eastAsia="zh-CN"/>
        </w:rPr>
        <w:t>”</w:t>
      </w:r>
      <w:r>
        <w:rPr>
          <w:lang w:eastAsia="zh-CN"/>
        </w:rPr>
        <w:t>功能（让视像会议主持人可只准许获授权的参与者加入会议）等方式，只准许经认证及获授权的使用者加入视像会议；</w:t>
      </w:r>
    </w:p>
    <w:p w:rsidR="00D97FFC" w:rsidRDefault="007C57C4">
      <w:pPr>
        <w:pStyle w:val="Compact"/>
        <w:numPr>
          <w:ilvl w:val="0"/>
          <w:numId w:val="3"/>
        </w:numPr>
        <w:rPr>
          <w:lang w:eastAsia="zh-CN"/>
        </w:rPr>
      </w:pPr>
      <w:r>
        <w:rPr>
          <w:lang w:eastAsia="zh-CN"/>
        </w:rPr>
        <w:t>使用随机的会议编码而非个人会议编码举行视像会议；</w:t>
      </w:r>
    </w:p>
    <w:p w:rsidR="00D97FFC" w:rsidRDefault="007C57C4">
      <w:pPr>
        <w:pStyle w:val="Compact"/>
        <w:numPr>
          <w:ilvl w:val="0"/>
          <w:numId w:val="3"/>
        </w:numPr>
        <w:rPr>
          <w:lang w:eastAsia="zh-CN"/>
        </w:rPr>
      </w:pPr>
      <w:r>
        <w:rPr>
          <w:lang w:eastAsia="zh-CN"/>
        </w:rPr>
        <w:t>透过视像会议软件或其他适当途径（例如工作电邮）向参与者发送邀请，同时不在社交媒体平台分享邀请；</w:t>
      </w:r>
    </w:p>
    <w:p w:rsidR="00D97FFC" w:rsidRDefault="007C57C4">
      <w:pPr>
        <w:pStyle w:val="Compact"/>
        <w:numPr>
          <w:ilvl w:val="0"/>
          <w:numId w:val="3"/>
        </w:numPr>
        <w:rPr>
          <w:lang w:eastAsia="zh-CN"/>
        </w:rPr>
      </w:pPr>
      <w:r>
        <w:rPr>
          <w:lang w:eastAsia="zh-CN"/>
        </w:rPr>
        <w:t>在视像会议平台上启用密码保护功能；</w:t>
      </w:r>
    </w:p>
    <w:p w:rsidR="00D97FFC" w:rsidRDefault="007C57C4">
      <w:pPr>
        <w:pStyle w:val="Compact"/>
        <w:numPr>
          <w:ilvl w:val="0"/>
          <w:numId w:val="3"/>
        </w:numPr>
        <w:rPr>
          <w:lang w:eastAsia="zh-CN"/>
        </w:rPr>
      </w:pPr>
      <w:r>
        <w:rPr>
          <w:lang w:eastAsia="zh-CN"/>
        </w:rPr>
        <w:t>于所有参与者加入后闭锁会议；及</w:t>
      </w:r>
    </w:p>
    <w:p w:rsidR="00D97FFC" w:rsidRDefault="007C57C4">
      <w:pPr>
        <w:pStyle w:val="Compact"/>
        <w:numPr>
          <w:ilvl w:val="0"/>
          <w:numId w:val="3"/>
        </w:numPr>
        <w:rPr>
          <w:lang w:eastAsia="zh-CN"/>
        </w:rPr>
      </w:pPr>
      <w:r>
        <w:rPr>
          <w:lang w:eastAsia="zh-CN"/>
        </w:rPr>
        <w:t>确保使用最近期版本的视像会议软件，并安装最新的保安修补程式。</w:t>
      </w:r>
    </w:p>
    <w:p w:rsidR="00D97FFC" w:rsidRDefault="007C57C4">
      <w:pPr>
        <w:pStyle w:val="FirstParagraph"/>
        <w:rPr>
          <w:lang w:eastAsia="zh-CN"/>
        </w:rPr>
      </w:pPr>
      <w:r>
        <w:rPr>
          <w:lang w:eastAsia="zh-CN"/>
        </w:rPr>
        <w:t>其他遥距工作安排网络保安风险措施</w:t>
      </w:r>
    </w:p>
    <w:p w:rsidR="00D97FFC" w:rsidRDefault="007C57C4">
      <w:pPr>
        <w:pStyle w:val="BodyText"/>
        <w:rPr>
          <w:lang w:eastAsia="zh-CN"/>
        </w:rPr>
      </w:pPr>
      <w:r>
        <w:rPr>
          <w:lang w:eastAsia="zh-CN"/>
        </w:rPr>
        <w:t>证监会还推荐证监会持牌法团采用以下措施，藉以提升操作能力，及监察各项遥距工作安排机制：</w:t>
      </w:r>
    </w:p>
    <w:p w:rsidR="00D97FFC" w:rsidRDefault="007C57C4">
      <w:pPr>
        <w:pStyle w:val="BodyText"/>
        <w:rPr>
          <w:lang w:eastAsia="zh-CN"/>
        </w:rPr>
      </w:pPr>
      <w:r>
        <w:rPr>
          <w:lang w:eastAsia="zh-CN"/>
        </w:rPr>
        <w:t>系统能力：评估现有的资讯科技系统，软件（例如遥距电脑装置，网络频宽及软件许可证）及硬件（例如手提电脑及流动装置）就支援遥距工作安排是否足够，并对其加以改进；</w:t>
      </w:r>
    </w:p>
    <w:p w:rsidR="00D97FFC" w:rsidRDefault="007C57C4">
      <w:pPr>
        <w:pStyle w:val="BodyText"/>
        <w:rPr>
          <w:lang w:eastAsia="zh-CN"/>
        </w:rPr>
      </w:pPr>
      <w:r>
        <w:rPr>
          <w:lang w:eastAsia="zh-CN"/>
        </w:rPr>
        <w:t>监察及事故处理：制定监察机制，以侦测未经授权而接达内部网络及系统的情况，例如检视未经授权的接达尝试，及侦测使用未经批准的应用程式的情况。设立并维持有效的事故管理与汇报机制</w:t>
      </w:r>
      <w:r>
        <w:rPr>
          <w:lang w:eastAsia="zh-CN"/>
        </w:rPr>
        <w:t>；及</w:t>
      </w:r>
    </w:p>
    <w:p w:rsidR="00D97FFC" w:rsidRDefault="007C57C4">
      <w:pPr>
        <w:pStyle w:val="BodyText"/>
        <w:rPr>
          <w:lang w:eastAsia="zh-CN"/>
        </w:rPr>
      </w:pPr>
      <w:r>
        <w:rPr>
          <w:lang w:eastAsia="zh-CN"/>
        </w:rPr>
        <w:t>网络保安培训及警示：向所有内部系统使用者提供适当的网络保安培训，及定期向客户发出提示和警示，例如仿冒诈骗</w:t>
      </w:r>
      <w:hyperlink w:anchor="_ftn2">
        <w:r>
          <w:rPr>
            <w:vertAlign w:val="superscript"/>
            <w:lang w:eastAsia="zh-CN"/>
          </w:rPr>
          <w:t>[2]</w:t>
        </w:r>
      </w:hyperlink>
      <w:r>
        <w:rPr>
          <w:lang w:eastAsia="zh-CN"/>
        </w:rPr>
        <w:t>及勒索软件</w:t>
      </w:r>
      <w:hyperlink w:anchor="_ftn3">
        <w:r>
          <w:rPr>
            <w:vertAlign w:val="superscript"/>
            <w:lang w:eastAsia="zh-CN"/>
          </w:rPr>
          <w:t>[3]</w:t>
        </w:r>
      </w:hyperlink>
      <w:r>
        <w:rPr>
          <w:lang w:eastAsia="zh-CN"/>
        </w:rPr>
        <w:t>方面的网络保安威胁及趋势事宜，以及使用安全的无线网络来接达内部网络和视像会议平台。</w:t>
      </w:r>
    </w:p>
    <w:p w:rsidR="00D97FFC" w:rsidRDefault="007C57C4">
      <w:pPr>
        <w:pStyle w:val="BodyText"/>
        <w:rPr>
          <w:lang w:eastAsia="zh-CN"/>
        </w:rPr>
      </w:pPr>
      <w:r>
        <w:rPr>
          <w:lang w:eastAsia="zh-CN"/>
        </w:rPr>
        <w:t>鉴于新冠病毒大流行期间居家办公安排的兴起，遥距工作安排可能会越来越普遍，证监会持牌法团应评估及检视其网络保安监控措施以确保其符合适用法律法规的要求。</w:t>
      </w:r>
    </w:p>
    <w:p w:rsidR="00D97FFC" w:rsidRDefault="007C57C4">
      <w:pPr>
        <w:pStyle w:val="BodyText"/>
        <w:rPr>
          <w:lang w:eastAsia="zh-CN"/>
        </w:rPr>
      </w:pPr>
      <w:r>
        <w:rPr>
          <w:lang w:eastAsia="zh-CN"/>
        </w:rPr>
        <w:t>证监会邀请持牌法团就本通函中提及事</w:t>
      </w:r>
      <w:r>
        <w:rPr>
          <w:lang w:eastAsia="zh-CN"/>
        </w:rPr>
        <w:t>项的任何疑问联络个案主任。</w:t>
      </w:r>
    </w:p>
    <w:p w:rsidR="00D97FFC" w:rsidRDefault="007C57C4">
      <w:r>
        <w:pict>
          <v:rect id="_x0000_i1025" style="width:0;height:1.5pt" o:hralign="center" o:hrstd="t" o:hr="t"/>
        </w:pict>
      </w:r>
    </w:p>
    <w:p w:rsidR="00D97FFC" w:rsidRDefault="007C57C4" w:rsidP="007C57C4">
      <w:pPr>
        <w:pStyle w:val="FirstParagraph"/>
        <w:jc w:val="left"/>
        <w:rPr>
          <w:lang w:eastAsia="zh-CN"/>
        </w:rPr>
      </w:pPr>
      <w:hyperlink w:anchor="_ftnref1">
        <w:r>
          <w:rPr>
            <w:vertAlign w:val="superscript"/>
            <w:lang w:eastAsia="zh-CN"/>
          </w:rPr>
          <w:t>[1]</w:t>
        </w:r>
      </w:hyperlink>
      <w:r>
        <w:rPr>
          <w:lang w:eastAsia="zh-CN"/>
        </w:rPr>
        <w:t>证监会。</w:t>
      </w:r>
      <w:r>
        <w:rPr>
          <w:lang w:eastAsia="zh-CN"/>
        </w:rPr>
        <w:t>2020</w:t>
      </w:r>
      <w:r>
        <w:rPr>
          <w:lang w:eastAsia="zh-CN"/>
        </w:rPr>
        <w:t>年</w:t>
      </w:r>
      <w:r>
        <w:rPr>
          <w:lang w:eastAsia="zh-CN"/>
        </w:rPr>
        <w:t>4</w:t>
      </w:r>
      <w:r>
        <w:rPr>
          <w:lang w:eastAsia="zh-CN"/>
        </w:rPr>
        <w:t>月</w:t>
      </w:r>
      <w:r>
        <w:rPr>
          <w:lang w:eastAsia="zh-CN"/>
        </w:rPr>
        <w:t>29</w:t>
      </w:r>
      <w:r>
        <w:rPr>
          <w:lang w:eastAsia="zh-CN"/>
        </w:rPr>
        <w:t>日。《致持牌法团的通函</w:t>
      </w:r>
      <w:r>
        <w:rPr>
          <w:lang w:eastAsia="zh-CN"/>
        </w:rPr>
        <w:t>-</w:t>
      </w:r>
      <w:r>
        <w:rPr>
          <w:lang w:eastAsia="zh-CN"/>
        </w:rPr>
        <w:t>与遥距工作安排相关的网络保安风险管理》。载列网页：</w:t>
      </w:r>
      <w:hyperlink r:id="rId9">
        <w:r>
          <w:rPr>
            <w:lang w:eastAsia="zh-CN"/>
          </w:rPr>
          <w:t>https://sc.sfc.hk/gb/www.sfc.hk/edistributionWeb/gateway/TC/circular/intermediaries/supervision/doc?refNo=20EC37</w:t>
        </w:r>
      </w:hyperlink>
    </w:p>
    <w:p w:rsidR="00D97FFC" w:rsidRDefault="007C57C4">
      <w:pPr>
        <w:pStyle w:val="BodyText"/>
        <w:rPr>
          <w:lang w:eastAsia="zh-CN"/>
        </w:rPr>
      </w:pPr>
      <w:hyperlink w:anchor="_ftnref2">
        <w:r>
          <w:rPr>
            <w:vertAlign w:val="superscript"/>
            <w:lang w:eastAsia="zh-CN"/>
          </w:rPr>
          <w:t>[2]</w:t>
        </w:r>
      </w:hyperlink>
      <w:r>
        <w:rPr>
          <w:lang w:eastAsia="zh-CN"/>
        </w:rPr>
        <w:t>仿冒诈骗是指黑客试图诱骗使用者犯错，例如点击会下载恶意程式的连接，或将他们导引至欺诈网站。</w:t>
      </w:r>
    </w:p>
    <w:p w:rsidR="00D97FFC" w:rsidRDefault="007C57C4">
      <w:pPr>
        <w:pStyle w:val="BodyText"/>
        <w:rPr>
          <w:lang w:eastAsia="zh-CN"/>
        </w:rPr>
      </w:pPr>
      <w:hyperlink w:anchor="_ftnref3">
        <w:r>
          <w:rPr>
            <w:vertAlign w:val="superscript"/>
            <w:lang w:eastAsia="zh-CN"/>
          </w:rPr>
          <w:t>[3]</w:t>
        </w:r>
      </w:hyperlink>
      <w:r>
        <w:rPr>
          <w:lang w:eastAsia="zh-CN"/>
        </w:rPr>
        <w:t>勒索软件是对文件进行加密使得文件无法打开并要求支付费用才给</w:t>
      </w:r>
      <w:r>
        <w:rPr>
          <w:lang w:eastAsia="zh-CN"/>
        </w:rPr>
        <w:t>予解密的一种恶意程式。</w:t>
      </w:r>
    </w:p>
    <w:p w:rsidR="00D97FFC" w:rsidRDefault="007C57C4">
      <w:pPr>
        <w:pStyle w:val="DisclaimerBold"/>
        <w:rPr>
          <w:lang w:eastAsia="zh-CN"/>
        </w:rPr>
      </w:pPr>
      <w:r>
        <w:rPr>
          <w:lang w:eastAsia="zh-CN"/>
        </w:rPr>
        <w:t>此法讯仅为提供相关资料信息之用，其内容并</w:t>
      </w:r>
    </w:p>
    <w:p w:rsidR="00D97FFC" w:rsidRDefault="007C57C4">
      <w:pPr>
        <w:pStyle w:val="Disclaimer"/>
        <w:rPr>
          <w:lang w:eastAsia="zh-CN"/>
        </w:rPr>
      </w:pPr>
      <w:r>
        <w:rPr>
          <w:lang w:eastAsia="zh-CN"/>
        </w:rPr>
        <w:t>不构成法律建议及个案的法律分析。</w:t>
      </w:r>
    </w:p>
    <w:p w:rsidR="00D97FFC" w:rsidRDefault="007C57C4">
      <w:pPr>
        <w:pStyle w:val="Disclaimer"/>
        <w:rPr>
          <w:lang w:eastAsia="zh-CN"/>
        </w:rPr>
      </w:pPr>
      <w:r>
        <w:rPr>
          <w:lang w:eastAsia="zh-CN"/>
        </w:rPr>
        <w:lastRenderedPageBreak/>
        <w:t>此法讯的发送并不是为了在易周律师行与用户或浏览者之间建立一种律师与客户之关系。</w:t>
      </w:r>
    </w:p>
    <w:p w:rsidR="00D97FFC" w:rsidRDefault="007C57C4">
      <w:pPr>
        <w:pStyle w:val="Disclaimer"/>
        <w:rPr>
          <w:lang w:eastAsia="zh-CN"/>
        </w:rPr>
      </w:pPr>
      <w:r>
        <w:rPr>
          <w:lang w:eastAsia="zh-CN"/>
        </w:rPr>
        <w:t>易周律师行并不对可从互联网获得的任何第三方内容负责。</w:t>
      </w:r>
    </w:p>
    <w:p w:rsidR="00D97FFC" w:rsidRDefault="007C57C4">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unsubscribe@charltonslaw.co</w:t>
        </w:r>
        <w:r>
          <w:rPr>
            <w:lang w:eastAsia="zh-CN"/>
          </w:rPr>
          <w:t>m</w:t>
        </w:r>
      </w:hyperlink>
    </w:p>
    <w:p w:rsidR="00D97FFC" w:rsidRDefault="007C57C4">
      <w:pPr>
        <w:pStyle w:val="BlackStrips"/>
      </w:pPr>
      <w:r>
        <w:t xml:space="preserve">Charltons - </w:t>
      </w:r>
      <w:r>
        <w:t>香港法律</w:t>
      </w:r>
      <w:r>
        <w:t xml:space="preserve"> - 2020</w:t>
      </w:r>
      <w:r>
        <w:t>年</w:t>
      </w:r>
      <w:r>
        <w:t>5</w:t>
      </w:r>
      <w:r>
        <w:t>月</w:t>
      </w:r>
      <w:r>
        <w:t>22</w:t>
      </w:r>
      <w:r>
        <w:t>日</w:t>
      </w:r>
    </w:p>
    <w:sectPr w:rsidR="00D97FF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57C4">
      <w:pPr>
        <w:spacing w:after="0"/>
      </w:pPr>
      <w:r>
        <w:separator/>
      </w:r>
    </w:p>
  </w:endnote>
  <w:endnote w:type="continuationSeparator" w:id="0">
    <w:p w:rsidR="00000000" w:rsidRDefault="007C5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FC" w:rsidRDefault="007C57C4">
      <w:r>
        <w:separator/>
      </w:r>
    </w:p>
  </w:footnote>
  <w:footnote w:type="continuationSeparator" w:id="0">
    <w:p w:rsidR="00D97FFC" w:rsidRDefault="007C5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A1D67"/>
    <w:multiLevelType w:val="multilevel"/>
    <w:tmpl w:val="33CC812E"/>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595C4238"/>
    <w:multiLevelType w:val="multilevel"/>
    <w:tmpl w:val="346688E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7C57C4"/>
    <w:rsid w:val="008D6863"/>
    <w:rsid w:val="00B86B75"/>
    <w:rsid w:val="00BC48D5"/>
    <w:rsid w:val="00C36279"/>
    <w:rsid w:val="00D97FFC"/>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8F61A0"/>
  <w15:docId w15:val="{52B8C3AA-89B4-4649-AA79-1C560234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sfc.hk/gb/www.sfc.hk/edistributionWeb/gateway/TC/circular/intermediaries/supervision/doc?refNo=20EC37" TargetMode="External"/><Relationship Id="rId3" Type="http://schemas.openxmlformats.org/officeDocument/2006/relationships/settings" Target="settings.xml"/><Relationship Id="rId7" Type="http://schemas.openxmlformats.org/officeDocument/2006/relationships/hyperlink" Target="http://www.charltonslaw.com.cn/zheng-jian-hui-jiu-2019-guan-zhuang-bing-du-da-liu-xing-qi-jian-yao-ju-gong-zuo-an-pai-de-wang-luo-bao-an-feng-xian-guan-li-xiang-chi-pai-fa-tuan-fa-chu-zhi-y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sc.sfc.hk/gb/www.sfc.hk/edistributionWeb/gateway/TC/circular/intermediaries/supervision/doc?refNo=20EC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479</Words>
  <Characters>2735</Characters>
  <Application>Microsoft Office Word</Application>
  <DocSecurity>0</DocSecurity>
  <Lines>22</Lines>
  <Paragraphs>6</Paragraphs>
  <ScaleCrop>false</ScaleCrop>
  <Company>Charltons</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2020-05-22T06:42:00Z</dcterms:created>
  <dcterms:modified xsi:type="dcterms:W3CDTF">2020-05-22T10:13:00Z</dcterms:modified>
</cp:coreProperties>
</file>