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8B9" w:rsidRDefault="00FE1B93">
      <w:pPr>
        <w:pStyle w:val="BlackStrips"/>
      </w:pPr>
      <w:r>
        <w:t xml:space="preserve">Charltons - </w:t>
      </w:r>
      <w:r>
        <w:t>香港法律</w:t>
      </w:r>
      <w:r>
        <w:t xml:space="preserve"> - 2020</w:t>
      </w:r>
      <w:r>
        <w:t>年</w:t>
      </w:r>
      <w:r>
        <w:t>5</w:t>
      </w:r>
      <w:r>
        <w:t>月</w:t>
      </w:r>
      <w:r>
        <w:t>27</w:t>
      </w:r>
      <w:r>
        <w:t>日</w:t>
      </w:r>
    </w:p>
    <w:p w:rsidR="003B08B9" w:rsidRDefault="00FE1B93">
      <w:pPr>
        <w:pStyle w:val="ReadOnline"/>
        <w:rPr>
          <w:lang w:eastAsia="zh-CN"/>
        </w:rPr>
      </w:pPr>
      <w:hyperlink r:id="rId7">
        <w:r>
          <w:rPr>
            <w:lang w:eastAsia="zh-CN"/>
          </w:rPr>
          <w:t>online version</w:t>
        </w:r>
      </w:hyperlink>
    </w:p>
    <w:p w:rsidR="003B08B9" w:rsidRDefault="00FE1B93">
      <w:pPr>
        <w:pStyle w:val="Title"/>
        <w:rPr>
          <w:lang w:eastAsia="zh-CN"/>
        </w:rPr>
      </w:pPr>
      <w:r>
        <w:rPr>
          <w:lang w:eastAsia="zh-CN"/>
        </w:rPr>
        <w:t>香港特别行政区政府延续社交距离措施实施期间</w:t>
      </w:r>
    </w:p>
    <w:p w:rsidR="003B08B9" w:rsidRDefault="00FE1B93">
      <w:pPr>
        <w:pStyle w:val="FirstParagraph"/>
        <w:rPr>
          <w:lang w:eastAsia="zh-CN"/>
        </w:rPr>
      </w:pPr>
      <w:r>
        <w:rPr>
          <w:lang w:eastAsia="zh-CN"/>
        </w:rPr>
        <w:t>2020</w:t>
      </w:r>
      <w:r>
        <w:rPr>
          <w:lang w:eastAsia="zh-CN"/>
        </w:rPr>
        <w:t>年</w:t>
      </w:r>
      <w:r>
        <w:rPr>
          <w:lang w:eastAsia="zh-CN"/>
        </w:rPr>
        <w:t>5</w:t>
      </w:r>
      <w:r>
        <w:rPr>
          <w:lang w:eastAsia="zh-CN"/>
        </w:rPr>
        <w:t>月</w:t>
      </w:r>
      <w:r>
        <w:rPr>
          <w:lang w:eastAsia="zh-CN"/>
        </w:rPr>
        <w:t>19</w:t>
      </w:r>
      <w:r>
        <w:rPr>
          <w:lang w:eastAsia="zh-CN"/>
        </w:rPr>
        <w:t>日，香港特别行政区政府宣布延续《预防及控制疾病（禁止群组聚集）规例》（第</w:t>
      </w:r>
      <w:r>
        <w:rPr>
          <w:lang w:eastAsia="zh-CN"/>
        </w:rPr>
        <w:t>599G</w:t>
      </w:r>
      <w:r>
        <w:rPr>
          <w:lang w:eastAsia="zh-CN"/>
        </w:rPr>
        <w:t>章）中禁止在公众地方进行群组聚集的期间（</w:t>
      </w:r>
      <w:r>
        <w:rPr>
          <w:b/>
          <w:lang w:eastAsia="zh-CN"/>
        </w:rPr>
        <w:t>经延续的禁止群组聚集</w:t>
      </w:r>
      <w:r>
        <w:rPr>
          <w:lang w:eastAsia="zh-CN"/>
        </w:rPr>
        <w:t>）。经延续后禁止群组聚集的规定现在生效至</w:t>
      </w:r>
      <w:r>
        <w:rPr>
          <w:lang w:eastAsia="zh-CN"/>
        </w:rPr>
        <w:t>2020</w:t>
      </w:r>
      <w:r>
        <w:rPr>
          <w:lang w:eastAsia="zh-CN"/>
        </w:rPr>
        <w:t>年</w:t>
      </w:r>
      <w:r>
        <w:rPr>
          <w:lang w:eastAsia="zh-CN"/>
        </w:rPr>
        <w:t>6</w:t>
      </w:r>
      <w:r>
        <w:rPr>
          <w:lang w:eastAsia="zh-CN"/>
        </w:rPr>
        <w:t>月</w:t>
      </w:r>
      <w:r>
        <w:rPr>
          <w:lang w:eastAsia="zh-CN"/>
        </w:rPr>
        <w:t>4</w:t>
      </w:r>
      <w:r>
        <w:rPr>
          <w:lang w:eastAsia="zh-CN"/>
        </w:rPr>
        <w:t>日（</w:t>
      </w:r>
      <w:r>
        <w:rPr>
          <w:b/>
          <w:lang w:eastAsia="zh-CN"/>
        </w:rPr>
        <w:t>指明期间</w:t>
      </w:r>
      <w:r>
        <w:rPr>
          <w:lang w:eastAsia="zh-CN"/>
        </w:rPr>
        <w:t>）。经延续的禁止群租聚集规定附录</w:t>
      </w:r>
      <w:r>
        <w:rPr>
          <w:lang w:eastAsia="zh-CN"/>
        </w:rPr>
        <w:t>1</w:t>
      </w:r>
      <w:r>
        <w:rPr>
          <w:lang w:eastAsia="zh-CN"/>
        </w:rPr>
        <w:t>第</w:t>
      </w:r>
      <w:r>
        <w:rPr>
          <w:lang w:eastAsia="zh-CN"/>
        </w:rPr>
        <w:t>11</w:t>
      </w:r>
      <w:r>
        <w:rPr>
          <w:lang w:eastAsia="zh-CN"/>
        </w:rPr>
        <w:t>段中有关对股东周年大会及股东大会的豁免规定（</w:t>
      </w:r>
      <w:r>
        <w:rPr>
          <w:b/>
          <w:lang w:eastAsia="zh-CN"/>
        </w:rPr>
        <w:t>有关豁免</w:t>
      </w:r>
      <w:r>
        <w:rPr>
          <w:lang w:eastAsia="zh-CN"/>
        </w:rPr>
        <w:t>）继续有效不变。本行通讯</w:t>
      </w:r>
      <w:hyperlink r:id="rId8">
        <w:r>
          <w:rPr>
            <w:lang w:eastAsia="zh-CN"/>
          </w:rPr>
          <w:t>《放宽部分</w:t>
        </w:r>
        <w:bookmarkStart w:id="0" w:name="_GoBack"/>
        <w:bookmarkEnd w:id="0"/>
        <w:r>
          <w:rPr>
            <w:lang w:eastAsia="zh-CN"/>
          </w:rPr>
          <w:t>减</w:t>
        </w:r>
        <w:r>
          <w:rPr>
            <w:lang w:eastAsia="zh-CN"/>
          </w:rPr>
          <w:t>少社交接触措施及其如何应用于股东大会》</w:t>
        </w:r>
      </w:hyperlink>
      <w:r>
        <w:rPr>
          <w:lang w:eastAsia="zh-CN"/>
        </w:rPr>
        <w:t>已就有关豁免对周年股东大会和一般股东大会的影响进行了探讨。公司如在指明期间内召开股东周年大会及</w:t>
      </w:r>
      <w:r>
        <w:rPr>
          <w:lang w:eastAsia="zh-CN"/>
        </w:rPr>
        <w:t>/</w:t>
      </w:r>
      <w:r>
        <w:rPr>
          <w:lang w:eastAsia="zh-CN"/>
        </w:rPr>
        <w:t>或股东大会，须遵从经延续的禁止群租聚集规定附录</w:t>
      </w:r>
      <w:r>
        <w:rPr>
          <w:lang w:eastAsia="zh-CN"/>
        </w:rPr>
        <w:t>1</w:t>
      </w:r>
      <w:r>
        <w:rPr>
          <w:lang w:eastAsia="zh-CN"/>
        </w:rPr>
        <w:t>第</w:t>
      </w:r>
      <w:r>
        <w:rPr>
          <w:lang w:eastAsia="zh-CN"/>
        </w:rPr>
        <w:t>11</w:t>
      </w:r>
      <w:r>
        <w:rPr>
          <w:lang w:eastAsia="zh-CN"/>
        </w:rPr>
        <w:t>段中载列条件。</w:t>
      </w:r>
    </w:p>
    <w:p w:rsidR="003B08B9" w:rsidRDefault="00FE1B93">
      <w:pPr>
        <w:pStyle w:val="BodyText"/>
        <w:rPr>
          <w:lang w:eastAsia="zh-CN"/>
        </w:rPr>
      </w:pPr>
      <w:r>
        <w:rPr>
          <w:lang w:eastAsia="zh-CN"/>
        </w:rPr>
        <w:t xml:space="preserve">1. </w:t>
      </w:r>
      <w:r>
        <w:rPr>
          <w:lang w:eastAsia="zh-CN"/>
        </w:rPr>
        <w:t>宗教聚集豁免</w:t>
      </w:r>
    </w:p>
    <w:p w:rsidR="003B08B9" w:rsidRDefault="00FE1B93">
      <w:pPr>
        <w:pStyle w:val="BodyText"/>
        <w:rPr>
          <w:lang w:eastAsia="zh-CN"/>
        </w:rPr>
      </w:pPr>
      <w:r>
        <w:rPr>
          <w:lang w:eastAsia="zh-CN"/>
        </w:rPr>
        <w:t>此外，香港特别行政区政府还扩展现有获豁免群组聚集范围，以包含宗教聚集（</w:t>
      </w:r>
      <w:r>
        <w:rPr>
          <w:b/>
          <w:lang w:eastAsia="zh-CN"/>
        </w:rPr>
        <w:t>宗教聚集豁免</w:t>
      </w:r>
      <w:r>
        <w:rPr>
          <w:lang w:eastAsia="zh-CN"/>
        </w:rPr>
        <w:t>）。宗教聚集豁免规定宗教活动中如遵从以下条件（</w:t>
      </w:r>
      <w:r>
        <w:rPr>
          <w:b/>
          <w:lang w:eastAsia="zh-CN"/>
        </w:rPr>
        <w:t>有关条件</w:t>
      </w:r>
      <w:r>
        <w:rPr>
          <w:lang w:eastAsia="zh-CN"/>
        </w:rPr>
        <w:t>）可进行群组聚集：</w:t>
      </w:r>
    </w:p>
    <w:p w:rsidR="003B08B9" w:rsidRDefault="00FE1B93">
      <w:pPr>
        <w:pStyle w:val="Compact"/>
        <w:numPr>
          <w:ilvl w:val="0"/>
          <w:numId w:val="2"/>
        </w:numPr>
        <w:rPr>
          <w:lang w:eastAsia="zh-CN"/>
        </w:rPr>
      </w:pPr>
      <w:r>
        <w:rPr>
          <w:lang w:eastAsia="zh-CN"/>
        </w:rPr>
        <w:t>豁</w:t>
      </w:r>
      <w:r>
        <w:rPr>
          <w:lang w:eastAsia="zh-CN"/>
        </w:rPr>
        <w:t>免宗教活动须于兴建作或惯常用作崇拜地点的处所举行（包括教堂、寺庙、庵堂、清真寺、犹太教堂、寺院；</w:t>
      </w:r>
    </w:p>
    <w:p w:rsidR="003B08B9" w:rsidRDefault="00FE1B93">
      <w:pPr>
        <w:pStyle w:val="Compact"/>
        <w:numPr>
          <w:ilvl w:val="0"/>
          <w:numId w:val="2"/>
        </w:numPr>
        <w:rPr>
          <w:lang w:eastAsia="zh-CN"/>
        </w:rPr>
      </w:pPr>
      <w:r>
        <w:rPr>
          <w:lang w:eastAsia="zh-CN"/>
        </w:rPr>
        <w:t>该活动中并无供应食物或饮品（若属宗教礼仪一部分者除外）；及</w:t>
      </w:r>
    </w:p>
    <w:p w:rsidR="003B08B9" w:rsidRDefault="00FE1B93">
      <w:pPr>
        <w:pStyle w:val="Compact"/>
        <w:numPr>
          <w:ilvl w:val="0"/>
          <w:numId w:val="2"/>
        </w:numPr>
        <w:rPr>
          <w:lang w:eastAsia="zh-CN"/>
        </w:rPr>
      </w:pPr>
      <w:r>
        <w:rPr>
          <w:lang w:eastAsia="zh-CN"/>
        </w:rPr>
        <w:t>该活动中设有措施，将该活动的参与者人数限制在不多于该处所作为崇拜地点通常可容纳的人数的</w:t>
      </w:r>
      <w:r>
        <w:rPr>
          <w:lang w:eastAsia="zh-CN"/>
        </w:rPr>
        <w:t>50%</w:t>
      </w:r>
      <w:r>
        <w:rPr>
          <w:lang w:eastAsia="zh-CN"/>
        </w:rPr>
        <w:t>。</w:t>
      </w:r>
    </w:p>
    <w:p w:rsidR="003B08B9" w:rsidRDefault="00FE1B93">
      <w:pPr>
        <w:pStyle w:val="FirstParagraph"/>
        <w:rPr>
          <w:lang w:eastAsia="zh-CN"/>
        </w:rPr>
      </w:pPr>
      <w:r>
        <w:rPr>
          <w:lang w:eastAsia="zh-CN"/>
        </w:rPr>
        <w:t>因此，在遵从上述条件的情况下宗教活动中的人员聚集纳入宗教聚集豁免范围。</w:t>
      </w:r>
    </w:p>
    <w:p w:rsidR="003B08B9" w:rsidRDefault="00FE1B93">
      <w:pPr>
        <w:pStyle w:val="BodyText"/>
        <w:rPr>
          <w:lang w:eastAsia="zh-CN"/>
        </w:rPr>
      </w:pPr>
      <w:r>
        <w:rPr>
          <w:lang w:eastAsia="zh-CN"/>
        </w:rPr>
        <w:t xml:space="preserve">2. </w:t>
      </w:r>
      <w:r>
        <w:rPr>
          <w:lang w:eastAsia="zh-CN"/>
        </w:rPr>
        <w:t>餐饮处所（餐厅，酒馆及酒吧）及健身中心</w:t>
      </w:r>
    </w:p>
    <w:p w:rsidR="003B08B9" w:rsidRDefault="00FE1B93">
      <w:pPr>
        <w:pStyle w:val="BodyText"/>
        <w:rPr>
          <w:lang w:eastAsia="zh-CN"/>
        </w:rPr>
      </w:pPr>
      <w:r>
        <w:rPr>
          <w:lang w:eastAsia="zh-CN"/>
        </w:rPr>
        <w:t>香港特别行政区政府还宣布修订《预防及控制疾病（规定及指示）（业务及处所）规例》（第</w:t>
      </w:r>
      <w:r>
        <w:rPr>
          <w:lang w:eastAsia="zh-CN"/>
        </w:rPr>
        <w:t>599F</w:t>
      </w:r>
      <w:r>
        <w:rPr>
          <w:lang w:eastAsia="zh-CN"/>
        </w:rPr>
        <w:t>章）（</w:t>
      </w:r>
      <w:r>
        <w:rPr>
          <w:b/>
          <w:lang w:eastAsia="zh-CN"/>
        </w:rPr>
        <w:t>业务及处所规例</w:t>
      </w:r>
      <w:r>
        <w:rPr>
          <w:lang w:eastAsia="zh-CN"/>
        </w:rPr>
        <w:t>）。根据业务及处所规例，餐饮处</w:t>
      </w:r>
      <w:r>
        <w:rPr>
          <w:lang w:eastAsia="zh-CN"/>
        </w:rPr>
        <w:t>所（包括餐厅，酒馆及酒吧）及健身中心（以及其他有关场所）可在符合以下特定规定的情况下继续开放：</w:t>
      </w:r>
    </w:p>
    <w:tbl>
      <w:tblPr>
        <w:tblW w:w="10221" w:type="dxa"/>
        <w:shd w:val="clear" w:color="auto" w:fill="FFFFFF"/>
        <w:tblCellMar>
          <w:top w:w="15" w:type="dxa"/>
          <w:left w:w="15" w:type="dxa"/>
          <w:bottom w:w="15" w:type="dxa"/>
          <w:right w:w="15" w:type="dxa"/>
        </w:tblCellMar>
        <w:tblLook w:val="04A0" w:firstRow="1" w:lastRow="0" w:firstColumn="1" w:lastColumn="0" w:noHBand="0" w:noVBand="1"/>
      </w:tblPr>
      <w:tblGrid>
        <w:gridCol w:w="1775"/>
        <w:gridCol w:w="2326"/>
        <w:gridCol w:w="2520"/>
        <w:gridCol w:w="3600"/>
      </w:tblGrid>
      <w:tr w:rsidR="00FE1B93" w:rsidRPr="00ED20E3" w:rsidTr="006663CA">
        <w:trPr>
          <w:tblHeader/>
        </w:trPr>
        <w:tc>
          <w:tcPr>
            <w:tcW w:w="868"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rPr>
                <w:rFonts w:ascii="SimSun-ExtB" w:eastAsia="SimSun-ExtB" w:hAnsi="SimSun-ExtB" w:cs="Times New Roman"/>
                <w:color w:val="auto"/>
                <w:sz w:val="22"/>
                <w:szCs w:val="22"/>
                <w:lang w:eastAsia="zh-CN"/>
              </w:rPr>
            </w:pPr>
          </w:p>
        </w:tc>
        <w:tc>
          <w:tcPr>
            <w:tcW w:w="2371"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jc w:val="center"/>
              <w:rPr>
                <w:rFonts w:ascii="SimSun-ExtB" w:eastAsia="SimSun-ExtB" w:hAnsi="SimSun-ExtB" w:cs="Helvetica"/>
                <w:b/>
                <w:bCs/>
                <w:color w:val="555555"/>
                <w:sz w:val="22"/>
                <w:szCs w:val="22"/>
                <w:lang w:eastAsia="zh-CN"/>
              </w:rPr>
            </w:pPr>
            <w:r w:rsidRPr="00ED20E3">
              <w:rPr>
                <w:rFonts w:ascii="SimSun-ExtB" w:hAnsi="Helvetica" w:cs="Helvetica" w:hint="eastAsia"/>
                <w:b/>
                <w:bCs/>
                <w:color w:val="555555"/>
                <w:sz w:val="22"/>
                <w:szCs w:val="22"/>
                <w:u w:val="single"/>
                <w:bdr w:val="none" w:sz="0" w:space="0" w:color="auto" w:frame="1"/>
                <w:lang w:eastAsia="zh-CN"/>
              </w:rPr>
              <w:t>餐饮处所</w:t>
            </w:r>
          </w:p>
        </w:tc>
        <w:tc>
          <w:tcPr>
            <w:tcW w:w="1761"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jc w:val="center"/>
              <w:rPr>
                <w:rFonts w:ascii="SimSun-ExtB" w:eastAsia="SimSun-ExtB" w:hAnsi="SimSun-ExtB" w:cs="Helvetica"/>
                <w:b/>
                <w:bCs/>
                <w:color w:val="555555"/>
                <w:sz w:val="22"/>
                <w:szCs w:val="22"/>
                <w:lang w:eastAsia="zh-CN"/>
              </w:rPr>
            </w:pPr>
            <w:r w:rsidRPr="00ED20E3">
              <w:rPr>
                <w:rFonts w:ascii="SimSun-ExtB" w:hAnsi="Helvetica" w:cs="Helvetica" w:hint="eastAsia"/>
                <w:b/>
                <w:bCs/>
                <w:color w:val="555555"/>
                <w:sz w:val="22"/>
                <w:szCs w:val="22"/>
                <w:u w:val="single"/>
                <w:bdr w:val="none" w:sz="0" w:space="0" w:color="auto" w:frame="1"/>
                <w:lang w:eastAsia="zh-CN"/>
              </w:rPr>
              <w:t>健身中心</w:t>
            </w:r>
          </w:p>
        </w:tc>
      </w:tr>
      <w:tr w:rsidR="00FE1B93" w:rsidRPr="00ED20E3" w:rsidTr="006663CA">
        <w:trPr>
          <w:tblHeader/>
        </w:trPr>
        <w:tc>
          <w:tcPr>
            <w:tcW w:w="868"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jc w:val="center"/>
              <w:rPr>
                <w:rFonts w:ascii="SimSun-ExtB" w:eastAsia="SimSun-ExtB" w:hAnsi="SimSun-ExtB" w:cs="Helvetica"/>
                <w:b/>
                <w:bCs/>
                <w:color w:val="555555"/>
                <w:sz w:val="22"/>
                <w:szCs w:val="22"/>
              </w:rPr>
            </w:pPr>
          </w:p>
        </w:tc>
        <w:tc>
          <w:tcPr>
            <w:tcW w:w="1138"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b/>
                <w:bCs/>
                <w:color w:val="000000"/>
                <w:sz w:val="22"/>
                <w:szCs w:val="22"/>
                <w:bdr w:val="none" w:sz="0" w:space="0" w:color="auto" w:frame="1"/>
                <w:lang w:eastAsia="zh-CN"/>
              </w:rPr>
              <w:t>餐饮处所</w:t>
            </w:r>
          </w:p>
        </w:tc>
        <w:tc>
          <w:tcPr>
            <w:tcW w:w="123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b/>
                <w:bCs/>
                <w:color w:val="000000"/>
                <w:sz w:val="22"/>
                <w:szCs w:val="22"/>
                <w:bdr w:val="none" w:sz="0" w:space="0" w:color="auto" w:frame="1"/>
                <w:lang w:eastAsia="zh-CN"/>
              </w:rPr>
              <w:t>酒吧及酒馆</w:t>
            </w:r>
          </w:p>
        </w:tc>
        <w:tc>
          <w:tcPr>
            <w:tcW w:w="1761"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rPr>
            </w:pPr>
          </w:p>
        </w:tc>
      </w:tr>
      <w:tr w:rsidR="00FE1B93" w:rsidRPr="00ED20E3" w:rsidTr="006663CA">
        <w:trPr>
          <w:tblHeader/>
        </w:trPr>
        <w:tc>
          <w:tcPr>
            <w:tcW w:w="868"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b/>
                <w:bCs/>
                <w:color w:val="000000"/>
                <w:sz w:val="22"/>
                <w:szCs w:val="22"/>
                <w:bdr w:val="none" w:sz="0" w:space="0" w:color="auto" w:frame="1"/>
                <w:lang w:eastAsia="zh-CN"/>
              </w:rPr>
              <w:t>人数</w:t>
            </w:r>
          </w:p>
        </w:tc>
        <w:tc>
          <w:tcPr>
            <w:tcW w:w="1138"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rPr>
            </w:pPr>
            <w:r w:rsidRPr="00ED20E3">
              <w:rPr>
                <w:rFonts w:ascii="SimSun-ExtB" w:hAnsi="Helvetica" w:cs="Helvetica" w:hint="eastAsia"/>
                <w:color w:val="000000"/>
                <w:sz w:val="22"/>
                <w:szCs w:val="22"/>
                <w:lang w:eastAsia="zh-CN"/>
              </w:rPr>
              <w:t>最多</w:t>
            </w:r>
            <w:r w:rsidRPr="00ED20E3">
              <w:rPr>
                <w:rFonts w:ascii="SimSun-ExtB" w:eastAsia="SimSun-ExtB" w:hAnsi="SimSun-ExtB" w:cs="Helvetica" w:hint="eastAsia"/>
                <w:color w:val="000000"/>
                <w:sz w:val="22"/>
                <w:szCs w:val="22"/>
                <w:lang w:eastAsia="zh-CN"/>
              </w:rPr>
              <w:t>8</w:t>
            </w:r>
            <w:r w:rsidRPr="00ED20E3">
              <w:rPr>
                <w:rFonts w:ascii="SimSun-ExtB" w:hAnsi="Helvetica" w:cs="Helvetica" w:hint="eastAsia"/>
                <w:color w:val="000000"/>
                <w:sz w:val="22"/>
                <w:szCs w:val="22"/>
                <w:lang w:eastAsia="zh-CN"/>
              </w:rPr>
              <w:t>人同坐一桌</w:t>
            </w:r>
          </w:p>
        </w:tc>
        <w:tc>
          <w:tcPr>
            <w:tcW w:w="123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FE1B93">
            <w:pPr>
              <w:pStyle w:val="ListParagraph"/>
              <w:numPr>
                <w:ilvl w:val="0"/>
                <w:numId w:val="4"/>
              </w:numPr>
              <w:spacing w:after="0" w:line="288" w:lineRule="atLeast"/>
              <w:ind w:left="586"/>
              <w:textAlignment w:val="baseline"/>
              <w:rPr>
                <w:rFonts w:ascii="SimSun-ExtB" w:eastAsia="SimSun-ExtB" w:hAnsi="SimSun-ExtB" w:cs="Helvetica"/>
                <w:color w:val="000000"/>
                <w:sz w:val="22"/>
                <w:szCs w:val="22"/>
              </w:rPr>
            </w:pPr>
            <w:r w:rsidRPr="00ED20E3">
              <w:rPr>
                <w:rFonts w:ascii="SimSun-ExtB" w:hAnsi="Helvetica" w:cs="Helvetica" w:hint="eastAsia"/>
                <w:color w:val="000000"/>
                <w:sz w:val="22"/>
                <w:szCs w:val="22"/>
                <w:lang w:eastAsia="zh-CN"/>
              </w:rPr>
              <w:t>最多</w:t>
            </w:r>
            <w:r w:rsidRPr="00ED20E3">
              <w:rPr>
                <w:rFonts w:ascii="SimSun-ExtB" w:eastAsia="SimSun-ExtB" w:hAnsi="SimSun-ExtB" w:cs="Helvetica" w:hint="eastAsia"/>
                <w:color w:val="000000"/>
                <w:sz w:val="22"/>
                <w:szCs w:val="22"/>
                <w:lang w:eastAsia="zh-CN"/>
              </w:rPr>
              <w:t>4</w:t>
            </w:r>
            <w:r w:rsidRPr="00ED20E3">
              <w:rPr>
                <w:rFonts w:ascii="SimSun-ExtB" w:hAnsi="Helvetica" w:cs="Helvetica" w:hint="eastAsia"/>
                <w:color w:val="000000"/>
                <w:sz w:val="22"/>
                <w:szCs w:val="22"/>
                <w:lang w:eastAsia="zh-CN"/>
              </w:rPr>
              <w:t>人同坐一桌</w:t>
            </w:r>
          </w:p>
          <w:p w:rsidR="00FE1B93" w:rsidRPr="00ED20E3" w:rsidRDefault="00FE1B93" w:rsidP="00FE1B93">
            <w:pPr>
              <w:pStyle w:val="ListParagraph"/>
              <w:numPr>
                <w:ilvl w:val="0"/>
                <w:numId w:val="4"/>
              </w:numPr>
              <w:spacing w:after="0" w:line="288" w:lineRule="atLeast"/>
              <w:ind w:left="586"/>
              <w:textAlignment w:val="baseline"/>
              <w:rPr>
                <w:rFonts w:ascii="SimSun-ExtB" w:eastAsia="SimSun-ExtB" w:hAnsi="SimSun-ExtB" w:cs="Helvetica"/>
                <w:color w:val="000000"/>
                <w:sz w:val="22"/>
                <w:szCs w:val="22"/>
                <w:lang w:eastAsia="zh-CN"/>
              </w:rPr>
            </w:pPr>
            <w:r w:rsidRPr="00ED20E3">
              <w:rPr>
                <w:rFonts w:ascii="SimSun-ExtB" w:hAnsi="Helvetica" w:cs="Helvetica" w:hint="eastAsia"/>
                <w:color w:val="000000"/>
                <w:sz w:val="22"/>
                <w:szCs w:val="22"/>
                <w:lang w:eastAsia="zh-CN"/>
              </w:rPr>
              <w:t>座位数目的</w:t>
            </w:r>
            <w:r w:rsidRPr="00ED20E3">
              <w:rPr>
                <w:rFonts w:ascii="SimSun-ExtB" w:eastAsia="SimSun-ExtB" w:hAnsi="SimSun-ExtB" w:cs="Helvetica" w:hint="eastAsia"/>
                <w:color w:val="000000"/>
                <w:sz w:val="22"/>
                <w:szCs w:val="22"/>
                <w:lang w:eastAsia="zh-CN"/>
              </w:rPr>
              <w:t>50%</w:t>
            </w:r>
            <w:r w:rsidRPr="00ED20E3">
              <w:rPr>
                <w:rFonts w:ascii="SimSun-ExtB" w:hAnsi="Helvetica" w:cs="Helvetica" w:hint="eastAsia"/>
                <w:color w:val="000000"/>
                <w:sz w:val="22"/>
                <w:szCs w:val="22"/>
                <w:lang w:eastAsia="zh-CN"/>
              </w:rPr>
              <w:t>，并不得进行现场音乐表演及跳舞</w:t>
            </w:r>
          </w:p>
        </w:tc>
        <w:tc>
          <w:tcPr>
            <w:tcW w:w="1761"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color w:val="000000"/>
                <w:sz w:val="22"/>
                <w:szCs w:val="22"/>
                <w:lang w:eastAsia="zh-CN"/>
              </w:rPr>
              <w:t>连教练</w:t>
            </w:r>
            <w:r w:rsidRPr="00ED20E3">
              <w:rPr>
                <w:rFonts w:ascii="SimSun-ExtB" w:eastAsia="SimSun-ExtB" w:hAnsi="SimSun-ExtB" w:cs="Helvetica" w:hint="eastAsia"/>
                <w:color w:val="000000"/>
                <w:sz w:val="22"/>
                <w:szCs w:val="22"/>
                <w:lang w:eastAsia="zh-CN"/>
              </w:rPr>
              <w:t>/</w:t>
            </w:r>
            <w:r w:rsidRPr="00ED20E3">
              <w:rPr>
                <w:rFonts w:ascii="SimSun-ExtB" w:hAnsi="Helvetica" w:cs="Helvetica" w:hint="eastAsia"/>
                <w:color w:val="000000"/>
                <w:sz w:val="22"/>
                <w:szCs w:val="22"/>
                <w:lang w:eastAsia="zh-CN"/>
              </w:rPr>
              <w:t>指导在内，每一小组训练或课堂最多</w:t>
            </w:r>
            <w:r w:rsidRPr="00ED20E3">
              <w:rPr>
                <w:rFonts w:ascii="SimSun-ExtB" w:eastAsia="SimSun-ExtB" w:hAnsi="SimSun-ExtB" w:cs="Helvetica" w:hint="eastAsia"/>
                <w:color w:val="000000"/>
                <w:sz w:val="22"/>
                <w:szCs w:val="22"/>
                <w:lang w:eastAsia="zh-CN"/>
              </w:rPr>
              <w:t>8</w:t>
            </w:r>
            <w:r w:rsidRPr="00ED20E3">
              <w:rPr>
                <w:rFonts w:ascii="SimSun-ExtB" w:hAnsi="Helvetica" w:cs="Helvetica" w:hint="eastAsia"/>
                <w:color w:val="000000"/>
                <w:sz w:val="22"/>
                <w:szCs w:val="22"/>
                <w:lang w:eastAsia="zh-CN"/>
              </w:rPr>
              <w:t>人</w:t>
            </w:r>
          </w:p>
        </w:tc>
      </w:tr>
      <w:tr w:rsidR="00FE1B93" w:rsidRPr="00ED20E3" w:rsidTr="006663CA">
        <w:trPr>
          <w:tblHeader/>
        </w:trPr>
        <w:tc>
          <w:tcPr>
            <w:tcW w:w="868"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b/>
                <w:bCs/>
                <w:color w:val="000000"/>
                <w:sz w:val="22"/>
                <w:szCs w:val="22"/>
                <w:bdr w:val="none" w:sz="0" w:space="0" w:color="auto" w:frame="1"/>
                <w:lang w:eastAsia="zh-CN"/>
              </w:rPr>
              <w:t>特定规定</w:t>
            </w:r>
          </w:p>
        </w:tc>
        <w:tc>
          <w:tcPr>
            <w:tcW w:w="2371"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rPr>
            </w:pPr>
            <w:r w:rsidRPr="00ED20E3">
              <w:rPr>
                <w:rFonts w:ascii="SimSun-ExtB" w:hAnsi="Helvetica" w:cs="Helvetica" w:hint="eastAsia"/>
                <w:color w:val="000000"/>
                <w:sz w:val="22"/>
                <w:szCs w:val="22"/>
                <w:lang w:eastAsia="zh-CN"/>
              </w:rPr>
              <w:t>无卡拉</w:t>
            </w:r>
            <w:r w:rsidRPr="00ED20E3">
              <w:rPr>
                <w:rFonts w:ascii="SimSun-ExtB" w:eastAsia="SimSun-ExtB" w:hAnsi="SimSun-ExtB" w:cs="Helvetica" w:hint="eastAsia"/>
                <w:color w:val="000000"/>
                <w:sz w:val="22"/>
                <w:szCs w:val="22"/>
                <w:lang w:eastAsia="zh-CN"/>
              </w:rPr>
              <w:t>OK</w:t>
            </w:r>
            <w:r w:rsidRPr="00ED20E3">
              <w:rPr>
                <w:rFonts w:ascii="SimSun-ExtB" w:hAnsi="Helvetica" w:cs="Helvetica" w:hint="eastAsia"/>
                <w:color w:val="000000"/>
                <w:sz w:val="22"/>
                <w:szCs w:val="22"/>
                <w:lang w:eastAsia="zh-CN"/>
              </w:rPr>
              <w:t>活动</w:t>
            </w:r>
          </w:p>
        </w:tc>
        <w:tc>
          <w:tcPr>
            <w:tcW w:w="1761"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rPr>
            </w:pPr>
            <w:r w:rsidRPr="00ED20E3">
              <w:rPr>
                <w:rFonts w:ascii="SimSun-ExtB" w:hAnsi="Helvetica" w:cs="Helvetica" w:hint="eastAsia"/>
                <w:color w:val="000000"/>
                <w:sz w:val="22"/>
                <w:szCs w:val="22"/>
                <w:lang w:eastAsia="zh-CN"/>
              </w:rPr>
              <w:t>健身站，器械和器材使用之前及之后均清洁及消毒</w:t>
            </w:r>
          </w:p>
        </w:tc>
      </w:tr>
      <w:tr w:rsidR="00FE1B93" w:rsidRPr="00ED20E3" w:rsidTr="006663CA">
        <w:trPr>
          <w:tblHeader/>
        </w:trPr>
        <w:tc>
          <w:tcPr>
            <w:tcW w:w="868"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b/>
                <w:bCs/>
                <w:color w:val="000000"/>
                <w:sz w:val="22"/>
                <w:szCs w:val="22"/>
                <w:bdr w:val="none" w:sz="0" w:space="0" w:color="auto" w:frame="1"/>
                <w:lang w:eastAsia="zh-CN"/>
              </w:rPr>
              <w:lastRenderedPageBreak/>
              <w:t>保持距离</w:t>
            </w:r>
          </w:p>
        </w:tc>
        <w:tc>
          <w:tcPr>
            <w:tcW w:w="2371"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color w:val="000000"/>
                <w:sz w:val="22"/>
                <w:szCs w:val="22"/>
                <w:lang w:eastAsia="zh-CN"/>
              </w:rPr>
              <w:t>至少有</w:t>
            </w:r>
            <w:r w:rsidRPr="00ED20E3">
              <w:rPr>
                <w:rFonts w:ascii="SimSun-ExtB" w:eastAsia="SimSun-ExtB" w:hAnsi="SimSun-ExtB" w:cs="Helvetica" w:hint="eastAsia"/>
                <w:color w:val="000000"/>
                <w:sz w:val="22"/>
                <w:szCs w:val="22"/>
                <w:lang w:eastAsia="zh-CN"/>
              </w:rPr>
              <w:t>1.5</w:t>
            </w:r>
            <w:r w:rsidRPr="00ED20E3">
              <w:rPr>
                <w:rFonts w:ascii="SimSun-ExtB" w:hAnsi="Helvetica" w:cs="Helvetica" w:hint="eastAsia"/>
                <w:color w:val="000000"/>
                <w:sz w:val="22"/>
                <w:szCs w:val="22"/>
                <w:lang w:eastAsia="zh-CN"/>
              </w:rPr>
              <w:t>米距离，或设有某种形式的有效隔板</w:t>
            </w:r>
          </w:p>
        </w:tc>
        <w:tc>
          <w:tcPr>
            <w:tcW w:w="1761"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color w:val="000000"/>
                <w:sz w:val="22"/>
                <w:szCs w:val="22"/>
                <w:lang w:eastAsia="zh-CN"/>
              </w:rPr>
              <w:t>使用中的健身站，器械和器材之间至少有</w:t>
            </w:r>
            <w:r w:rsidRPr="00ED20E3">
              <w:rPr>
                <w:rFonts w:ascii="SimSun-ExtB" w:eastAsia="SimSun-ExtB" w:hAnsi="SimSun-ExtB" w:cs="Helvetica" w:hint="eastAsia"/>
                <w:color w:val="000000"/>
                <w:sz w:val="22"/>
                <w:szCs w:val="22"/>
                <w:lang w:eastAsia="zh-CN"/>
              </w:rPr>
              <w:t>1.5</w:t>
            </w:r>
            <w:r w:rsidRPr="00ED20E3">
              <w:rPr>
                <w:rFonts w:ascii="SimSun-ExtB" w:hAnsi="Helvetica" w:cs="Helvetica" w:hint="eastAsia"/>
                <w:color w:val="000000"/>
                <w:sz w:val="22"/>
                <w:szCs w:val="22"/>
                <w:lang w:eastAsia="zh-CN"/>
              </w:rPr>
              <w:t>米距离或设有某种形式的有效隔板</w:t>
            </w:r>
          </w:p>
        </w:tc>
      </w:tr>
      <w:tr w:rsidR="00FE1B93" w:rsidRPr="00ED20E3" w:rsidTr="006663CA">
        <w:trPr>
          <w:tblHeader/>
        </w:trPr>
        <w:tc>
          <w:tcPr>
            <w:tcW w:w="868"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b/>
                <w:bCs/>
                <w:color w:val="000000"/>
                <w:sz w:val="22"/>
                <w:szCs w:val="22"/>
                <w:bdr w:val="none" w:sz="0" w:space="0" w:color="auto" w:frame="1"/>
                <w:lang w:eastAsia="zh-CN"/>
              </w:rPr>
              <w:t>是否须佩戴口罩</w:t>
            </w:r>
          </w:p>
        </w:tc>
        <w:tc>
          <w:tcPr>
            <w:tcW w:w="2371"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color w:val="000000"/>
                <w:sz w:val="22"/>
                <w:szCs w:val="22"/>
                <w:lang w:eastAsia="zh-CN"/>
              </w:rPr>
              <w:t>是</w:t>
            </w:r>
          </w:p>
        </w:tc>
        <w:tc>
          <w:tcPr>
            <w:tcW w:w="1761"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FE1B93" w:rsidRPr="00ED20E3" w:rsidRDefault="00FE1B93" w:rsidP="006663CA">
            <w:pPr>
              <w:spacing w:after="0" w:line="240" w:lineRule="atLeast"/>
              <w:rPr>
                <w:rFonts w:ascii="SimSun-ExtB" w:eastAsia="SimSun-ExtB" w:hAnsi="SimSun-ExtB" w:cs="Helvetica"/>
                <w:color w:val="000000"/>
                <w:sz w:val="22"/>
                <w:szCs w:val="22"/>
                <w:lang w:eastAsia="zh-CN"/>
              </w:rPr>
            </w:pPr>
            <w:r w:rsidRPr="00ED20E3">
              <w:rPr>
                <w:rFonts w:ascii="SimSun-ExtB" w:hAnsi="Helvetica" w:cs="Helvetica" w:hint="eastAsia"/>
                <w:color w:val="000000"/>
                <w:sz w:val="22"/>
                <w:szCs w:val="22"/>
                <w:lang w:eastAsia="zh-CN"/>
              </w:rPr>
              <w:t>是（运动前及运动后）</w:t>
            </w:r>
          </w:p>
        </w:tc>
      </w:tr>
    </w:tbl>
    <w:p w:rsidR="003B08B9" w:rsidRDefault="00FE1B93">
      <w:pPr>
        <w:pStyle w:val="BodyText"/>
        <w:rPr>
          <w:lang w:eastAsia="zh-CN"/>
        </w:rPr>
      </w:pPr>
      <w:r>
        <w:rPr>
          <w:lang w:eastAsia="zh-CN"/>
        </w:rPr>
        <w:t>香港特别行政区政府最新公告</w:t>
      </w:r>
      <w:hyperlink r:id="rId9">
        <w:r>
          <w:rPr>
            <w:lang w:eastAsia="zh-CN"/>
          </w:rPr>
          <w:t>《政府宣布〈预防疾病条例〉下最新社交距离措施》</w:t>
        </w:r>
      </w:hyperlink>
      <w:r>
        <w:rPr>
          <w:lang w:eastAsia="zh-CN"/>
        </w:rPr>
        <w:t>详列根据业务及处所规例开放的附表所列处所。</w:t>
      </w:r>
    </w:p>
    <w:p w:rsidR="003B08B9" w:rsidRDefault="00FE1B93">
      <w:pPr>
        <w:pStyle w:val="DisclaimerBold"/>
        <w:rPr>
          <w:lang w:eastAsia="zh-CN"/>
        </w:rPr>
      </w:pPr>
      <w:r>
        <w:rPr>
          <w:lang w:eastAsia="zh-CN"/>
        </w:rPr>
        <w:t>此法讯仅为提供相关资料信息之用，其内容并</w:t>
      </w:r>
    </w:p>
    <w:p w:rsidR="003B08B9" w:rsidRDefault="00FE1B93">
      <w:pPr>
        <w:pStyle w:val="Disclaimer"/>
        <w:rPr>
          <w:lang w:eastAsia="zh-CN"/>
        </w:rPr>
      </w:pPr>
      <w:r>
        <w:rPr>
          <w:lang w:eastAsia="zh-CN"/>
        </w:rPr>
        <w:t>不构成法律建议及个案的法律分析。</w:t>
      </w:r>
    </w:p>
    <w:p w:rsidR="003B08B9" w:rsidRDefault="00FE1B93">
      <w:pPr>
        <w:pStyle w:val="Disclaimer"/>
        <w:rPr>
          <w:lang w:eastAsia="zh-CN"/>
        </w:rPr>
      </w:pPr>
      <w:r>
        <w:rPr>
          <w:lang w:eastAsia="zh-CN"/>
        </w:rPr>
        <w:t>此法讯的发送并不是为了在易周律师行与用户或浏览者之间建立一种律师与客</w:t>
      </w:r>
      <w:r>
        <w:rPr>
          <w:lang w:eastAsia="zh-CN"/>
        </w:rPr>
        <w:t>户之关系。</w:t>
      </w:r>
    </w:p>
    <w:p w:rsidR="003B08B9" w:rsidRDefault="00FE1B93">
      <w:pPr>
        <w:pStyle w:val="Disclaimer"/>
        <w:rPr>
          <w:lang w:eastAsia="zh-CN"/>
        </w:rPr>
      </w:pPr>
      <w:r>
        <w:rPr>
          <w:lang w:eastAsia="zh-CN"/>
        </w:rPr>
        <w:t>易周律师行并不对可从互联网获得的任何第三方内容负责。</w:t>
      </w:r>
    </w:p>
    <w:p w:rsidR="003B08B9" w:rsidRDefault="00FE1B93">
      <w:pPr>
        <w:pStyle w:val="Disclaimer"/>
        <w:rPr>
          <w:lang w:eastAsia="zh-CN"/>
        </w:rPr>
      </w:pPr>
      <w:r>
        <w:rPr>
          <w:lang w:eastAsia="zh-CN"/>
        </w:rPr>
        <w:t>如你不希望再收到易周法讯，请发送电邮至</w:t>
      </w:r>
      <w:r>
        <w:rPr>
          <w:lang w:eastAsia="zh-CN"/>
        </w:rPr>
        <w:t xml:space="preserve">  </w:t>
      </w:r>
      <w:hyperlink r:id="rId10">
        <w:r>
          <w:rPr>
            <w:lang w:eastAsia="zh-CN"/>
          </w:rPr>
          <w:t>unsubscribe@charltonslaw.com</w:t>
        </w:r>
      </w:hyperlink>
    </w:p>
    <w:p w:rsidR="003B08B9" w:rsidRDefault="00FE1B93">
      <w:pPr>
        <w:pStyle w:val="BlackStrips"/>
      </w:pPr>
      <w:r>
        <w:t xml:space="preserve">Charltons - </w:t>
      </w:r>
      <w:r>
        <w:t>香港法律</w:t>
      </w:r>
      <w:r>
        <w:t xml:space="preserve"> - 2020</w:t>
      </w:r>
      <w:r>
        <w:t>年</w:t>
      </w:r>
      <w:r>
        <w:t>5</w:t>
      </w:r>
      <w:r>
        <w:t>月</w:t>
      </w:r>
      <w:r>
        <w:t>27</w:t>
      </w:r>
      <w:r>
        <w:t>日</w:t>
      </w:r>
    </w:p>
    <w:sectPr w:rsidR="003B08B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E1B93">
      <w:pPr>
        <w:spacing w:after="0"/>
      </w:pPr>
      <w:r>
        <w:separator/>
      </w:r>
    </w:p>
  </w:endnote>
  <w:endnote w:type="continuationSeparator" w:id="0">
    <w:p w:rsidR="00000000" w:rsidRDefault="00FE1B9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SimSun-ExtB">
    <w:panose1 w:val="02010609060101010101"/>
    <w:charset w:val="86"/>
    <w:family w:val="modern"/>
    <w:pitch w:val="fixed"/>
    <w:sig w:usb0="00000003" w:usb1="0A0E0000" w:usb2="00000010" w:usb3="00000000" w:csb0="00040001"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8B9" w:rsidRDefault="00FE1B93">
      <w:r>
        <w:separator/>
      </w:r>
    </w:p>
  </w:footnote>
  <w:footnote w:type="continuationSeparator" w:id="0">
    <w:p w:rsidR="003B08B9" w:rsidRDefault="00FE1B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3726FE"/>
    <w:multiLevelType w:val="multilevel"/>
    <w:tmpl w:val="DF4856BA"/>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4FD94B23"/>
    <w:multiLevelType w:val="multilevel"/>
    <w:tmpl w:val="AC245C3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5BB56612"/>
    <w:multiLevelType w:val="hybridMultilevel"/>
    <w:tmpl w:val="2ABA9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2A1237"/>
    <w:multiLevelType w:val="multilevel"/>
    <w:tmpl w:val="A246F21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3B08B9"/>
    <w:rsid w:val="004E29B3"/>
    <w:rsid w:val="00590D07"/>
    <w:rsid w:val="00784D58"/>
    <w:rsid w:val="008D6863"/>
    <w:rsid w:val="00B86B75"/>
    <w:rsid w:val="00BC48D5"/>
    <w:rsid w:val="00C36279"/>
    <w:rsid w:val="00E315A3"/>
    <w:rsid w:val="00FE1B9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3D4CC"/>
  <w15:docId w15:val="{F0964E3A-02B4-4A60-A195-E55938FC9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ListParagraph">
    <w:name w:val="List Paragraph"/>
    <w:basedOn w:val="Normal"/>
    <w:rsid w:val="00FE1B93"/>
    <w:pPr>
      <w:ind w:left="720"/>
      <w:contextualSpacing/>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n/fang-kuan-bu-fen-jian-shao-she-jiao-jie-chu-cuo-shi-ji-qi-ru-he-ying-yong-yu-gu-dong-da-hui/" TargetMode="External"/><Relationship Id="rId3" Type="http://schemas.openxmlformats.org/officeDocument/2006/relationships/settings" Target="settings.xml"/><Relationship Id="rId7" Type="http://schemas.openxmlformats.org/officeDocument/2006/relationships/hyperlink" Target="http://www.charltonslaw.com.cn/xiang-gang-te-bie-xing-zheng-qu-zheng-fu-yan-xu-she-jiao-ju-chi-cuo-shi-shi-shi-qi-jia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subscribe@charltonslaw.com?subject=unsubscribe%20-Hong%20Kong%20Law-" TargetMode="External"/><Relationship Id="rId4" Type="http://schemas.openxmlformats.org/officeDocument/2006/relationships/webSettings" Target="webSettings.xml"/><Relationship Id="rId9" Type="http://schemas.openxmlformats.org/officeDocument/2006/relationships/hyperlink" Target="https://sc.isd.gov.hk/TuniS/www.info.gov.hk/gia/general/202005/19/P2020051900773.htm?fontSize=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252</Words>
  <Characters>1438</Characters>
  <Application>Microsoft Office Word</Application>
  <DocSecurity>0</DocSecurity>
  <Lines>11</Lines>
  <Paragraphs>3</Paragraphs>
  <ScaleCrop>false</ScaleCrop>
  <Company>Charltons</Company>
  <LinksUpToDate>false</LinksUpToDate>
  <CharactersWithSpaces>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2020-05-27T04:29:00Z</dcterms:created>
  <dcterms:modified xsi:type="dcterms:W3CDTF">2020-05-27T04:32:00Z</dcterms:modified>
</cp:coreProperties>
</file>