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CE" w:rsidRDefault="00DB6259">
      <w:pPr>
        <w:pStyle w:val="BlackStrips"/>
      </w:pPr>
      <w:r>
        <w:t xml:space="preserve">Charltons - </w:t>
      </w:r>
      <w:r>
        <w:t>香港法律</w:t>
      </w:r>
      <w:r>
        <w:t xml:space="preserve"> - 2020</w:t>
      </w:r>
      <w:r>
        <w:t>年</w:t>
      </w:r>
      <w:r>
        <w:t>6</w:t>
      </w:r>
      <w:r>
        <w:t>月</w:t>
      </w:r>
      <w:r>
        <w:t>26</w:t>
      </w:r>
      <w:r>
        <w:t>日</w:t>
      </w:r>
    </w:p>
    <w:p w:rsidR="00960BCE" w:rsidRDefault="00DB6259">
      <w:pPr>
        <w:pStyle w:val="ReadOnline"/>
        <w:rPr>
          <w:lang w:eastAsia="zh-CN"/>
        </w:rPr>
      </w:pPr>
      <w:hyperlink r:id="rId7">
        <w:r>
          <w:rPr>
            <w:lang w:eastAsia="zh-CN"/>
          </w:rPr>
          <w:t>online version</w:t>
        </w:r>
      </w:hyperlink>
    </w:p>
    <w:p w:rsidR="00960BCE" w:rsidRDefault="00DB6259">
      <w:pPr>
        <w:pStyle w:val="Title"/>
        <w:rPr>
          <w:lang w:eastAsia="zh-CN"/>
        </w:rPr>
      </w:pPr>
      <w:r>
        <w:rPr>
          <w:lang w:eastAsia="zh-CN"/>
        </w:rPr>
        <w:t>香港特别行政区政府公布进一步放宽减少社交距离措施</w:t>
      </w:r>
    </w:p>
    <w:p w:rsidR="00960BCE" w:rsidRDefault="00DB6259">
      <w:pPr>
        <w:pStyle w:val="FirstParagraph"/>
        <w:rPr>
          <w:lang w:eastAsia="zh-CN"/>
        </w:rPr>
      </w:pPr>
      <w:r>
        <w:rPr>
          <w:lang w:eastAsia="zh-CN"/>
        </w:rPr>
        <w:t>鉴于香港的</w:t>
      </w:r>
      <w:r>
        <w:rPr>
          <w:lang w:eastAsia="zh-CN"/>
        </w:rPr>
        <w:t>2019</w:t>
      </w:r>
      <w:r>
        <w:rPr>
          <w:lang w:eastAsia="zh-CN"/>
        </w:rPr>
        <w:t>冠状病毒（COVID</w:t>
      </w:r>
      <w:r>
        <w:rPr>
          <w:rFonts w:asciiTheme="minorEastAsia" w:eastAsiaTheme="minorEastAsia" w:hAnsiTheme="minorEastAsia" w:hint="eastAsia"/>
          <w:lang w:eastAsia="zh-CN"/>
        </w:rPr>
        <w:t>-</w:t>
      </w:r>
      <w:r>
        <w:rPr>
          <w:lang w:eastAsia="zh-CN"/>
        </w:rPr>
        <w:t>19</w:t>
      </w:r>
      <w:r>
        <w:rPr>
          <w:lang w:eastAsia="zh-CN"/>
        </w:rPr>
        <w:t>）感染案例稳步下降，香港特别行政区政府于</w:t>
      </w:r>
      <w:r>
        <w:rPr>
          <w:lang w:eastAsia="zh-CN"/>
        </w:rPr>
        <w:t>2020</w:t>
      </w:r>
      <w:r>
        <w:rPr>
          <w:lang w:eastAsia="zh-CN"/>
        </w:rPr>
        <w:t>年</w:t>
      </w:r>
      <w:r>
        <w:rPr>
          <w:lang w:eastAsia="zh-CN"/>
        </w:rPr>
        <w:t>6</w:t>
      </w:r>
      <w:r>
        <w:rPr>
          <w:lang w:eastAsia="zh-CN"/>
        </w:rPr>
        <w:t>月</w:t>
      </w:r>
      <w:r>
        <w:rPr>
          <w:lang w:eastAsia="zh-CN"/>
        </w:rPr>
        <w:t>16</w:t>
      </w:r>
      <w:r>
        <w:rPr>
          <w:lang w:eastAsia="zh-CN"/>
        </w:rPr>
        <w:t>日公布进一步放宽香港的减少社交距离措施。话虽如此，香港特别行政区政府也明白一方面需要在疾病预防控制及感染管理之间实现平衡，另一方面要让香港市民重新回到正常的社会生活中。</w:t>
      </w:r>
    </w:p>
    <w:p w:rsidR="00960BCE" w:rsidRDefault="00DB6259">
      <w:pPr>
        <w:pStyle w:val="BodyText"/>
        <w:rPr>
          <w:lang w:eastAsia="zh-CN"/>
        </w:rPr>
      </w:pPr>
      <w:r>
        <w:rPr>
          <w:lang w:eastAsia="zh-CN"/>
        </w:rPr>
        <w:t>根据香港特别行政区政府的最新公告，将就《预防及控制疾病（规定及指示）（业务及处所）规例》（第</w:t>
      </w:r>
      <w:r>
        <w:rPr>
          <w:lang w:eastAsia="zh-CN"/>
        </w:rPr>
        <w:t>599F</w:t>
      </w:r>
      <w:r>
        <w:rPr>
          <w:lang w:eastAsia="zh-CN"/>
        </w:rPr>
        <w:t>章）（</w:t>
      </w:r>
      <w:r>
        <w:rPr>
          <w:b/>
          <w:lang w:eastAsia="zh-CN"/>
        </w:rPr>
        <w:t>业务处所规例</w:t>
      </w:r>
      <w:r>
        <w:rPr>
          <w:lang w:eastAsia="zh-CN"/>
        </w:rPr>
        <w:t>）和《预防及控制疾病（禁止群组聚集）规例》（第</w:t>
      </w:r>
      <w:r>
        <w:rPr>
          <w:lang w:eastAsia="zh-CN"/>
        </w:rPr>
        <w:t>599G</w:t>
      </w:r>
      <w:r>
        <w:rPr>
          <w:lang w:eastAsia="zh-CN"/>
        </w:rPr>
        <w:t>章）（</w:t>
      </w:r>
      <w:r>
        <w:rPr>
          <w:b/>
          <w:lang w:eastAsia="zh-CN"/>
        </w:rPr>
        <w:t>禁止群组聚集规例</w:t>
      </w:r>
      <w:r>
        <w:rPr>
          <w:lang w:eastAsia="zh-CN"/>
        </w:rPr>
        <w:t>）（统称</w:t>
      </w:r>
      <w:r>
        <w:rPr>
          <w:b/>
          <w:lang w:eastAsia="zh-CN"/>
        </w:rPr>
        <w:t>群组聚集规例</w:t>
      </w:r>
      <w:r>
        <w:rPr>
          <w:lang w:eastAsia="zh-CN"/>
        </w:rPr>
        <w:t>）进行修订。</w:t>
      </w:r>
    </w:p>
    <w:p w:rsidR="00960BCE" w:rsidRDefault="00DB6259">
      <w:pPr>
        <w:pStyle w:val="BodyText"/>
        <w:rPr>
          <w:lang w:eastAsia="zh-CN"/>
        </w:rPr>
      </w:pPr>
      <w:r>
        <w:rPr>
          <w:lang w:eastAsia="zh-CN"/>
        </w:rPr>
        <w:t xml:space="preserve">1. </w:t>
      </w:r>
      <w:r>
        <w:rPr>
          <w:lang w:eastAsia="zh-CN"/>
        </w:rPr>
        <w:t>禁止群</w:t>
      </w:r>
      <w:r>
        <w:rPr>
          <w:lang w:eastAsia="zh-CN"/>
        </w:rPr>
        <w:t>组聚集</w:t>
      </w:r>
    </w:p>
    <w:p w:rsidR="00960BCE" w:rsidRDefault="00DB6259">
      <w:pPr>
        <w:pStyle w:val="BodyText"/>
        <w:rPr>
          <w:lang w:eastAsia="zh-CN"/>
        </w:rPr>
      </w:pPr>
      <w:r>
        <w:rPr>
          <w:lang w:eastAsia="zh-CN"/>
        </w:rPr>
        <w:t>《禁止群组聚集规例》经修订后进一步延用。之前的期间延续于</w:t>
      </w:r>
      <w:r>
        <w:rPr>
          <w:lang w:eastAsia="zh-CN"/>
        </w:rPr>
        <w:t>2020</w:t>
      </w:r>
      <w:r>
        <w:rPr>
          <w:lang w:eastAsia="zh-CN"/>
        </w:rPr>
        <w:t>年</w:t>
      </w:r>
      <w:r>
        <w:rPr>
          <w:lang w:eastAsia="zh-CN"/>
        </w:rPr>
        <w:t>6</w:t>
      </w:r>
      <w:r>
        <w:rPr>
          <w:lang w:eastAsia="zh-CN"/>
        </w:rPr>
        <w:t>月</w:t>
      </w:r>
      <w:r>
        <w:rPr>
          <w:lang w:eastAsia="zh-CN"/>
        </w:rPr>
        <w:t>18</w:t>
      </w:r>
      <w:r>
        <w:rPr>
          <w:lang w:eastAsia="zh-CN"/>
        </w:rPr>
        <w:t>日期满，其限制在公众地方进行群组聚集的人数为</w:t>
      </w:r>
      <w:r>
        <w:rPr>
          <w:lang w:eastAsia="zh-CN"/>
        </w:rPr>
        <w:t>8</w:t>
      </w:r>
      <w:r>
        <w:rPr>
          <w:lang w:eastAsia="zh-CN"/>
        </w:rPr>
        <w:t>人。现在，根据香港特别行政区政府发布的最新公告，由</w:t>
      </w:r>
      <w:r>
        <w:rPr>
          <w:lang w:eastAsia="zh-CN"/>
        </w:rPr>
        <w:t>2020</w:t>
      </w:r>
      <w:r>
        <w:rPr>
          <w:lang w:eastAsia="zh-CN"/>
        </w:rPr>
        <w:t>年</w:t>
      </w:r>
      <w:r>
        <w:rPr>
          <w:lang w:eastAsia="zh-CN"/>
        </w:rPr>
        <w:t>6</w:t>
      </w:r>
      <w:r>
        <w:rPr>
          <w:lang w:eastAsia="zh-CN"/>
        </w:rPr>
        <w:t>月</w:t>
      </w:r>
      <w:r>
        <w:rPr>
          <w:lang w:eastAsia="zh-CN"/>
        </w:rPr>
        <w:t>19</w:t>
      </w:r>
      <w:r>
        <w:rPr>
          <w:lang w:eastAsia="zh-CN"/>
        </w:rPr>
        <w:t>日起，被准许在公众地方进行群组聚集的人数限制由</w:t>
      </w:r>
      <w:r>
        <w:rPr>
          <w:lang w:eastAsia="zh-CN"/>
        </w:rPr>
        <w:t>8</w:t>
      </w:r>
      <w:r>
        <w:rPr>
          <w:lang w:eastAsia="zh-CN"/>
        </w:rPr>
        <w:t>人放宽至</w:t>
      </w:r>
      <w:r>
        <w:rPr>
          <w:lang w:eastAsia="zh-CN"/>
        </w:rPr>
        <w:t>50</w:t>
      </w:r>
      <w:r>
        <w:rPr>
          <w:lang w:eastAsia="zh-CN"/>
        </w:rPr>
        <w:t>人。最新的公众地方《禁止群组聚集规例》将由</w:t>
      </w:r>
      <w:r>
        <w:rPr>
          <w:lang w:eastAsia="zh-CN"/>
        </w:rPr>
        <w:t>2020</w:t>
      </w:r>
      <w:r>
        <w:rPr>
          <w:lang w:eastAsia="zh-CN"/>
        </w:rPr>
        <w:t>年</w:t>
      </w:r>
      <w:r>
        <w:rPr>
          <w:lang w:eastAsia="zh-CN"/>
        </w:rPr>
        <w:t>6</w:t>
      </w:r>
      <w:r>
        <w:rPr>
          <w:lang w:eastAsia="zh-CN"/>
        </w:rPr>
        <w:t>月</w:t>
      </w:r>
      <w:r>
        <w:rPr>
          <w:lang w:eastAsia="zh-CN"/>
        </w:rPr>
        <w:t>19</w:t>
      </w:r>
      <w:r>
        <w:rPr>
          <w:lang w:eastAsia="zh-CN"/>
        </w:rPr>
        <w:t>日起生效，为期</w:t>
      </w:r>
      <w:r>
        <w:rPr>
          <w:lang w:eastAsia="zh-CN"/>
        </w:rPr>
        <w:t>14</w:t>
      </w:r>
      <w:r>
        <w:rPr>
          <w:lang w:eastAsia="zh-CN"/>
        </w:rPr>
        <w:t>天至</w:t>
      </w:r>
      <w:r>
        <w:rPr>
          <w:lang w:eastAsia="zh-CN"/>
        </w:rPr>
        <w:t>2020</w:t>
      </w:r>
      <w:r>
        <w:rPr>
          <w:lang w:eastAsia="zh-CN"/>
        </w:rPr>
        <w:t>年</w:t>
      </w:r>
      <w:r>
        <w:rPr>
          <w:lang w:eastAsia="zh-CN"/>
        </w:rPr>
        <w:t>7</w:t>
      </w:r>
      <w:r>
        <w:rPr>
          <w:lang w:eastAsia="zh-CN"/>
        </w:rPr>
        <w:t>月</w:t>
      </w:r>
      <w:r>
        <w:rPr>
          <w:lang w:eastAsia="zh-CN"/>
        </w:rPr>
        <w:t>02</w:t>
      </w:r>
      <w:r>
        <w:rPr>
          <w:lang w:eastAsia="zh-CN"/>
        </w:rPr>
        <w:t>日。</w:t>
      </w:r>
    </w:p>
    <w:p w:rsidR="00960BCE" w:rsidRDefault="00DB6259">
      <w:pPr>
        <w:pStyle w:val="BodyText"/>
        <w:rPr>
          <w:lang w:eastAsia="zh-CN"/>
        </w:rPr>
      </w:pPr>
      <w:r>
        <w:rPr>
          <w:lang w:eastAsia="zh-CN"/>
        </w:rPr>
        <w:t xml:space="preserve">2. </w:t>
      </w:r>
      <w:r>
        <w:rPr>
          <w:lang w:eastAsia="zh-CN"/>
        </w:rPr>
        <w:t>股东大会及股东周年大会</w:t>
      </w:r>
    </w:p>
    <w:p w:rsidR="00960BCE" w:rsidRDefault="00DB6259">
      <w:pPr>
        <w:pStyle w:val="BodyText"/>
        <w:rPr>
          <w:lang w:eastAsia="zh-CN"/>
        </w:rPr>
      </w:pPr>
      <w:r>
        <w:rPr>
          <w:lang w:eastAsia="zh-CN"/>
        </w:rPr>
        <w:t>就股东大会及股东周年大会而言，继续遵从《禁止群组聚集规例》附表</w:t>
      </w:r>
      <w:r>
        <w:rPr>
          <w:lang w:eastAsia="zh-CN"/>
        </w:rPr>
        <w:t>1</w:t>
      </w:r>
      <w:r>
        <w:rPr>
          <w:lang w:eastAsia="zh-CN"/>
        </w:rPr>
        <w:t>第</w:t>
      </w:r>
      <w:r>
        <w:rPr>
          <w:lang w:eastAsia="zh-CN"/>
        </w:rPr>
        <w:t>11</w:t>
      </w:r>
      <w:r>
        <w:rPr>
          <w:lang w:eastAsia="zh-CN"/>
        </w:rPr>
        <w:t>段中的豁免条文（无修订保留）。有关豁免条文的更多信</w:t>
      </w:r>
      <w:r>
        <w:rPr>
          <w:lang w:eastAsia="zh-CN"/>
        </w:rPr>
        <w:t>息请参阅易周律师行法讯《放宽部分减少社交接触措施及其如何应用于</w:t>
      </w:r>
      <w:bookmarkStart w:id="0" w:name="_GoBack"/>
      <w:bookmarkEnd w:id="0"/>
      <w:r>
        <w:rPr>
          <w:lang w:eastAsia="zh-CN"/>
        </w:rPr>
        <w:t>股东大会》。</w:t>
      </w:r>
    </w:p>
    <w:p w:rsidR="00960BCE" w:rsidRDefault="00DB6259">
      <w:pPr>
        <w:pStyle w:val="BodyText"/>
        <w:rPr>
          <w:lang w:eastAsia="zh-CN"/>
        </w:rPr>
      </w:pPr>
      <w:r>
        <w:rPr>
          <w:lang w:eastAsia="zh-CN"/>
        </w:rPr>
        <w:t xml:space="preserve">3. </w:t>
      </w:r>
      <w:r>
        <w:rPr>
          <w:lang w:eastAsia="zh-CN"/>
        </w:rPr>
        <w:t>餐饮业务及酒吧</w:t>
      </w:r>
      <w:r>
        <w:rPr>
          <w:lang w:eastAsia="zh-CN"/>
        </w:rPr>
        <w:t>/</w:t>
      </w:r>
      <w:r>
        <w:rPr>
          <w:lang w:eastAsia="zh-CN"/>
        </w:rPr>
        <w:t>酒馆</w:t>
      </w:r>
    </w:p>
    <w:p w:rsidR="00960BCE" w:rsidRDefault="00DB6259">
      <w:pPr>
        <w:pStyle w:val="BodyText"/>
        <w:rPr>
          <w:lang w:eastAsia="zh-CN"/>
        </w:rPr>
      </w:pPr>
      <w:r>
        <w:rPr>
          <w:lang w:eastAsia="zh-CN"/>
        </w:rPr>
        <w:t>部分餐饮业务处所的群组聚集获豁免遵守《禁止群组聚集规例》中群组聚集人数限制规定。此外，就餐饮业务而言，撤销限制该等处所内同坐一桌的人数的要求，酒吧</w:t>
      </w:r>
      <w:r>
        <w:rPr>
          <w:lang w:eastAsia="zh-CN"/>
        </w:rPr>
        <w:t>/</w:t>
      </w:r>
      <w:r>
        <w:rPr>
          <w:lang w:eastAsia="zh-CN"/>
        </w:rPr>
        <w:t>酒馆内同坐一桌的人数则由一桌</w:t>
      </w:r>
      <w:r>
        <w:rPr>
          <w:lang w:eastAsia="zh-CN"/>
        </w:rPr>
        <w:t>4</w:t>
      </w:r>
      <w:r>
        <w:rPr>
          <w:lang w:eastAsia="zh-CN"/>
        </w:rPr>
        <w:t>人增加至一桌</w:t>
      </w:r>
      <w:r>
        <w:rPr>
          <w:lang w:eastAsia="zh-CN"/>
        </w:rPr>
        <w:t>8</w:t>
      </w:r>
      <w:r>
        <w:rPr>
          <w:lang w:eastAsia="zh-CN"/>
        </w:rPr>
        <w:t>人。餐饮业务，酒吧及酒馆将继续受某些限制规限（载列于《业务处所规例》），概述如下：</w:t>
      </w:r>
    </w:p>
    <w:tbl>
      <w:tblPr>
        <w:tblW w:w="10065"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611"/>
        <w:gridCol w:w="2776"/>
        <w:gridCol w:w="4678"/>
      </w:tblGrid>
      <w:tr w:rsidR="00DB6259" w:rsidRPr="008450D5" w:rsidTr="00D92310">
        <w:tc>
          <w:tcPr>
            <w:tcW w:w="1297" w:type="pct"/>
            <w:tcBorders>
              <w:top w:val="single" w:sz="6" w:space="0" w:color="000000"/>
              <w:left w:val="single" w:sz="6" w:space="0" w:color="000000"/>
              <w:bottom w:val="single" w:sz="6" w:space="0" w:color="000000"/>
              <w:right w:val="single" w:sz="6" w:space="0" w:color="000000"/>
            </w:tcBorders>
            <w:shd w:val="clear" w:color="auto" w:fill="FFFFFF"/>
          </w:tcPr>
          <w:p w:rsidR="00DB6259" w:rsidRPr="008450D5" w:rsidRDefault="00DB6259" w:rsidP="00D92310">
            <w:pPr>
              <w:spacing w:after="144" w:line="240" w:lineRule="atLeast"/>
              <w:jc w:val="center"/>
              <w:rPr>
                <w:rFonts w:asciiTheme="minorEastAsia" w:hAnsiTheme="minorEastAsia" w:cstheme="majorHAnsi"/>
                <w:b/>
                <w:bCs/>
                <w:color w:val="auto"/>
                <w:lang w:eastAsia="zh-CN"/>
              </w:rPr>
            </w:pPr>
          </w:p>
        </w:tc>
        <w:tc>
          <w:tcPr>
            <w:tcW w:w="1379"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DB6259" w:rsidRPr="008450D5" w:rsidRDefault="00DB6259" w:rsidP="00D92310">
            <w:pPr>
              <w:spacing w:after="144"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餐饮业务</w:t>
            </w:r>
          </w:p>
        </w:tc>
        <w:tc>
          <w:tcPr>
            <w:tcW w:w="232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DB6259" w:rsidRPr="008450D5" w:rsidRDefault="00DB6259" w:rsidP="00D92310">
            <w:pPr>
              <w:spacing w:after="144"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酒吧及酒馆</w:t>
            </w:r>
          </w:p>
        </w:tc>
      </w:tr>
      <w:tr w:rsidR="00DB6259" w:rsidRPr="008450D5" w:rsidTr="00D92310">
        <w:tc>
          <w:tcPr>
            <w:tcW w:w="129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144"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人数</w:t>
            </w:r>
            <w:r w:rsidRPr="008450D5">
              <w:rPr>
                <w:rFonts w:asciiTheme="minorEastAsia" w:hAnsiTheme="minorEastAsia" w:cstheme="majorHAnsi"/>
                <w:b/>
                <w:bCs/>
                <w:color w:val="auto"/>
                <w:lang w:eastAsia="zh-CN"/>
              </w:rPr>
              <w:t>/</w:t>
            </w:r>
            <w:r w:rsidRPr="008450D5">
              <w:rPr>
                <w:rFonts w:asciiTheme="minorEastAsia" w:hAnsiTheme="minorEastAsia" w:cstheme="majorHAnsi"/>
                <w:b/>
                <w:bCs/>
                <w:color w:val="auto"/>
                <w:lang w:eastAsia="zh-CN"/>
              </w:rPr>
              <w:t>座位数目限制</w:t>
            </w:r>
          </w:p>
        </w:tc>
        <w:tc>
          <w:tcPr>
            <w:tcW w:w="1379"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rPr>
            </w:pPr>
            <w:r w:rsidRPr="008450D5">
              <w:rPr>
                <w:rFonts w:asciiTheme="minorEastAsia" w:hAnsiTheme="minorEastAsia" w:cstheme="majorHAnsi"/>
                <w:color w:val="auto"/>
                <w:sz w:val="20"/>
                <w:szCs w:val="20"/>
                <w:lang w:eastAsia="zh-CN"/>
              </w:rPr>
              <w:t>同坐一桌人数无限制</w:t>
            </w:r>
          </w:p>
        </w:tc>
        <w:tc>
          <w:tcPr>
            <w:tcW w:w="232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lang w:eastAsia="zh-CN"/>
              </w:rPr>
            </w:pPr>
            <w:r w:rsidRPr="008450D5">
              <w:rPr>
                <w:rFonts w:asciiTheme="minorEastAsia" w:hAnsiTheme="minorEastAsia" w:cstheme="majorHAnsi"/>
                <w:color w:val="auto"/>
                <w:sz w:val="20"/>
                <w:szCs w:val="20"/>
                <w:lang w:eastAsia="zh-CN"/>
              </w:rPr>
              <w:t>最多</w:t>
            </w:r>
            <w:r w:rsidRPr="008450D5">
              <w:rPr>
                <w:rFonts w:asciiTheme="minorEastAsia" w:hAnsiTheme="minorEastAsia" w:cstheme="majorHAnsi"/>
                <w:color w:val="auto"/>
                <w:sz w:val="20"/>
                <w:szCs w:val="20"/>
                <w:lang w:eastAsia="zh-CN"/>
              </w:rPr>
              <w:t>8</w:t>
            </w:r>
            <w:r w:rsidRPr="008450D5">
              <w:rPr>
                <w:rFonts w:asciiTheme="minorEastAsia" w:hAnsiTheme="minorEastAsia" w:cstheme="majorHAnsi"/>
                <w:color w:val="auto"/>
                <w:sz w:val="20"/>
                <w:szCs w:val="20"/>
                <w:lang w:eastAsia="zh-CN"/>
              </w:rPr>
              <w:t>人同坐一桌。最多占座位数目的</w:t>
            </w:r>
            <w:r w:rsidRPr="008450D5">
              <w:rPr>
                <w:rFonts w:asciiTheme="minorEastAsia" w:hAnsiTheme="minorEastAsia" w:cstheme="majorHAnsi"/>
                <w:color w:val="auto"/>
                <w:sz w:val="20"/>
                <w:szCs w:val="20"/>
                <w:lang w:eastAsia="zh-CN"/>
              </w:rPr>
              <w:t>50%</w:t>
            </w:r>
          </w:p>
        </w:tc>
      </w:tr>
      <w:tr w:rsidR="00DB6259" w:rsidRPr="008450D5" w:rsidTr="00D92310">
        <w:tc>
          <w:tcPr>
            <w:tcW w:w="129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保持距离</w:t>
            </w:r>
          </w:p>
        </w:tc>
        <w:tc>
          <w:tcPr>
            <w:tcW w:w="3703"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lang w:eastAsia="zh-CN"/>
              </w:rPr>
            </w:pPr>
            <w:r w:rsidRPr="008450D5">
              <w:rPr>
                <w:rFonts w:asciiTheme="minorEastAsia" w:hAnsiTheme="minorEastAsia" w:cstheme="majorHAnsi"/>
                <w:color w:val="auto"/>
                <w:sz w:val="20"/>
                <w:szCs w:val="20"/>
                <w:lang w:eastAsia="zh-CN"/>
              </w:rPr>
              <w:t>桌子之间至少保持</w:t>
            </w:r>
            <w:r w:rsidRPr="008450D5">
              <w:rPr>
                <w:rFonts w:asciiTheme="minorEastAsia" w:hAnsiTheme="minorEastAsia" w:cstheme="majorHAnsi"/>
                <w:color w:val="auto"/>
                <w:sz w:val="20"/>
                <w:szCs w:val="20"/>
                <w:lang w:eastAsia="zh-CN"/>
              </w:rPr>
              <w:t>1.5</w:t>
            </w:r>
            <w:r w:rsidRPr="008450D5">
              <w:rPr>
                <w:rFonts w:asciiTheme="minorEastAsia" w:hAnsiTheme="minorEastAsia" w:cstheme="majorHAnsi"/>
                <w:color w:val="auto"/>
                <w:sz w:val="20"/>
                <w:szCs w:val="20"/>
                <w:lang w:eastAsia="zh-CN"/>
              </w:rPr>
              <w:t>米距离，或桌子之间设有有效隔板</w:t>
            </w:r>
          </w:p>
        </w:tc>
      </w:tr>
      <w:tr w:rsidR="00DB6259" w:rsidRPr="008450D5" w:rsidTr="00D92310">
        <w:tc>
          <w:tcPr>
            <w:tcW w:w="129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佩戴口罩规定</w:t>
            </w:r>
          </w:p>
        </w:tc>
        <w:tc>
          <w:tcPr>
            <w:tcW w:w="3703"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lang w:eastAsia="zh-CN"/>
              </w:rPr>
            </w:pPr>
            <w:r w:rsidRPr="008450D5">
              <w:rPr>
                <w:rFonts w:asciiTheme="minorEastAsia" w:hAnsiTheme="minorEastAsia" w:cstheme="majorHAnsi"/>
                <w:color w:val="auto"/>
                <w:sz w:val="20"/>
                <w:szCs w:val="20"/>
                <w:lang w:eastAsia="zh-CN"/>
              </w:rPr>
              <w:t>适用。顾客须一直佩戴口罩，饮食时除外。</w:t>
            </w:r>
          </w:p>
        </w:tc>
      </w:tr>
      <w:tr w:rsidR="00DB6259" w:rsidRPr="008450D5" w:rsidTr="00D92310">
        <w:tc>
          <w:tcPr>
            <w:tcW w:w="129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40" w:lineRule="atLeast"/>
              <w:jc w:val="center"/>
              <w:rPr>
                <w:rFonts w:asciiTheme="minorEastAsia" w:hAnsiTheme="minorEastAsia" w:cstheme="majorHAnsi"/>
                <w:b/>
                <w:bCs/>
                <w:color w:val="auto"/>
              </w:rPr>
            </w:pPr>
            <w:r w:rsidRPr="008450D5">
              <w:rPr>
                <w:rFonts w:asciiTheme="minorEastAsia" w:hAnsiTheme="minorEastAsia" w:cstheme="majorHAnsi"/>
                <w:b/>
                <w:bCs/>
                <w:color w:val="auto"/>
                <w:lang w:eastAsia="zh-CN"/>
              </w:rPr>
              <w:t>其他规定</w:t>
            </w:r>
          </w:p>
        </w:tc>
        <w:tc>
          <w:tcPr>
            <w:tcW w:w="1379"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rPr>
            </w:pPr>
            <w:r w:rsidRPr="008450D5">
              <w:rPr>
                <w:rFonts w:asciiTheme="minorEastAsia" w:hAnsiTheme="minorEastAsia" w:cstheme="majorHAnsi"/>
                <w:color w:val="auto"/>
                <w:sz w:val="20"/>
                <w:szCs w:val="20"/>
                <w:lang w:eastAsia="zh-CN"/>
              </w:rPr>
              <w:t>不适用</w:t>
            </w:r>
          </w:p>
        </w:tc>
        <w:tc>
          <w:tcPr>
            <w:tcW w:w="232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DB6259" w:rsidRPr="008450D5" w:rsidRDefault="00DB6259" w:rsidP="00D92310">
            <w:pPr>
              <w:spacing w:after="0" w:line="288" w:lineRule="atLeast"/>
              <w:ind w:left="300"/>
              <w:jc w:val="both"/>
              <w:textAlignment w:val="baseline"/>
              <w:rPr>
                <w:rFonts w:asciiTheme="minorEastAsia" w:hAnsiTheme="minorEastAsia" w:cstheme="majorHAnsi"/>
                <w:color w:val="auto"/>
                <w:sz w:val="20"/>
                <w:szCs w:val="20"/>
                <w:lang w:eastAsia="zh-CN"/>
              </w:rPr>
            </w:pPr>
            <w:r w:rsidRPr="008450D5">
              <w:rPr>
                <w:rFonts w:asciiTheme="minorEastAsia" w:hAnsiTheme="minorEastAsia" w:cstheme="majorHAnsi"/>
                <w:color w:val="auto"/>
                <w:sz w:val="20"/>
                <w:szCs w:val="20"/>
                <w:lang w:eastAsia="zh-CN"/>
              </w:rPr>
              <w:t>于该等处所内工作的人士及表演者，须一直佩戴口罩，除设有某种形式的隔板在该等人士</w:t>
            </w:r>
            <w:r w:rsidRPr="008450D5">
              <w:rPr>
                <w:rFonts w:asciiTheme="minorEastAsia" w:hAnsiTheme="minorEastAsia" w:cstheme="majorHAnsi"/>
                <w:color w:val="auto"/>
                <w:sz w:val="20"/>
                <w:szCs w:val="20"/>
                <w:lang w:eastAsia="zh-CN"/>
              </w:rPr>
              <w:t>/</w:t>
            </w:r>
            <w:r w:rsidRPr="008450D5">
              <w:rPr>
                <w:rFonts w:asciiTheme="minorEastAsia" w:hAnsiTheme="minorEastAsia" w:cstheme="majorHAnsi"/>
                <w:color w:val="auto"/>
                <w:sz w:val="20"/>
                <w:szCs w:val="20"/>
                <w:lang w:eastAsia="zh-CN"/>
              </w:rPr>
              <w:t>表演者及顾客等之间做出有效分隔外。</w:t>
            </w:r>
          </w:p>
        </w:tc>
      </w:tr>
    </w:tbl>
    <w:p w:rsidR="00960BCE" w:rsidRDefault="00DB6259">
      <w:pPr>
        <w:pStyle w:val="BodyText"/>
        <w:rPr>
          <w:lang w:eastAsia="zh-CN"/>
        </w:rPr>
      </w:pPr>
      <w:r>
        <w:rPr>
          <w:lang w:eastAsia="zh-CN"/>
        </w:rPr>
        <w:lastRenderedPageBreak/>
        <w:t>根据《预防及控制疾病条例》制定的《禁止群组聚集规例》及《业务处所规例》中有关豁免条文的完整清单请参阅香港特别行政区政府公告。</w:t>
      </w:r>
    </w:p>
    <w:p w:rsidR="00960BCE" w:rsidRDefault="00DB6259">
      <w:pPr>
        <w:pStyle w:val="DisclaimerBold"/>
        <w:rPr>
          <w:lang w:eastAsia="zh-CN"/>
        </w:rPr>
      </w:pPr>
      <w:r>
        <w:rPr>
          <w:lang w:eastAsia="zh-CN"/>
        </w:rPr>
        <w:t>此法讯仅为提供相关资料信息之用，其内容并</w:t>
      </w:r>
    </w:p>
    <w:p w:rsidR="00960BCE" w:rsidRDefault="00DB6259">
      <w:pPr>
        <w:pStyle w:val="Disclaimer"/>
        <w:rPr>
          <w:lang w:eastAsia="zh-CN"/>
        </w:rPr>
      </w:pPr>
      <w:r>
        <w:rPr>
          <w:lang w:eastAsia="zh-CN"/>
        </w:rPr>
        <w:t>不构成法律建议及个案的法律分析。</w:t>
      </w:r>
    </w:p>
    <w:p w:rsidR="00960BCE" w:rsidRDefault="00DB6259">
      <w:pPr>
        <w:pStyle w:val="Disclaimer"/>
        <w:rPr>
          <w:lang w:eastAsia="zh-CN"/>
        </w:rPr>
      </w:pPr>
      <w:r>
        <w:rPr>
          <w:lang w:eastAsia="zh-CN"/>
        </w:rPr>
        <w:t>此法讯的发送并不是为了在易周律师行与用户或浏览者之间建立一种律师与客户之关系。</w:t>
      </w:r>
    </w:p>
    <w:p w:rsidR="00960BCE" w:rsidRDefault="00DB6259">
      <w:pPr>
        <w:pStyle w:val="Disclaimer"/>
        <w:rPr>
          <w:lang w:eastAsia="zh-CN"/>
        </w:rPr>
      </w:pPr>
      <w:r>
        <w:rPr>
          <w:lang w:eastAsia="zh-CN"/>
        </w:rPr>
        <w:t>易周</w:t>
      </w:r>
      <w:r>
        <w:rPr>
          <w:lang w:eastAsia="zh-CN"/>
        </w:rPr>
        <w:t>律师行并不对可从互联网获得的任何第三方内容负责。</w:t>
      </w:r>
    </w:p>
    <w:p w:rsidR="00960BCE" w:rsidRDefault="00DB6259">
      <w:pPr>
        <w:pStyle w:val="Disclaimer"/>
        <w:rPr>
          <w:lang w:eastAsia="zh-CN"/>
        </w:rPr>
      </w:pPr>
      <w:r>
        <w:rPr>
          <w:lang w:eastAsia="zh-CN"/>
        </w:rPr>
        <w:t>如你不希望再收到易周法讯，请发送电邮至</w:t>
      </w:r>
      <w:r>
        <w:rPr>
          <w:lang w:eastAsia="zh-CN"/>
        </w:rPr>
        <w:t xml:space="preserve">  </w:t>
      </w:r>
      <w:hyperlink r:id="rId8">
        <w:r>
          <w:rPr>
            <w:lang w:eastAsia="zh-CN"/>
          </w:rPr>
          <w:t>unsubscribe@charltonslaw.com</w:t>
        </w:r>
      </w:hyperlink>
    </w:p>
    <w:p w:rsidR="00960BCE" w:rsidRDefault="00DB6259">
      <w:pPr>
        <w:pStyle w:val="BlackStrips"/>
      </w:pPr>
      <w:r>
        <w:t xml:space="preserve">Charltons - </w:t>
      </w:r>
      <w:r>
        <w:t>香港法律</w:t>
      </w:r>
      <w:r>
        <w:t xml:space="preserve"> - 2020</w:t>
      </w:r>
      <w:r>
        <w:t>年</w:t>
      </w:r>
      <w:r>
        <w:t>6</w:t>
      </w:r>
      <w:r>
        <w:t>月</w:t>
      </w:r>
      <w:r>
        <w:t>26</w:t>
      </w:r>
      <w:r>
        <w:t>日</w:t>
      </w:r>
    </w:p>
    <w:sectPr w:rsidR="00960BC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6259">
      <w:pPr>
        <w:spacing w:after="0"/>
      </w:pPr>
      <w:r>
        <w:separator/>
      </w:r>
    </w:p>
  </w:endnote>
  <w:endnote w:type="continuationSeparator" w:id="0">
    <w:p w:rsidR="00000000" w:rsidRDefault="00DB6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CE" w:rsidRDefault="00DB6259">
      <w:r>
        <w:separator/>
      </w:r>
    </w:p>
  </w:footnote>
  <w:footnote w:type="continuationSeparator" w:id="0">
    <w:p w:rsidR="00960BCE" w:rsidRDefault="00DB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DFFEB6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A02EAE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960BCE"/>
    <w:rsid w:val="00B86B75"/>
    <w:rsid w:val="00BC48D5"/>
    <w:rsid w:val="00C36279"/>
    <w:rsid w:val="00DB625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E17C"/>
  <w15:docId w15:val="{07A76C7D-DE9E-4707-BFAE-3A1B8D08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te-bie-xing-zheng-qu-zheng-fu-gong-bu-jin-yi-bu-fang-kuan-jian-shao-she-jiao-ju-li-cuo-s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215</Words>
  <Characters>1232</Characters>
  <Application>Microsoft Office Word</Application>
  <DocSecurity>0</DocSecurity>
  <Lines>10</Lines>
  <Paragraphs>2</Paragraphs>
  <ScaleCrop>false</ScaleCrop>
  <Company>Charltons</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2020-06-26T03:07:00Z</dcterms:created>
  <dcterms:modified xsi:type="dcterms:W3CDTF">2020-06-26T08:53:00Z</dcterms:modified>
</cp:coreProperties>
</file>