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3B1" w:rsidRDefault="008D11ED">
      <w:pPr>
        <w:pStyle w:val="BlackStrips"/>
      </w:pPr>
      <w:r>
        <w:t xml:space="preserve">Charltons - </w:t>
      </w:r>
      <w:r>
        <w:t>香港法律</w:t>
      </w:r>
      <w:r>
        <w:t xml:space="preserve"> - 2021</w:t>
      </w:r>
      <w:r>
        <w:t>年</w:t>
      </w:r>
      <w:r>
        <w:t>12</w:t>
      </w:r>
      <w:r>
        <w:t>月</w:t>
      </w:r>
      <w:r>
        <w:t>2</w:t>
      </w:r>
      <w:r>
        <w:t>日</w:t>
      </w:r>
    </w:p>
    <w:p w:rsidR="00BC13B1" w:rsidRDefault="008D11ED">
      <w:pPr>
        <w:pStyle w:val="ReadOnline"/>
        <w:rPr>
          <w:lang w:eastAsia="zh-CN"/>
        </w:rPr>
      </w:pPr>
      <w:hyperlink r:id="rId7">
        <w:r>
          <w:rPr>
            <w:lang w:eastAsia="zh-CN"/>
          </w:rPr>
          <w:t>online version</w:t>
        </w:r>
      </w:hyperlink>
    </w:p>
    <w:p w:rsidR="00BC13B1" w:rsidRDefault="008D11ED">
      <w:pPr>
        <w:pStyle w:val="Title"/>
        <w:rPr>
          <w:lang w:eastAsia="zh-CN"/>
        </w:rPr>
      </w:pPr>
      <w:r>
        <w:rPr>
          <w:lang w:eastAsia="zh-CN"/>
        </w:rPr>
        <w:t>香港财经事务及库务局完成对香港虚拟资产交易所发牌制度的咨询工作</w:t>
      </w:r>
    </w:p>
    <w:p w:rsidR="00BC13B1" w:rsidRDefault="008D11ED">
      <w:pPr>
        <w:pStyle w:val="FirstParagraph"/>
        <w:rPr>
          <w:lang w:eastAsia="zh-CN"/>
        </w:rPr>
      </w:pPr>
      <w:r>
        <w:rPr>
          <w:lang w:eastAsia="zh-CN"/>
        </w:rPr>
        <w:t>2021</w:t>
      </w:r>
      <w:r>
        <w:rPr>
          <w:lang w:eastAsia="zh-CN"/>
        </w:rPr>
        <w:t>年</w:t>
      </w:r>
      <w:r>
        <w:rPr>
          <w:lang w:eastAsia="zh-CN"/>
        </w:rPr>
        <w:t>05</w:t>
      </w:r>
      <w:r>
        <w:rPr>
          <w:lang w:eastAsia="zh-CN"/>
        </w:rPr>
        <w:t>月</w:t>
      </w:r>
      <w:r>
        <w:rPr>
          <w:lang w:eastAsia="zh-CN"/>
        </w:rPr>
        <w:t>21</w:t>
      </w:r>
      <w:r>
        <w:rPr>
          <w:lang w:eastAsia="zh-CN"/>
        </w:rPr>
        <w:t>日，香港财经事务及库务局就香港虚拟资产服务提供者刊发了《有关香港加强打击洗钱及恐怖分子资金筹集（</w:t>
      </w:r>
      <w:r>
        <w:rPr>
          <w:b/>
          <w:lang w:eastAsia="zh-CN"/>
        </w:rPr>
        <w:t>打击洗钱</w:t>
      </w:r>
      <w:r>
        <w:rPr>
          <w:b/>
          <w:lang w:eastAsia="zh-CN"/>
        </w:rPr>
        <w:t>/</w:t>
      </w:r>
      <w:r>
        <w:rPr>
          <w:b/>
          <w:lang w:eastAsia="zh-CN"/>
        </w:rPr>
        <w:t>恐怖分子资金筹集</w:t>
      </w:r>
      <w:r>
        <w:rPr>
          <w:lang w:eastAsia="zh-CN"/>
        </w:rPr>
        <w:t>）规管立法建议的咨询总结》</w:t>
      </w:r>
      <w:hyperlink w:anchor="footnote-8693-1">
        <w:r>
          <w:rPr>
            <w:vertAlign w:val="superscript"/>
            <w:lang w:eastAsia="zh-CN"/>
          </w:rPr>
          <w:t>1</w:t>
        </w:r>
      </w:hyperlink>
      <w:r>
        <w:rPr>
          <w:lang w:eastAsia="zh-CN"/>
        </w:rPr>
        <w:t>（</w:t>
      </w:r>
      <w:r>
        <w:rPr>
          <w:b/>
          <w:lang w:eastAsia="zh-CN"/>
        </w:rPr>
        <w:t>咨询总结</w:t>
      </w:r>
      <w:r>
        <w:rPr>
          <w:lang w:eastAsia="zh-CN"/>
        </w:rPr>
        <w:t>）。该等咨询总结内容是为回应财经事务及库务局于</w:t>
      </w:r>
      <w:r>
        <w:rPr>
          <w:lang w:eastAsia="zh-CN"/>
        </w:rPr>
        <w:t>2020</w:t>
      </w:r>
      <w:r>
        <w:rPr>
          <w:lang w:eastAsia="zh-CN"/>
        </w:rPr>
        <w:t>年</w:t>
      </w:r>
      <w:r>
        <w:rPr>
          <w:lang w:eastAsia="zh-CN"/>
        </w:rPr>
        <w:t>11</w:t>
      </w:r>
      <w:r>
        <w:rPr>
          <w:lang w:eastAsia="zh-CN"/>
        </w:rPr>
        <w:t>月发出的咨询文件</w:t>
      </w:r>
      <w:hyperlink w:anchor="footnote-8693-2">
        <w:r>
          <w:rPr>
            <w:vertAlign w:val="superscript"/>
            <w:lang w:eastAsia="zh-CN"/>
          </w:rPr>
          <w:t>2</w:t>
        </w:r>
      </w:hyperlink>
      <w:r>
        <w:rPr>
          <w:lang w:eastAsia="zh-CN"/>
        </w:rPr>
        <w:t>而作出，该份咨询文件中建议为香港的虚拟资产服务提供者建立一项新的发牌制度。有关该份咨询文件的详细讨论，</w:t>
      </w:r>
      <w:r>
        <w:rPr>
          <w:lang w:eastAsia="zh-CN"/>
        </w:rPr>
        <w:t>请参阅本所法讯《财经事务及库务局就虚拟资产交易所拟议设立发牌制度进行咨询》。</w:t>
      </w:r>
      <w:hyperlink w:anchor="footnote-8693-3">
        <w:r>
          <w:rPr>
            <w:vertAlign w:val="superscript"/>
            <w:lang w:eastAsia="zh-CN"/>
          </w:rPr>
          <w:t>3</w:t>
        </w:r>
      </w:hyperlink>
    </w:p>
    <w:p w:rsidR="00BC13B1" w:rsidRDefault="008D11ED">
      <w:pPr>
        <w:pStyle w:val="BodyText"/>
        <w:rPr>
          <w:lang w:eastAsia="zh-CN"/>
        </w:rPr>
      </w:pPr>
      <w:r>
        <w:rPr>
          <w:lang w:eastAsia="zh-CN"/>
        </w:rPr>
        <w:t>为减低虚拟资产造成的打击洗钱</w:t>
      </w:r>
      <w:r>
        <w:rPr>
          <w:lang w:eastAsia="zh-CN"/>
        </w:rPr>
        <w:t>/</w:t>
      </w:r>
      <w:r>
        <w:rPr>
          <w:lang w:eastAsia="zh-CN"/>
        </w:rPr>
        <w:t>恐怖分子资金筹集风险，财务行动特别组织（</w:t>
      </w:r>
      <w:r>
        <w:rPr>
          <w:b/>
          <w:lang w:eastAsia="zh-CN"/>
        </w:rPr>
        <w:t>特别组织</w:t>
      </w:r>
      <w:r>
        <w:rPr>
          <w:lang w:eastAsia="zh-CN"/>
        </w:rPr>
        <w:t>）现要求各个司法权区就打击洗钱</w:t>
      </w:r>
      <w:r>
        <w:rPr>
          <w:lang w:eastAsia="zh-CN"/>
        </w:rPr>
        <w:t>/</w:t>
      </w:r>
      <w:r>
        <w:rPr>
          <w:lang w:eastAsia="zh-CN"/>
        </w:rPr>
        <w:t>恐怖分子资金筹集事宜对虚拟资产服务提供者进行规管并监管其合规性。财经事务及库务局建议透过在《打击洗钱及恐怖分子资金筹集条例》（第</w:t>
      </w:r>
      <w:r>
        <w:rPr>
          <w:lang w:eastAsia="zh-CN"/>
        </w:rPr>
        <w:t>615</w:t>
      </w:r>
      <w:r>
        <w:rPr>
          <w:lang w:eastAsia="zh-CN"/>
        </w:rPr>
        <w:t>章）下建立香港虚拟资产服务提供者发牌制度以及作出部分杂项技术修订遵从特别组织的规定。财经事务及库务局建议在《打击</w:t>
      </w:r>
      <w:r>
        <w:rPr>
          <w:lang w:eastAsia="zh-CN"/>
        </w:rPr>
        <w:t>洗钱及恐怖分子资金筹集条例》下建立香港虚拟资产服务提供者发牌制度，这就要求任何有意在香港经营虚拟资产交易所的人须向证券及期货事务监察委员会（</w:t>
      </w:r>
      <w:r>
        <w:rPr>
          <w:b/>
          <w:lang w:eastAsia="zh-CN"/>
        </w:rPr>
        <w:t>证监会</w:t>
      </w:r>
      <w:r>
        <w:rPr>
          <w:lang w:eastAsia="zh-CN"/>
        </w:rPr>
        <w:t>）申请牌照。有人建议获发牌的虚拟资产服务提供者应遵守《打击洗钱及恐怖分子资金筹集条例》附表</w:t>
      </w:r>
      <w:r>
        <w:rPr>
          <w:lang w:eastAsia="zh-CN"/>
        </w:rPr>
        <w:t>2</w:t>
      </w:r>
      <w:r>
        <w:rPr>
          <w:lang w:eastAsia="zh-CN"/>
        </w:rPr>
        <w:t>中的打击洗钱</w:t>
      </w:r>
      <w:r>
        <w:rPr>
          <w:lang w:eastAsia="zh-CN"/>
        </w:rPr>
        <w:t>/</w:t>
      </w:r>
      <w:r>
        <w:rPr>
          <w:lang w:eastAsia="zh-CN"/>
        </w:rPr>
        <w:t>恐怖分子资金筹集规定以及其他监管规定。</w:t>
      </w:r>
    </w:p>
    <w:p w:rsidR="00BC13B1" w:rsidRDefault="008D11ED">
      <w:pPr>
        <w:pStyle w:val="BodyText"/>
        <w:rPr>
          <w:lang w:eastAsia="zh-CN"/>
        </w:rPr>
      </w:pPr>
      <w:r>
        <w:rPr>
          <w:lang w:eastAsia="zh-CN"/>
        </w:rPr>
        <w:t>该《咨询总结》亦概述了财经事务及库务局对建立贵重金属及宝石交易商两级注册制度建议的回应，相关内容本法讯中未涵盖。</w:t>
      </w:r>
    </w:p>
    <w:p w:rsidR="00BC13B1" w:rsidRDefault="008D11ED">
      <w:pPr>
        <w:pStyle w:val="BodyText"/>
        <w:rPr>
          <w:lang w:eastAsia="zh-CN"/>
        </w:rPr>
      </w:pPr>
      <w:r>
        <w:rPr>
          <w:lang w:eastAsia="zh-CN"/>
        </w:rPr>
        <w:t>财经事务及库务局有关在香港建立虚拟资产服务提供者发牌制度的建议</w:t>
      </w:r>
    </w:p>
    <w:p w:rsidR="00BC13B1" w:rsidRDefault="008D11ED">
      <w:pPr>
        <w:pStyle w:val="BodyText"/>
        <w:rPr>
          <w:lang w:eastAsia="zh-CN"/>
        </w:rPr>
      </w:pPr>
      <w:r>
        <w:rPr>
          <w:lang w:eastAsia="zh-CN"/>
        </w:rPr>
        <w:t xml:space="preserve">a. </w:t>
      </w:r>
      <w:r>
        <w:rPr>
          <w:lang w:eastAsia="zh-CN"/>
        </w:rPr>
        <w:t>经营香港虚拟资产交易所的受规管活动范</w:t>
      </w:r>
      <w:r>
        <w:rPr>
          <w:lang w:eastAsia="zh-CN"/>
        </w:rPr>
        <w:t>围</w:t>
      </w:r>
    </w:p>
    <w:p w:rsidR="00BC13B1" w:rsidRDefault="008D11ED">
      <w:pPr>
        <w:pStyle w:val="BodyText"/>
        <w:rPr>
          <w:lang w:eastAsia="zh-CN"/>
        </w:rPr>
      </w:pPr>
      <w:r>
        <w:rPr>
          <w:i/>
          <w:lang w:eastAsia="zh-CN"/>
        </w:rPr>
        <w:t>虚拟资产交易所定义</w:t>
      </w:r>
    </w:p>
    <w:p w:rsidR="00BC13B1" w:rsidRDefault="008D11ED">
      <w:pPr>
        <w:pStyle w:val="BodyText"/>
        <w:rPr>
          <w:lang w:eastAsia="zh-CN"/>
        </w:rPr>
      </w:pPr>
      <w:r>
        <w:rPr>
          <w:lang w:eastAsia="zh-CN"/>
        </w:rPr>
        <w:t>有人建议将经营虚拟资产交易所的业务指定为受规管活动（</w:t>
      </w:r>
      <w:r>
        <w:rPr>
          <w:b/>
          <w:lang w:eastAsia="zh-CN"/>
        </w:rPr>
        <w:t>受规管虚拟资产活动</w:t>
      </w:r>
      <w:r>
        <w:rPr>
          <w:lang w:eastAsia="zh-CN"/>
        </w:rPr>
        <w:t>）。虚拟资产交易所的定义包括具以下特征的交易平台：容许或邀请客户落盘，以货币或虚拟资产买入或卖出任何虚拟资产，并在业务过程中曾保管、操控、控制或管有任何货币或虚拟资产。</w:t>
      </w:r>
    </w:p>
    <w:p w:rsidR="00BC13B1" w:rsidRDefault="008D11ED">
      <w:pPr>
        <w:pStyle w:val="BodyText"/>
        <w:rPr>
          <w:lang w:eastAsia="zh-CN"/>
        </w:rPr>
      </w:pPr>
      <w:r>
        <w:rPr>
          <w:lang w:eastAsia="zh-CN"/>
        </w:rPr>
        <w:t>私人交易平台若不会在任何时间管有客户的金钱或虚拟资产，而实际交易在该平台外进行，则不属虚拟资产交易所定义的规管范围内。</w:t>
      </w:r>
    </w:p>
    <w:p w:rsidR="00BC13B1" w:rsidRDefault="008D11ED">
      <w:pPr>
        <w:pStyle w:val="BodyText"/>
        <w:rPr>
          <w:lang w:eastAsia="zh-CN"/>
        </w:rPr>
      </w:pPr>
      <w:r>
        <w:rPr>
          <w:lang w:eastAsia="zh-CN"/>
        </w:rPr>
        <w:t>属发牌制度范围的虚拟资产交易所将需根据《打击洗钱及恐怖分子资金筹集条例》向证监会申请牌照。</w:t>
      </w:r>
    </w:p>
    <w:p w:rsidR="00BC13B1" w:rsidRDefault="008D11ED">
      <w:pPr>
        <w:pStyle w:val="BodyText"/>
        <w:rPr>
          <w:lang w:eastAsia="zh-CN"/>
        </w:rPr>
      </w:pPr>
      <w:r>
        <w:rPr>
          <w:i/>
          <w:lang w:eastAsia="zh-CN"/>
        </w:rPr>
        <w:t>虚拟资产定义</w:t>
      </w:r>
    </w:p>
    <w:p w:rsidR="00BC13B1" w:rsidRDefault="008D11ED">
      <w:pPr>
        <w:pStyle w:val="BodyText"/>
        <w:rPr>
          <w:lang w:eastAsia="zh-CN"/>
        </w:rPr>
      </w:pPr>
      <w:r>
        <w:rPr>
          <w:lang w:eastAsia="zh-CN"/>
        </w:rPr>
        <w:t>虚拟资产的定义涵盖具以</w:t>
      </w:r>
      <w:r>
        <w:rPr>
          <w:lang w:eastAsia="zh-CN"/>
        </w:rPr>
        <w:t>下特征的以数码形式进行价值表达的：</w:t>
      </w:r>
    </w:p>
    <w:p w:rsidR="00BC13B1" w:rsidRDefault="008D11ED">
      <w:pPr>
        <w:pStyle w:val="Compact"/>
        <w:numPr>
          <w:ilvl w:val="0"/>
          <w:numId w:val="3"/>
        </w:numPr>
        <w:rPr>
          <w:lang w:eastAsia="zh-CN"/>
        </w:rPr>
      </w:pPr>
      <w:r>
        <w:rPr>
          <w:lang w:eastAsia="zh-CN"/>
        </w:rPr>
        <w:t>计算或储存资产价值的单位；</w:t>
      </w:r>
    </w:p>
    <w:p w:rsidR="00BC13B1" w:rsidRDefault="008D11ED">
      <w:pPr>
        <w:pStyle w:val="Compact"/>
        <w:numPr>
          <w:ilvl w:val="0"/>
          <w:numId w:val="3"/>
        </w:numPr>
        <w:rPr>
          <w:lang w:eastAsia="zh-CN"/>
        </w:rPr>
      </w:pPr>
      <w:r>
        <w:rPr>
          <w:lang w:eastAsia="zh-CN"/>
        </w:rPr>
        <w:t>其目的（或拟议目的）是作为公众接受的交易媒介，可作货物或服务付款、清偿债项或投资用途；和</w:t>
      </w:r>
    </w:p>
    <w:p w:rsidR="00BC13B1" w:rsidRDefault="008D11ED">
      <w:pPr>
        <w:pStyle w:val="Compact"/>
        <w:numPr>
          <w:ilvl w:val="0"/>
          <w:numId w:val="3"/>
        </w:numPr>
        <w:rPr>
          <w:lang w:eastAsia="zh-CN"/>
        </w:rPr>
      </w:pPr>
      <w:r>
        <w:rPr>
          <w:lang w:eastAsia="zh-CN"/>
        </w:rPr>
        <w:t>可透过电子方式转移、储存或买卖。</w:t>
      </w:r>
    </w:p>
    <w:p w:rsidR="00BC13B1" w:rsidRDefault="008D11ED">
      <w:pPr>
        <w:pStyle w:val="FirstParagraph"/>
        <w:rPr>
          <w:lang w:eastAsia="zh-CN"/>
        </w:rPr>
      </w:pPr>
      <w:r>
        <w:rPr>
          <w:lang w:eastAsia="zh-CN"/>
        </w:rPr>
        <w:lastRenderedPageBreak/>
        <w:t>虚拟资产的定义并不涵盖法定数码货币（包括中央银行发行的数码货币）、受《证券及期货条例》（第</w:t>
      </w:r>
      <w:r>
        <w:rPr>
          <w:lang w:eastAsia="zh-CN"/>
        </w:rPr>
        <w:t>571</w:t>
      </w:r>
      <w:r>
        <w:rPr>
          <w:lang w:eastAsia="zh-CN"/>
        </w:rPr>
        <w:t>章）规管的金融资产、现时单独受《支付系统及储值支付工具条例》（第</w:t>
      </w:r>
      <w:r>
        <w:rPr>
          <w:lang w:eastAsia="zh-CN"/>
        </w:rPr>
        <w:t>584</w:t>
      </w:r>
      <w:r>
        <w:rPr>
          <w:lang w:eastAsia="zh-CN"/>
        </w:rPr>
        <w:t>章）规管的储值支付工具和某些封闭式、有限用途产品。</w:t>
      </w:r>
    </w:p>
    <w:p w:rsidR="00BC13B1" w:rsidRDefault="008D11ED">
      <w:pPr>
        <w:pStyle w:val="BodyText"/>
        <w:rPr>
          <w:lang w:eastAsia="zh-CN"/>
        </w:rPr>
      </w:pPr>
      <w:r>
        <w:rPr>
          <w:lang w:eastAsia="zh-CN"/>
        </w:rPr>
        <w:t>封闭式、有限用途产品是指那些不可转移、交易或互换的产品，例如飞行里数、信用卡奖赏、礼品卡、顾客奖赏计划、游</w:t>
      </w:r>
      <w:r>
        <w:rPr>
          <w:lang w:eastAsia="zh-CN"/>
        </w:rPr>
        <w:t>戏代币等。</w:t>
      </w:r>
    </w:p>
    <w:p w:rsidR="00BC13B1" w:rsidRDefault="008D11ED">
      <w:pPr>
        <w:pStyle w:val="BodyText"/>
        <w:rPr>
          <w:lang w:eastAsia="zh-CN"/>
        </w:rPr>
      </w:pPr>
      <w:r>
        <w:rPr>
          <w:lang w:eastAsia="zh-CN"/>
        </w:rPr>
        <w:t>虚拟资产的定义适用于各种形式的虚拟货币，不论其价值稳定（例如「稳定币）」与否，亦不论其担保资产的类别。</w:t>
      </w:r>
    </w:p>
    <w:p w:rsidR="00BC13B1" w:rsidRDefault="008D11ED">
      <w:pPr>
        <w:pStyle w:val="BodyText"/>
        <w:rPr>
          <w:lang w:eastAsia="zh-CN"/>
        </w:rPr>
      </w:pPr>
      <w:r>
        <w:rPr>
          <w:lang w:eastAsia="zh-CN"/>
        </w:rPr>
        <w:t>财经事务及库务局认识到虚拟资产市场的不断发展，且为应对这一点，有人建议应确保法例具有弹性。在这种情况下，将赋权证监会订明构成虚拟资产定义的特质。此外，还会赋权香港财经事务及库务局局长就一般情况或指定情况决定以数码形式表达的价值可否被视为虚拟资产。</w:t>
      </w:r>
    </w:p>
    <w:p w:rsidR="00BC13B1" w:rsidRDefault="008D11ED">
      <w:pPr>
        <w:pStyle w:val="BodyText"/>
        <w:rPr>
          <w:lang w:eastAsia="zh-CN"/>
        </w:rPr>
      </w:pPr>
      <w:r>
        <w:rPr>
          <w:lang w:eastAsia="zh-CN"/>
        </w:rPr>
        <w:t xml:space="preserve">b. </w:t>
      </w:r>
      <w:r>
        <w:rPr>
          <w:lang w:eastAsia="zh-CN"/>
        </w:rPr>
        <w:t>香港虚拟资产交易所发牌条件</w:t>
      </w:r>
    </w:p>
    <w:p w:rsidR="00BC13B1" w:rsidRDefault="008D11ED">
      <w:pPr>
        <w:pStyle w:val="BodyText"/>
        <w:rPr>
          <w:lang w:eastAsia="zh-CN"/>
        </w:rPr>
      </w:pPr>
      <w:r>
        <w:rPr>
          <w:i/>
          <w:lang w:eastAsia="zh-CN"/>
        </w:rPr>
        <w:t>资格</w:t>
      </w:r>
    </w:p>
    <w:p w:rsidR="00BC13B1" w:rsidRDefault="008D11ED">
      <w:pPr>
        <w:pStyle w:val="BodyText"/>
        <w:rPr>
          <w:lang w:eastAsia="zh-CN"/>
        </w:rPr>
      </w:pPr>
      <w:r>
        <w:rPr>
          <w:lang w:eastAsia="zh-CN"/>
        </w:rPr>
        <w:t>财经事务及库务局最初建议只有在香港成立并有固定营业地点的公司，方会被考虑获批给香港虚拟资产服务提供者牌照。不</w:t>
      </w:r>
      <w:r>
        <w:rPr>
          <w:lang w:eastAsia="zh-CN"/>
        </w:rPr>
        <w:t>过，鉴于表示非香港公司亦须有资格获发牌的反馈，财经事务及库务局将其原先的提案进行了修订，即调整为亦准许在香港以外成立但是根据《公司条例》（第</w:t>
      </w:r>
      <w:r>
        <w:rPr>
          <w:lang w:eastAsia="zh-CN"/>
        </w:rPr>
        <w:t>622</w:t>
      </w:r>
      <w:r>
        <w:rPr>
          <w:lang w:eastAsia="zh-CN"/>
        </w:rPr>
        <w:t>章）在香港注册的公司申请香港虚拟资产服务提供者牌照。</w:t>
      </w:r>
    </w:p>
    <w:p w:rsidR="00BC13B1" w:rsidRDefault="008D11ED">
      <w:pPr>
        <w:pStyle w:val="BodyText"/>
        <w:rPr>
          <w:lang w:eastAsia="zh-CN"/>
        </w:rPr>
      </w:pPr>
      <w:r>
        <w:rPr>
          <w:lang w:eastAsia="zh-CN"/>
        </w:rPr>
        <w:t>不具备法人地位的自然人或商业模式并不符合资格申请香港虚拟资产服务提供者牌照。</w:t>
      </w:r>
    </w:p>
    <w:p w:rsidR="00BC13B1" w:rsidRDefault="008D11ED">
      <w:pPr>
        <w:pStyle w:val="BodyText"/>
        <w:rPr>
          <w:lang w:eastAsia="zh-CN"/>
        </w:rPr>
      </w:pPr>
      <w:r>
        <w:rPr>
          <w:i/>
          <w:lang w:eastAsia="zh-CN"/>
        </w:rPr>
        <w:t>负责人员的委任</w:t>
      </w:r>
    </w:p>
    <w:p w:rsidR="00BC13B1" w:rsidRDefault="008D11ED">
      <w:pPr>
        <w:pStyle w:val="BodyText"/>
        <w:rPr>
          <w:lang w:eastAsia="zh-CN"/>
        </w:rPr>
      </w:pPr>
      <w:r>
        <w:rPr>
          <w:lang w:eastAsia="zh-CN"/>
        </w:rPr>
        <w:t>发牌申请人将需委任最少两名负责人员。该负责人员将总体负责确保虚拟资产服务提供者遵守打击洗钱</w:t>
      </w:r>
      <w:r>
        <w:rPr>
          <w:lang w:eastAsia="zh-CN"/>
        </w:rPr>
        <w:t>/</w:t>
      </w:r>
      <w:r>
        <w:rPr>
          <w:lang w:eastAsia="zh-CN"/>
        </w:rPr>
        <w:t>恐怖分子资金筹集规定和其他规管要求。虚拟资产服务提供者的所有执行人员均须担任负责人员之职。</w:t>
      </w:r>
    </w:p>
    <w:p w:rsidR="00BC13B1" w:rsidRDefault="008D11ED">
      <w:pPr>
        <w:pStyle w:val="BodyText"/>
        <w:rPr>
          <w:lang w:eastAsia="zh-CN"/>
        </w:rPr>
      </w:pPr>
      <w:r>
        <w:rPr>
          <w:i/>
          <w:lang w:eastAsia="zh-CN"/>
        </w:rPr>
        <w:t>适当人选准则</w:t>
      </w:r>
    </w:p>
    <w:p w:rsidR="00BC13B1" w:rsidRDefault="008D11ED">
      <w:pPr>
        <w:pStyle w:val="BodyText"/>
        <w:rPr>
          <w:lang w:eastAsia="zh-CN"/>
        </w:rPr>
      </w:pPr>
      <w:r>
        <w:rPr>
          <w:lang w:eastAsia="zh-CN"/>
        </w:rPr>
        <w:t>申请人须符合适当人选准则，才可被考虑获发香港虚拟资产服务提供者牌照。其负责人员及最终拥有者亦须符合适当人选准则。证监会会基于以下方面（同时考虑其他各种相关因素）厘定个别人士是否属适当人选：</w:t>
      </w:r>
    </w:p>
    <w:p w:rsidR="00BC13B1" w:rsidRDefault="008D11ED">
      <w:pPr>
        <w:pStyle w:val="Compact"/>
        <w:numPr>
          <w:ilvl w:val="0"/>
          <w:numId w:val="4"/>
        </w:numPr>
        <w:rPr>
          <w:lang w:eastAsia="zh-CN"/>
        </w:rPr>
      </w:pPr>
      <w:r>
        <w:rPr>
          <w:lang w:eastAsia="zh-CN"/>
        </w:rPr>
        <w:t>该人士是否曾在任何地方被裁定干犯洗钱或恐怖分子资金筹集罪行或其他严重罪行，或曾被裁定与欺诈、舞弊或不诚实行为有关的罪行；</w:t>
      </w:r>
    </w:p>
    <w:p w:rsidR="00BC13B1" w:rsidRDefault="008D11ED">
      <w:pPr>
        <w:pStyle w:val="Compact"/>
        <w:numPr>
          <w:ilvl w:val="0"/>
          <w:numId w:val="4"/>
        </w:numPr>
        <w:rPr>
          <w:lang w:eastAsia="zh-CN"/>
        </w:rPr>
      </w:pPr>
      <w:r>
        <w:rPr>
          <w:lang w:eastAsia="zh-CN"/>
        </w:rPr>
        <w:t>该人士是否曾经违反或有可能不遵守适用于持牌虚拟资产服务提供者的打击洗钱</w:t>
      </w:r>
      <w:r>
        <w:rPr>
          <w:lang w:eastAsia="zh-CN"/>
        </w:rPr>
        <w:t>/</w:t>
      </w:r>
      <w:r>
        <w:rPr>
          <w:lang w:eastAsia="zh-CN"/>
        </w:rPr>
        <w:t>恐怖分子资金筹集规定或其他规管要求；</w:t>
      </w:r>
    </w:p>
    <w:p w:rsidR="00BC13B1" w:rsidRDefault="008D11ED">
      <w:pPr>
        <w:pStyle w:val="Compact"/>
        <w:numPr>
          <w:ilvl w:val="0"/>
          <w:numId w:val="4"/>
        </w:numPr>
        <w:rPr>
          <w:lang w:eastAsia="zh-CN"/>
        </w:rPr>
      </w:pPr>
      <w:r>
        <w:rPr>
          <w:lang w:eastAsia="zh-CN"/>
        </w:rPr>
        <w:t>该人士的经验和相关资历；以及</w:t>
      </w:r>
    </w:p>
    <w:p w:rsidR="00BC13B1" w:rsidRDefault="008D11ED">
      <w:pPr>
        <w:pStyle w:val="Compact"/>
        <w:numPr>
          <w:ilvl w:val="0"/>
          <w:numId w:val="4"/>
        </w:numPr>
        <w:rPr>
          <w:lang w:eastAsia="zh-CN"/>
        </w:rPr>
      </w:pPr>
      <w:r>
        <w:rPr>
          <w:lang w:eastAsia="zh-CN"/>
        </w:rPr>
        <w:t>该人士是否信誉良好和财政稳健。</w:t>
      </w:r>
    </w:p>
    <w:p w:rsidR="00BC13B1" w:rsidRDefault="008D11ED">
      <w:pPr>
        <w:pStyle w:val="FirstParagraph"/>
        <w:rPr>
          <w:lang w:eastAsia="zh-CN"/>
        </w:rPr>
      </w:pPr>
      <w:r>
        <w:rPr>
          <w:lang w:eastAsia="zh-CN"/>
        </w:rPr>
        <w:t xml:space="preserve">c. </w:t>
      </w:r>
      <w:r>
        <w:rPr>
          <w:lang w:eastAsia="zh-CN"/>
        </w:rPr>
        <w:t>香港持牌虚拟资产服务提</w:t>
      </w:r>
      <w:r>
        <w:rPr>
          <w:lang w:eastAsia="zh-CN"/>
        </w:rPr>
        <w:t>供者的规管要求</w:t>
      </w:r>
    </w:p>
    <w:p w:rsidR="00BC13B1" w:rsidRDefault="008D11ED">
      <w:pPr>
        <w:pStyle w:val="BodyText"/>
        <w:rPr>
          <w:lang w:eastAsia="zh-CN"/>
        </w:rPr>
      </w:pPr>
      <w:r>
        <w:rPr>
          <w:i/>
          <w:lang w:eastAsia="zh-CN"/>
        </w:rPr>
        <w:t>打击洗钱</w:t>
      </w:r>
      <w:r>
        <w:rPr>
          <w:i/>
          <w:lang w:eastAsia="zh-CN"/>
        </w:rPr>
        <w:t>/</w:t>
      </w:r>
      <w:r>
        <w:rPr>
          <w:i/>
          <w:lang w:eastAsia="zh-CN"/>
        </w:rPr>
        <w:t>恐怖分子资金筹集规定及其他规管要求</w:t>
      </w:r>
    </w:p>
    <w:p w:rsidR="00BC13B1" w:rsidRDefault="008D11ED">
      <w:pPr>
        <w:pStyle w:val="BodyText"/>
        <w:rPr>
          <w:lang w:eastAsia="zh-CN"/>
        </w:rPr>
      </w:pPr>
      <w:r>
        <w:rPr>
          <w:lang w:eastAsia="zh-CN"/>
        </w:rPr>
        <w:t>持牌虚拟资产服务提供者须遵守《打击洗钱及恐怖分子资金筹集条例》附表</w:t>
      </w:r>
      <w:r>
        <w:rPr>
          <w:lang w:eastAsia="zh-CN"/>
        </w:rPr>
        <w:t>2</w:t>
      </w:r>
      <w:r>
        <w:rPr>
          <w:lang w:eastAsia="zh-CN"/>
        </w:rPr>
        <w:t>所载列的打击洗钱</w:t>
      </w:r>
      <w:r>
        <w:rPr>
          <w:lang w:eastAsia="zh-CN"/>
        </w:rPr>
        <w:t>/</w:t>
      </w:r>
      <w:r>
        <w:rPr>
          <w:lang w:eastAsia="zh-CN"/>
        </w:rPr>
        <w:t>恐怖分子资金筹集规定，包括为客户尽职审查及备存记录方面的规定。持牌虚拟资产服务提供者亦须遵守额外的旨在针对保障投资者的规管要求。</w:t>
      </w:r>
    </w:p>
    <w:p w:rsidR="00BC13B1" w:rsidRDefault="008D11ED">
      <w:pPr>
        <w:pStyle w:val="BodyText"/>
        <w:rPr>
          <w:lang w:eastAsia="zh-CN"/>
        </w:rPr>
      </w:pPr>
      <w:r>
        <w:rPr>
          <w:lang w:eastAsia="zh-CN"/>
        </w:rPr>
        <w:t>为确保持牌虚拟资产服务提供者具备以符合发牌制度规定的方式经营虚拟资产交易所的能力和知识，持牌虚拟资产服务提供者亦须符合某些指明的规管要求，包括该虚拟资产服务提供者的财政</w:t>
      </w:r>
      <w:r>
        <w:rPr>
          <w:lang w:eastAsia="zh-CN"/>
        </w:rPr>
        <w:lastRenderedPageBreak/>
        <w:t>能力，知识和经验，业务稳健程度，风险管理，分隔和管理客户资产，财务汇报和披露，防止市场操控和违规活动，以及防止利益冲突。</w:t>
      </w:r>
    </w:p>
    <w:p w:rsidR="00BC13B1" w:rsidRDefault="008D11ED">
      <w:pPr>
        <w:pStyle w:val="BodyText"/>
        <w:rPr>
          <w:lang w:eastAsia="zh-CN"/>
        </w:rPr>
      </w:pPr>
      <w:r>
        <w:rPr>
          <w:lang w:eastAsia="zh-CN"/>
        </w:rPr>
        <w:t>财经事务及库务局已解释道，为减轻市场就紧接上文内容而讨论的规管期望提出的担忧，证监会会在发牌制度实施前准备及刊发一套详细的规管要求以作咨询。</w:t>
      </w:r>
    </w:p>
    <w:p w:rsidR="00BC13B1" w:rsidRDefault="008D11ED">
      <w:pPr>
        <w:pStyle w:val="BodyText"/>
        <w:rPr>
          <w:lang w:eastAsia="zh-CN"/>
        </w:rPr>
      </w:pPr>
      <w:r>
        <w:rPr>
          <w:i/>
          <w:lang w:eastAsia="zh-CN"/>
        </w:rPr>
        <w:t>专业投资者的限制</w:t>
      </w:r>
    </w:p>
    <w:p w:rsidR="00BC13B1" w:rsidRDefault="008D11ED">
      <w:pPr>
        <w:pStyle w:val="BodyText"/>
        <w:rPr>
          <w:lang w:eastAsia="zh-CN"/>
        </w:rPr>
      </w:pPr>
      <w:r>
        <w:rPr>
          <w:lang w:eastAsia="zh-CN"/>
        </w:rPr>
        <w:t>在该《咨询总结》中，财经事务及库务局指出收到的意见书中有超过</w:t>
      </w:r>
      <w:r>
        <w:rPr>
          <w:lang w:eastAsia="zh-CN"/>
        </w:rPr>
        <w:t>4</w:t>
      </w:r>
      <w:r>
        <w:rPr>
          <w:lang w:eastAsia="zh-CN"/>
        </w:rPr>
        <w:t>0%</w:t>
      </w:r>
      <w:r>
        <w:rPr>
          <w:lang w:eastAsia="zh-CN"/>
        </w:rPr>
        <w:t>支持容许散户投资者参与虚拟资产交易所的交易活动。但是，鉴于虚拟资产行业属新兴行业，其所牵涉的风险较传统金融市场为高，财经事务及库务局将只容许持牌虚拟资产服务提供者向专业投资者提供服务（</w:t>
      </w:r>
      <w:r>
        <w:rPr>
          <w:b/>
          <w:lang w:eastAsia="zh-CN"/>
        </w:rPr>
        <w:t>专业投资者要求</w:t>
      </w:r>
      <w:r>
        <w:rPr>
          <w:lang w:eastAsia="zh-CN"/>
        </w:rPr>
        <w:t>）。鉴于虚拟资产业务会带来的风险，特别是其属高科技行业并具有高度的投机性，财经事务及库务局认为专业投资者要求对于确保投资公众获得适度保障方面是必要的。不过，财经事务及库务局表示其将继续留意行业情况，待市场成熟时再检讨相关要求。</w:t>
      </w:r>
    </w:p>
    <w:p w:rsidR="00BC13B1" w:rsidRDefault="008D11ED">
      <w:pPr>
        <w:pStyle w:val="BodyText"/>
        <w:rPr>
          <w:lang w:eastAsia="zh-CN"/>
        </w:rPr>
      </w:pPr>
      <w:r>
        <w:rPr>
          <w:lang w:eastAsia="zh-CN"/>
        </w:rPr>
        <w:t xml:space="preserve">d. </w:t>
      </w:r>
      <w:r>
        <w:rPr>
          <w:lang w:eastAsia="zh-CN"/>
        </w:rPr>
        <w:t>香港开放式牌照</w:t>
      </w:r>
    </w:p>
    <w:p w:rsidR="00BC13B1" w:rsidRDefault="008D11ED">
      <w:pPr>
        <w:pStyle w:val="BodyText"/>
        <w:rPr>
          <w:lang w:eastAsia="zh-CN"/>
        </w:rPr>
      </w:pPr>
      <w:r>
        <w:rPr>
          <w:lang w:eastAsia="zh-CN"/>
        </w:rPr>
        <w:t>牌照将持续有效，除非被证监会撤销。财经事务及库务局认识到持牌</w:t>
      </w:r>
      <w:r>
        <w:rPr>
          <w:lang w:eastAsia="zh-CN"/>
        </w:rPr>
        <w:t>虚拟资产服务提供者须作出相当大的投资以营运具竞争力的虚拟资产交易所。因此，财经事务及库务局认为开放式牌照对于在营运环境中提供一定程度的确定性而言是必要的。一些回应者认为有必要进行定期检讨，以确保持牌虚拟资产服务提供者交易所能妥当地进行受规管的虚拟资产活动。然而，鉴于证监会持续拥有检视及在适当的时候撤销牌照的权力，财经事务及库务局认为这并非必要。证监会会持续密切监管持牌虚拟资产服务提供者的操守及运作，且具备采取处分行动的必要权力，例如在虚拟资产服务提供者行为不当或者不符合适当人选准则时暂时吊销或撤销其牌照。</w:t>
      </w:r>
    </w:p>
    <w:p w:rsidR="00BC13B1" w:rsidRDefault="008D11ED">
      <w:pPr>
        <w:pStyle w:val="BodyText"/>
        <w:rPr>
          <w:lang w:eastAsia="zh-CN"/>
        </w:rPr>
      </w:pPr>
      <w:r>
        <w:rPr>
          <w:lang w:eastAsia="zh-CN"/>
        </w:rPr>
        <w:t xml:space="preserve">e. </w:t>
      </w:r>
      <w:r>
        <w:rPr>
          <w:lang w:eastAsia="zh-CN"/>
        </w:rPr>
        <w:t>香港关于虚拟资产服务提供者发牌条件的豁免和限制</w:t>
      </w:r>
    </w:p>
    <w:p w:rsidR="00BC13B1" w:rsidRDefault="008D11ED">
      <w:pPr>
        <w:pStyle w:val="BodyText"/>
        <w:rPr>
          <w:lang w:eastAsia="zh-CN"/>
        </w:rPr>
      </w:pPr>
      <w:r>
        <w:rPr>
          <w:lang w:eastAsia="zh-CN"/>
        </w:rPr>
        <w:t>除了在自愿发牌制度下受到证监会根据《证券及期货条例》作为持牌法团监管的虚拟资产交易所外，财经事务及库务局不会就虚拟资产服务提供者发牌条件另外提供任何豁免。</w:t>
      </w:r>
    </w:p>
    <w:p w:rsidR="00BC13B1" w:rsidRDefault="008D11ED">
      <w:pPr>
        <w:pStyle w:val="BodyText"/>
        <w:rPr>
          <w:lang w:eastAsia="zh-CN"/>
        </w:rPr>
      </w:pPr>
      <w:r>
        <w:rPr>
          <w:lang w:eastAsia="zh-CN"/>
        </w:rPr>
        <w:t>为了避免投资者因无牌虚拟资产交易所而蒙受风险，财经事务及库务局亦会禁止非持牌虚拟资产服务提供者在香港或境外向香港公众积极推广受规管的虚拟资产活动或者香港以外其他地方开展的类似活动。</w:t>
      </w:r>
    </w:p>
    <w:p w:rsidR="00BC13B1" w:rsidRDefault="008D11ED">
      <w:pPr>
        <w:pStyle w:val="BodyText"/>
        <w:rPr>
          <w:lang w:eastAsia="zh-CN"/>
        </w:rPr>
      </w:pPr>
      <w:r>
        <w:rPr>
          <w:i/>
          <w:lang w:eastAsia="zh-CN"/>
        </w:rPr>
        <w:t>180</w:t>
      </w:r>
      <w:r>
        <w:rPr>
          <w:i/>
          <w:lang w:eastAsia="zh-CN"/>
        </w:rPr>
        <w:t>日宽限期</w:t>
      </w:r>
    </w:p>
    <w:p w:rsidR="00BC13B1" w:rsidRDefault="008D11ED">
      <w:pPr>
        <w:pStyle w:val="BodyText"/>
        <w:rPr>
          <w:lang w:eastAsia="zh-CN"/>
        </w:rPr>
      </w:pPr>
      <w:r>
        <w:rPr>
          <w:lang w:eastAsia="zh-CN"/>
        </w:rPr>
        <w:t>就虚拟资产服务提供者发牌制度生效时正在开展受规管虚拟资产活动的交易所而言，财经事务及库务局建议向该等交易</w:t>
      </w:r>
      <w:r>
        <w:rPr>
          <w:lang w:eastAsia="zh-CN"/>
        </w:rPr>
        <w:t>所提供</w:t>
      </w:r>
      <w:r>
        <w:rPr>
          <w:lang w:eastAsia="zh-CN"/>
        </w:rPr>
        <w:t>180</w:t>
      </w:r>
      <w:r>
        <w:rPr>
          <w:lang w:eastAsia="zh-CN"/>
        </w:rPr>
        <w:t>日过渡期，用以取得证监会牌照。虽然对该提案存在各种回应，其中一些回应者要求提供更长的过渡期，而其他回应者则建议申请者在提交发牌申请后即可被视为已持牌，但是财经事务及库务局最终决定维持</w:t>
      </w:r>
      <w:r>
        <w:rPr>
          <w:lang w:eastAsia="zh-CN"/>
        </w:rPr>
        <w:t>180</w:t>
      </w:r>
      <w:r>
        <w:rPr>
          <w:lang w:eastAsia="zh-CN"/>
        </w:rPr>
        <w:t>日的过渡期，亦认为其足以让申请人提交申请。</w:t>
      </w:r>
    </w:p>
    <w:p w:rsidR="00BC13B1" w:rsidRDefault="008D11ED">
      <w:pPr>
        <w:pStyle w:val="BodyText"/>
        <w:rPr>
          <w:lang w:eastAsia="zh-CN"/>
        </w:rPr>
      </w:pPr>
      <w:r>
        <w:rPr>
          <w:lang w:eastAsia="zh-CN"/>
        </w:rPr>
        <w:t xml:space="preserve">f. </w:t>
      </w:r>
      <w:r>
        <w:rPr>
          <w:lang w:eastAsia="zh-CN"/>
        </w:rPr>
        <w:t>证监会对持牌虚拟资产交易所的权力</w:t>
      </w:r>
    </w:p>
    <w:p w:rsidR="00BC13B1" w:rsidRDefault="008D11ED">
      <w:pPr>
        <w:pStyle w:val="BodyText"/>
        <w:rPr>
          <w:lang w:eastAsia="zh-CN"/>
        </w:rPr>
      </w:pPr>
      <w:r>
        <w:rPr>
          <w:lang w:eastAsia="zh-CN"/>
        </w:rPr>
        <w:t>证监会将获赋权监管持牌虚拟资产服务提供者执行《打击洗钱及恐怖分子资金筹集条例》下的打击洗钱</w:t>
      </w:r>
      <w:r>
        <w:rPr>
          <w:lang w:eastAsia="zh-CN"/>
        </w:rPr>
        <w:t>/</w:t>
      </w:r>
      <w:r>
        <w:rPr>
          <w:lang w:eastAsia="zh-CN"/>
        </w:rPr>
        <w:t>恐怖分子资金筹集法规规定及其他责任。</w:t>
      </w:r>
    </w:p>
    <w:p w:rsidR="00BC13B1" w:rsidRDefault="008D11ED">
      <w:pPr>
        <w:pStyle w:val="BodyText"/>
        <w:rPr>
          <w:lang w:eastAsia="zh-CN"/>
        </w:rPr>
      </w:pPr>
      <w:r>
        <w:rPr>
          <w:lang w:eastAsia="zh-CN"/>
        </w:rPr>
        <w:t>证监会将获赋权进入持牌虚拟资产服务提供者及其有联系实体的业务处所进行例行视察、要求提供文件和其他纪</w:t>
      </w:r>
      <w:r>
        <w:rPr>
          <w:lang w:eastAsia="zh-CN"/>
        </w:rPr>
        <w:t>录、调查违规情况及对违规行为施加行政处分（包括上文提及的暂时吊销或撤销牌照）。此外，证监会将获赋权在某些情况下且有必要时限制或者禁止持牌虚拟资产服务提供者及其有联系实体的运作，例如为保障客户资产而必要的情况。该等权利包含禁止交易或者限制处置财产的权力。</w:t>
      </w:r>
    </w:p>
    <w:p w:rsidR="00BC13B1" w:rsidRDefault="008D11ED">
      <w:pPr>
        <w:pStyle w:val="BodyText"/>
        <w:rPr>
          <w:lang w:eastAsia="zh-CN"/>
        </w:rPr>
      </w:pPr>
      <w:r>
        <w:rPr>
          <w:i/>
          <w:lang w:eastAsia="zh-CN"/>
        </w:rPr>
        <w:t>法定上诉范围</w:t>
      </w:r>
    </w:p>
    <w:p w:rsidR="00BC13B1" w:rsidRDefault="008D11ED">
      <w:pPr>
        <w:pStyle w:val="BodyText"/>
        <w:rPr>
          <w:lang w:eastAsia="zh-CN"/>
        </w:rPr>
      </w:pPr>
      <w:r>
        <w:rPr>
          <w:lang w:eastAsia="zh-CN"/>
        </w:rPr>
        <w:lastRenderedPageBreak/>
        <w:t>打击洗钱及恐怖分子资金筹集覆核审裁处可以处理的覆核决定范围将进一步扩展，涵盖就证监会未来在实施虚拟资产服务提供者发牌和监管制度下所作出的相关决定而提出的上诉。</w:t>
      </w:r>
    </w:p>
    <w:p w:rsidR="00BC13B1" w:rsidRDefault="008D11ED">
      <w:pPr>
        <w:pStyle w:val="BodyText"/>
        <w:rPr>
          <w:lang w:eastAsia="zh-CN"/>
        </w:rPr>
      </w:pPr>
      <w:r>
        <w:rPr>
          <w:lang w:eastAsia="zh-CN"/>
        </w:rPr>
        <w:t xml:space="preserve">g. </w:t>
      </w:r>
      <w:r>
        <w:rPr>
          <w:lang w:eastAsia="zh-CN"/>
        </w:rPr>
        <w:t>无牌虚拟资产活动，不遵守规管要求及其他罪行的罚则</w:t>
      </w:r>
    </w:p>
    <w:p w:rsidR="00BC13B1" w:rsidRDefault="008D11ED">
      <w:pPr>
        <w:pStyle w:val="BodyText"/>
        <w:rPr>
          <w:lang w:eastAsia="zh-CN"/>
        </w:rPr>
      </w:pPr>
      <w:r>
        <w:rPr>
          <w:lang w:eastAsia="zh-CN"/>
        </w:rPr>
        <w:t>根据新的虚拟资产服务提供者发</w:t>
      </w:r>
      <w:r>
        <w:rPr>
          <w:lang w:eastAsia="zh-CN"/>
        </w:rPr>
        <w:t>牌制度，将针对无牌活动及不遵守规管要求的情况订立行政及刑事罚则。行政罚则包括针对违反打击洗钱</w:t>
      </w:r>
      <w:r>
        <w:rPr>
          <w:lang w:eastAsia="zh-CN"/>
        </w:rPr>
        <w:t>/</w:t>
      </w:r>
      <w:r>
        <w:rPr>
          <w:lang w:eastAsia="zh-CN"/>
        </w:rPr>
        <w:t>恐怖分子资金筹集规定或其他规管要求等失当行为而暂时吊销或撤销牌照、谴责、勒令作出纠正和罚款（最高金额为</w:t>
      </w:r>
      <w:r>
        <w:rPr>
          <w:lang w:eastAsia="zh-CN"/>
        </w:rPr>
        <w:t>1,000</w:t>
      </w:r>
      <w:r>
        <w:rPr>
          <w:lang w:eastAsia="zh-CN"/>
        </w:rPr>
        <w:t>万美元，或获取的利润或避免的损失所涉金额的三倍，以金额较高者为准）。</w:t>
      </w:r>
    </w:p>
    <w:p w:rsidR="00BC13B1" w:rsidRDefault="008D11ED">
      <w:pPr>
        <w:pStyle w:val="BodyText"/>
        <w:rPr>
          <w:lang w:eastAsia="zh-CN"/>
        </w:rPr>
      </w:pPr>
      <w:r>
        <w:rPr>
          <w:lang w:eastAsia="zh-CN"/>
        </w:rPr>
        <w:t>建议的刑事罚则摘要如下表：</w:t>
      </w:r>
    </w:p>
    <w:tbl>
      <w:tblPr>
        <w:tblW w:w="5000" w:type="pct"/>
        <w:tblLook w:val="07E0" w:firstRow="1" w:lastRow="1" w:firstColumn="1" w:lastColumn="1" w:noHBand="1" w:noVBand="1"/>
      </w:tblPr>
      <w:tblGrid>
        <w:gridCol w:w="5236"/>
        <w:gridCol w:w="5158"/>
      </w:tblGrid>
      <w:tr w:rsidR="00BC13B1">
        <w:tc>
          <w:tcPr>
            <w:tcW w:w="0" w:type="auto"/>
            <w:tcBorders>
              <w:bottom w:val="single" w:sz="0" w:space="0" w:color="auto"/>
            </w:tcBorders>
            <w:vAlign w:val="bottom"/>
          </w:tcPr>
          <w:p w:rsidR="00BC13B1" w:rsidRDefault="008D11ED">
            <w:r>
              <w:rPr>
                <w:b/>
              </w:rPr>
              <w:t>行为</w:t>
            </w:r>
            <w:r>
              <w:rPr>
                <w:b/>
              </w:rPr>
              <w:t>/</w:t>
            </w:r>
            <w:r>
              <w:rPr>
                <w:b/>
              </w:rPr>
              <w:t>犯罪</w:t>
            </w:r>
          </w:p>
        </w:tc>
        <w:tc>
          <w:tcPr>
            <w:tcW w:w="0" w:type="auto"/>
            <w:tcBorders>
              <w:bottom w:val="single" w:sz="0" w:space="0" w:color="auto"/>
            </w:tcBorders>
            <w:vAlign w:val="bottom"/>
          </w:tcPr>
          <w:p w:rsidR="00BC13B1" w:rsidRDefault="008D11ED">
            <w:r>
              <w:rPr>
                <w:b/>
              </w:rPr>
              <w:t>处罚</w:t>
            </w:r>
          </w:p>
        </w:tc>
      </w:tr>
      <w:tr w:rsidR="00BC13B1">
        <w:tc>
          <w:tcPr>
            <w:tcW w:w="0" w:type="auto"/>
          </w:tcPr>
          <w:p w:rsidR="00BC13B1" w:rsidRDefault="008D11ED">
            <w:pPr>
              <w:rPr>
                <w:lang w:eastAsia="zh-CN"/>
              </w:rPr>
            </w:pPr>
            <w:r>
              <w:rPr>
                <w:lang w:eastAsia="zh-CN"/>
              </w:rPr>
              <w:t>无牌进行受规管的虚拟资产活动</w:t>
            </w:r>
          </w:p>
        </w:tc>
        <w:tc>
          <w:tcPr>
            <w:tcW w:w="0" w:type="auto"/>
          </w:tcPr>
          <w:p w:rsidR="00BC13B1" w:rsidRDefault="008D11ED">
            <w:pPr>
              <w:rPr>
                <w:lang w:eastAsia="zh-CN"/>
              </w:rPr>
            </w:pPr>
            <w:r>
              <w:rPr>
                <w:lang w:eastAsia="zh-CN"/>
              </w:rPr>
              <w:t>罚款</w:t>
            </w:r>
            <w:r>
              <w:rPr>
                <w:lang w:eastAsia="zh-CN"/>
              </w:rPr>
              <w:t>500</w:t>
            </w:r>
            <w:r>
              <w:rPr>
                <w:lang w:eastAsia="zh-CN"/>
              </w:rPr>
              <w:t>万港元和监禁</w:t>
            </w:r>
            <w:r>
              <w:rPr>
                <w:lang w:eastAsia="zh-CN"/>
              </w:rPr>
              <w:t>7</w:t>
            </w:r>
            <w:r>
              <w:rPr>
                <w:lang w:eastAsia="zh-CN"/>
              </w:rPr>
              <w:t>年；以及如属持续的罪行：就该罪行持续期间的每一日，另处罚款</w:t>
            </w:r>
            <w:r>
              <w:rPr>
                <w:lang w:eastAsia="zh-CN"/>
              </w:rPr>
              <w:t>10</w:t>
            </w:r>
            <w:r>
              <w:rPr>
                <w:lang w:eastAsia="zh-CN"/>
              </w:rPr>
              <w:t>万港元</w:t>
            </w:r>
          </w:p>
        </w:tc>
      </w:tr>
      <w:tr w:rsidR="00BC13B1">
        <w:tc>
          <w:tcPr>
            <w:tcW w:w="0" w:type="auto"/>
          </w:tcPr>
          <w:p w:rsidR="00BC13B1" w:rsidRDefault="008D11ED">
            <w:pPr>
              <w:rPr>
                <w:lang w:eastAsia="zh-CN"/>
              </w:rPr>
            </w:pPr>
            <w:r>
              <w:rPr>
                <w:lang w:eastAsia="zh-CN"/>
              </w:rPr>
              <w:t>在与虚拟资产服务提供者牌照申请相关的情况下，就任何要项作出虚假、具欺骗性或具误导性的陈述</w:t>
            </w:r>
          </w:p>
        </w:tc>
        <w:tc>
          <w:tcPr>
            <w:tcW w:w="0" w:type="auto"/>
          </w:tcPr>
          <w:p w:rsidR="00BC13B1" w:rsidRDefault="008D11ED">
            <w:r>
              <w:t>罚款</w:t>
            </w:r>
            <w:r>
              <w:t>100</w:t>
            </w:r>
            <w:r>
              <w:t>万港元及监禁</w:t>
            </w:r>
            <w:r>
              <w:t>2</w:t>
            </w:r>
            <w:r>
              <w:t>年</w:t>
            </w:r>
          </w:p>
        </w:tc>
      </w:tr>
      <w:tr w:rsidR="00BC13B1">
        <w:tc>
          <w:tcPr>
            <w:tcW w:w="0" w:type="auto"/>
          </w:tcPr>
          <w:p w:rsidR="00BC13B1" w:rsidRDefault="008D11ED">
            <w:pPr>
              <w:rPr>
                <w:lang w:eastAsia="zh-CN"/>
              </w:rPr>
            </w:pPr>
            <w:r>
              <w:rPr>
                <w:lang w:eastAsia="zh-CN"/>
              </w:rPr>
              <w:t>违反打击洗钱</w:t>
            </w:r>
            <w:r>
              <w:rPr>
                <w:lang w:eastAsia="zh-CN"/>
              </w:rPr>
              <w:t>/</w:t>
            </w:r>
            <w:r>
              <w:rPr>
                <w:lang w:eastAsia="zh-CN"/>
              </w:rPr>
              <w:t>恐怖分子资金筹集的法定要求</w:t>
            </w:r>
          </w:p>
        </w:tc>
        <w:tc>
          <w:tcPr>
            <w:tcW w:w="0" w:type="auto"/>
          </w:tcPr>
          <w:p w:rsidR="00BC13B1" w:rsidRDefault="008D11ED">
            <w:r>
              <w:t>罚款</w:t>
            </w:r>
            <w:r>
              <w:t>100</w:t>
            </w:r>
            <w:r>
              <w:t>万港元及监禁</w:t>
            </w:r>
            <w:r>
              <w:t>2</w:t>
            </w:r>
            <w:r>
              <w:t>年</w:t>
            </w:r>
          </w:p>
        </w:tc>
      </w:tr>
      <w:tr w:rsidR="00BC13B1">
        <w:tc>
          <w:tcPr>
            <w:tcW w:w="0" w:type="auto"/>
          </w:tcPr>
          <w:p w:rsidR="00BC13B1" w:rsidRDefault="008D11ED">
            <w:pPr>
              <w:rPr>
                <w:lang w:eastAsia="zh-CN"/>
              </w:rPr>
            </w:pPr>
            <w:r>
              <w:rPr>
                <w:lang w:eastAsia="zh-CN"/>
              </w:rPr>
              <w:t>为诱使他人购入或出售虚拟资产而作出有欺诈成分或罔顾实情的失实陈述</w:t>
            </w:r>
          </w:p>
        </w:tc>
        <w:tc>
          <w:tcPr>
            <w:tcW w:w="0" w:type="auto"/>
          </w:tcPr>
          <w:p w:rsidR="00BC13B1" w:rsidRDefault="008D11ED">
            <w:r>
              <w:t>罚款</w:t>
            </w:r>
            <w:r>
              <w:t>100</w:t>
            </w:r>
            <w:r>
              <w:t>万港元及监禁</w:t>
            </w:r>
            <w:r>
              <w:t>2</w:t>
            </w:r>
            <w:r>
              <w:t>年</w:t>
            </w:r>
          </w:p>
        </w:tc>
      </w:tr>
    </w:tbl>
    <w:p w:rsidR="00BC13B1" w:rsidRDefault="008D11ED">
      <w:pPr>
        <w:pStyle w:val="BodyText"/>
        <w:rPr>
          <w:lang w:eastAsia="zh-CN"/>
        </w:rPr>
      </w:pPr>
      <w:r>
        <w:rPr>
          <w:lang w:eastAsia="zh-CN"/>
        </w:rPr>
        <w:t>对《打击洗钱及恐怖分子资金筹集条例》作出技术修订</w:t>
      </w:r>
    </w:p>
    <w:p w:rsidR="00BC13B1" w:rsidRDefault="008D11ED">
      <w:pPr>
        <w:pStyle w:val="BodyText"/>
        <w:rPr>
          <w:lang w:eastAsia="zh-CN"/>
        </w:rPr>
      </w:pPr>
      <w:r>
        <w:rPr>
          <w:lang w:eastAsia="zh-CN"/>
        </w:rPr>
        <w:t>为处理《特别组织对香港的相互评估报告》中提出的技术性事宜，财经事务及库务局建议对《打击洗钱及恐怖分子资金筹集条例》作出若干技术修订。</w:t>
      </w:r>
    </w:p>
    <w:p w:rsidR="00BC13B1" w:rsidRDefault="008D11ED">
      <w:pPr>
        <w:numPr>
          <w:ilvl w:val="0"/>
          <w:numId w:val="5"/>
        </w:numPr>
      </w:pPr>
      <w:r>
        <w:rPr>
          <w:i/>
        </w:rPr>
        <w:t>政治人物一词的定义</w:t>
      </w:r>
    </w:p>
    <w:p w:rsidR="00BC13B1" w:rsidRDefault="008D11ED">
      <w:pPr>
        <w:numPr>
          <w:ilvl w:val="0"/>
          <w:numId w:val="1"/>
        </w:numPr>
        <w:rPr>
          <w:lang w:eastAsia="zh-CN"/>
        </w:rPr>
      </w:pPr>
      <w:r>
        <w:rPr>
          <w:lang w:eastAsia="zh-CN"/>
        </w:rPr>
        <w:t>根据特别组织的要求，修订「政治人物」一词的定义，并赋权监管机构制订指引，容许根据风险程度考虑豁免对前政治人物进行更严格的客户尽职审查。</w:t>
      </w:r>
    </w:p>
    <w:p w:rsidR="00BC13B1" w:rsidRDefault="008D11ED">
      <w:pPr>
        <w:numPr>
          <w:ilvl w:val="0"/>
          <w:numId w:val="5"/>
        </w:numPr>
      </w:pPr>
      <w:r>
        <w:rPr>
          <w:i/>
        </w:rPr>
        <w:t>信托的实益拥有权</w:t>
      </w:r>
    </w:p>
    <w:p w:rsidR="00BC13B1" w:rsidRDefault="008D11ED">
      <w:pPr>
        <w:numPr>
          <w:ilvl w:val="0"/>
          <w:numId w:val="1"/>
        </w:numPr>
        <w:rPr>
          <w:lang w:eastAsia="zh-CN"/>
        </w:rPr>
      </w:pPr>
      <w:r>
        <w:rPr>
          <w:lang w:eastAsia="zh-CN"/>
        </w:rPr>
        <w:t>修订《打击洗钱及恐怖分子资金筹集条例》下信托中「实益拥有人」的定义，使之与《税务条例》（第</w:t>
      </w:r>
      <w:r>
        <w:rPr>
          <w:lang w:eastAsia="zh-CN"/>
        </w:rPr>
        <w:t>112</w:t>
      </w:r>
      <w:r>
        <w:rPr>
          <w:lang w:eastAsia="zh-CN"/>
        </w:rPr>
        <w:t>章）下「控权人」的定义更为一致，订明「实益拥有人」包括受托人、受益人和受益人类别。</w:t>
      </w:r>
    </w:p>
    <w:p w:rsidR="00BC13B1" w:rsidRDefault="008D11ED">
      <w:pPr>
        <w:numPr>
          <w:ilvl w:val="0"/>
          <w:numId w:val="5"/>
        </w:numPr>
      </w:pPr>
      <w:r>
        <w:rPr>
          <w:i/>
        </w:rPr>
        <w:t>非面对面情况</w:t>
      </w:r>
    </w:p>
    <w:p w:rsidR="00BC13B1" w:rsidRDefault="008D11ED">
      <w:pPr>
        <w:numPr>
          <w:ilvl w:val="0"/>
          <w:numId w:val="1"/>
        </w:numPr>
        <w:rPr>
          <w:lang w:eastAsia="zh-CN"/>
        </w:rPr>
      </w:pPr>
      <w:r>
        <w:rPr>
          <w:lang w:eastAsia="zh-CN"/>
        </w:rPr>
        <w:t>容许在客户没有亲身进行身分识别和核实的情况下使用数码身分识别系统以协助执行客户尽职审查。</w:t>
      </w:r>
    </w:p>
    <w:p w:rsidR="00BC13B1" w:rsidRDefault="008D11ED">
      <w:pPr>
        <w:numPr>
          <w:ilvl w:val="0"/>
          <w:numId w:val="5"/>
        </w:numPr>
      </w:pPr>
      <w:r>
        <w:rPr>
          <w:i/>
        </w:rPr>
        <w:t>无牌金钱服务经营</w:t>
      </w:r>
    </w:p>
    <w:p w:rsidR="00BC13B1" w:rsidRDefault="008D11ED">
      <w:pPr>
        <w:numPr>
          <w:ilvl w:val="0"/>
          <w:numId w:val="1"/>
        </w:numPr>
        <w:rPr>
          <w:lang w:eastAsia="zh-CN"/>
        </w:rPr>
      </w:pPr>
      <w:r>
        <w:rPr>
          <w:lang w:eastAsia="zh-CN"/>
        </w:rPr>
        <w:t>将针对无牌经营金钱服务的处罚水平提高至罚款</w:t>
      </w:r>
      <w:r>
        <w:rPr>
          <w:lang w:eastAsia="zh-CN"/>
        </w:rPr>
        <w:t>100</w:t>
      </w:r>
      <w:r>
        <w:rPr>
          <w:lang w:eastAsia="zh-CN"/>
        </w:rPr>
        <w:t>万港元及</w:t>
      </w:r>
      <w:r>
        <w:rPr>
          <w:lang w:eastAsia="zh-CN"/>
        </w:rPr>
        <w:t>监禁</w:t>
      </w:r>
      <w:r>
        <w:rPr>
          <w:lang w:eastAsia="zh-CN"/>
        </w:rPr>
        <w:t>2</w:t>
      </w:r>
      <w:r>
        <w:rPr>
          <w:lang w:eastAsia="zh-CN"/>
        </w:rPr>
        <w:t>年。</w:t>
      </w:r>
    </w:p>
    <w:p w:rsidR="00BC13B1" w:rsidRDefault="008D11ED">
      <w:pPr>
        <w:numPr>
          <w:ilvl w:val="0"/>
          <w:numId w:val="5"/>
        </w:numPr>
      </w:pPr>
      <w:r>
        <w:rPr>
          <w:i/>
        </w:rPr>
        <w:t>监管资料交换</w:t>
      </w:r>
    </w:p>
    <w:p w:rsidR="00BC13B1" w:rsidRDefault="008D11ED">
      <w:pPr>
        <w:numPr>
          <w:ilvl w:val="0"/>
          <w:numId w:val="1"/>
        </w:numPr>
        <w:rPr>
          <w:lang w:eastAsia="zh-CN"/>
        </w:rPr>
      </w:pPr>
      <w:r>
        <w:rPr>
          <w:lang w:eastAsia="zh-CN"/>
        </w:rPr>
        <w:lastRenderedPageBreak/>
        <w:t>将赋权规管机构交换打击洗钱</w:t>
      </w:r>
      <w:r>
        <w:rPr>
          <w:lang w:eastAsia="zh-CN"/>
        </w:rPr>
        <w:t>/</w:t>
      </w:r>
      <w:r>
        <w:rPr>
          <w:lang w:eastAsia="zh-CN"/>
        </w:rPr>
        <w:t>恐怖分子资金筹集监管资料的各类香港条例中订立的各项不同条文整合成为《打击洗钱及恐怖分子资金筹集条例》下的单一条文。</w:t>
      </w:r>
    </w:p>
    <w:p w:rsidR="00BC13B1" w:rsidRDefault="008D11ED">
      <w:pPr>
        <w:pStyle w:val="FirstParagraph"/>
        <w:rPr>
          <w:lang w:eastAsia="zh-CN"/>
        </w:rPr>
      </w:pPr>
      <w:r>
        <w:rPr>
          <w:lang w:eastAsia="zh-CN"/>
        </w:rPr>
        <w:t>该《咨询总结》的实施</w:t>
      </w:r>
    </w:p>
    <w:p w:rsidR="00BC13B1" w:rsidRDefault="008D11ED">
      <w:pPr>
        <w:pStyle w:val="BodyText"/>
        <w:rPr>
          <w:lang w:eastAsia="zh-CN"/>
        </w:rPr>
      </w:pPr>
      <w:r>
        <w:rPr>
          <w:lang w:eastAsia="zh-CN"/>
        </w:rPr>
        <w:t>香港政府现着手基于该份《咨询总结》拟备修订条例草案，目标是在</w:t>
      </w:r>
      <w:r>
        <w:rPr>
          <w:lang w:eastAsia="zh-CN"/>
        </w:rPr>
        <w:t>2021-22</w:t>
      </w:r>
      <w:r>
        <w:rPr>
          <w:lang w:eastAsia="zh-CN"/>
        </w:rPr>
        <w:t>年立法年度内提交予立法会。</w:t>
      </w:r>
    </w:p>
    <w:p w:rsidR="00BC13B1" w:rsidRDefault="008D11ED" w:rsidP="00F32FE1">
      <w:pPr>
        <w:pStyle w:val="BodyText"/>
        <w:jc w:val="left"/>
      </w:pPr>
      <w:hyperlink w:anchor="footnote-8693-1-backlink">
        <w:r>
          <w:t>1</w:t>
        </w:r>
      </w:hyperlink>
      <w:r>
        <w:t xml:space="preserve"> </w:t>
      </w:r>
      <w:hyperlink r:id="rId8">
        <w:r>
          <w:t>https://www.fstb.gov.hk/fsb/tc/publication/consult/doc/consult_conclu_amlo_c.pdf</w:t>
        </w:r>
      </w:hyperlink>
    </w:p>
    <w:p w:rsidR="00BC13B1" w:rsidRDefault="008D11ED" w:rsidP="00F32FE1">
      <w:pPr>
        <w:pStyle w:val="BodyText"/>
        <w:jc w:val="left"/>
      </w:pPr>
      <w:hyperlink w:anchor="footnote-8693-2-backlink">
        <w:r>
          <w:t>2</w:t>
        </w:r>
      </w:hyperlink>
      <w:r>
        <w:t xml:space="preserve"> </w:t>
      </w:r>
      <w:hyperlink r:id="rId9">
        <w:r>
          <w:t>https://www.fstb.gov.hk/fsb/tc/publication/consult/doc/consult_amlo_c.pdf</w:t>
        </w:r>
      </w:hyperlink>
    </w:p>
    <w:p w:rsidR="00BC13B1" w:rsidRDefault="008D11ED" w:rsidP="00F32FE1">
      <w:pPr>
        <w:pStyle w:val="BodyText"/>
        <w:jc w:val="left"/>
      </w:pPr>
      <w:hyperlink w:anchor="footnote-8693-3-backlink">
        <w:r>
          <w:t>3</w:t>
        </w:r>
      </w:hyperlink>
      <w:r>
        <w:t xml:space="preserve"> </w:t>
      </w:r>
      <w:hyperlink r:id="rId10">
        <w:r>
          <w:t>https://www.charltonslaw.com/fstb-consults-on-proposed-licensing-regime-for-virtual-asset-exchanges/</w:t>
        </w:r>
      </w:hyperlink>
    </w:p>
    <w:p w:rsidR="00BC13B1" w:rsidRDefault="008D11ED">
      <w:pPr>
        <w:pStyle w:val="DisclaimerBold"/>
        <w:rPr>
          <w:lang w:eastAsia="zh-CN"/>
        </w:rPr>
      </w:pPr>
      <w:r>
        <w:rPr>
          <w:lang w:eastAsia="zh-CN"/>
        </w:rPr>
        <w:t>此法讯仅为提供相关资料信息之用，其内容并</w:t>
      </w:r>
    </w:p>
    <w:p w:rsidR="00BC13B1" w:rsidRDefault="008D11ED">
      <w:pPr>
        <w:pStyle w:val="Disclaimer"/>
        <w:rPr>
          <w:lang w:eastAsia="zh-CN"/>
        </w:rPr>
      </w:pPr>
      <w:r>
        <w:rPr>
          <w:lang w:eastAsia="zh-CN"/>
        </w:rPr>
        <w:t>不构成法律建议及个案的法律分析。</w:t>
      </w:r>
    </w:p>
    <w:p w:rsidR="00BC13B1" w:rsidRDefault="008D11ED">
      <w:pPr>
        <w:pStyle w:val="Disclaimer"/>
        <w:rPr>
          <w:lang w:eastAsia="zh-CN"/>
        </w:rPr>
      </w:pPr>
      <w:r>
        <w:rPr>
          <w:lang w:eastAsia="zh-CN"/>
        </w:rPr>
        <w:t>此法讯的发送并不是为了在易周律师行与用户或浏览者之间建立一种律师与客户之关系。</w:t>
      </w:r>
    </w:p>
    <w:p w:rsidR="00BC13B1" w:rsidRDefault="008D11ED">
      <w:pPr>
        <w:pStyle w:val="Disclaimer"/>
        <w:rPr>
          <w:lang w:eastAsia="zh-CN"/>
        </w:rPr>
      </w:pPr>
      <w:r>
        <w:rPr>
          <w:lang w:eastAsia="zh-CN"/>
        </w:rPr>
        <w:t>易周律师行并不对可从互联网获得的任何第三方内容负责</w:t>
      </w:r>
      <w:r>
        <w:rPr>
          <w:lang w:eastAsia="zh-CN"/>
        </w:rPr>
        <w:t>。</w:t>
      </w:r>
    </w:p>
    <w:p w:rsidR="00BC13B1" w:rsidRDefault="008D11ED">
      <w:pPr>
        <w:pStyle w:val="Disclaimer"/>
        <w:rPr>
          <w:lang w:eastAsia="zh-CN"/>
        </w:rPr>
      </w:pPr>
      <w:r>
        <w:rPr>
          <w:lang w:eastAsia="zh-CN"/>
        </w:rPr>
        <w:t>如你不希望再收到易周法讯，请发送电邮至</w:t>
      </w:r>
      <w:r>
        <w:rPr>
          <w:lang w:eastAsia="zh-CN"/>
        </w:rPr>
        <w:t xml:space="preserve">  </w:t>
      </w:r>
      <w:hyperlink r:id="rId11">
        <w:r>
          <w:rPr>
            <w:lang w:eastAsia="zh-CN"/>
          </w:rPr>
          <w:t>unsubscribe@charltonslaw.com</w:t>
        </w:r>
      </w:hyperlink>
    </w:p>
    <w:p w:rsidR="00BC13B1" w:rsidRDefault="008D11ED">
      <w:pPr>
        <w:pStyle w:val="BlackStrips"/>
      </w:pPr>
      <w:r>
        <w:t xml:space="preserve">Charltons - </w:t>
      </w:r>
      <w:r>
        <w:t>香港法律</w:t>
      </w:r>
      <w:r>
        <w:t xml:space="preserve"> - 2021</w:t>
      </w:r>
      <w:r>
        <w:t>年</w:t>
      </w:r>
      <w:r>
        <w:t>12</w:t>
      </w:r>
      <w:r>
        <w:t>月</w:t>
      </w:r>
      <w:r>
        <w:t>2</w:t>
      </w:r>
      <w:r>
        <w:t>日</w:t>
      </w:r>
      <w:bookmarkStart w:id="0" w:name="_GoBack"/>
      <w:bookmarkEnd w:id="0"/>
    </w:p>
    <w:sectPr w:rsidR="00BC13B1">
      <w:pgSz w:w="11906" w:h="16838"/>
      <w:pgMar w:top="864" w:right="864" w:bottom="864" w:left="864" w:header="0" w:footer="0" w:gutter="0"/>
      <w:cols w:space="720"/>
      <w:formProt w:val="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11ED" w:rsidRDefault="008D11ED">
      <w:pPr>
        <w:spacing w:after="0"/>
      </w:pPr>
      <w:r>
        <w:separator/>
      </w:r>
    </w:p>
  </w:endnote>
  <w:endnote w:type="continuationSeparator" w:id="0">
    <w:p w:rsidR="008D11ED" w:rsidRDefault="008D11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11ED" w:rsidRDefault="008D11ED">
      <w:r>
        <w:separator/>
      </w:r>
    </w:p>
  </w:footnote>
  <w:footnote w:type="continuationSeparator" w:id="0">
    <w:p w:rsidR="008D11ED" w:rsidRDefault="008D11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088080F8"/>
    <w:lvl w:ilvl="0">
      <w:start w:val="1"/>
      <w:numFmt w:val="lowerRoman"/>
      <w:lvlText w:val="%1."/>
      <w:lvlJc w:val="left"/>
      <w:pPr>
        <w:tabs>
          <w:tab w:val="num" w:pos="0"/>
        </w:tabs>
        <w:ind w:left="480" w:hanging="480"/>
      </w:pPr>
    </w:lvl>
    <w:lvl w:ilvl="1">
      <w:start w:val="1"/>
      <w:numFmt w:val="lowerRoman"/>
      <w:lvlText w:val="%2."/>
      <w:lvlJc w:val="left"/>
      <w:pPr>
        <w:tabs>
          <w:tab w:val="num" w:pos="720"/>
        </w:tabs>
        <w:ind w:left="1200" w:hanging="480"/>
      </w:pPr>
    </w:lvl>
    <w:lvl w:ilvl="2">
      <w:start w:val="1"/>
      <w:numFmt w:val="lowerRoman"/>
      <w:lvlText w:val="%3."/>
      <w:lvlJc w:val="left"/>
      <w:pPr>
        <w:tabs>
          <w:tab w:val="num" w:pos="1440"/>
        </w:tabs>
        <w:ind w:left="1920" w:hanging="480"/>
      </w:pPr>
    </w:lvl>
    <w:lvl w:ilvl="3">
      <w:start w:val="1"/>
      <w:numFmt w:val="lowerRoman"/>
      <w:lvlText w:val="%4."/>
      <w:lvlJc w:val="left"/>
      <w:pPr>
        <w:tabs>
          <w:tab w:val="num" w:pos="2160"/>
        </w:tabs>
        <w:ind w:left="2640" w:hanging="480"/>
      </w:pPr>
    </w:lvl>
    <w:lvl w:ilvl="4">
      <w:start w:val="1"/>
      <w:numFmt w:val="lowerRoman"/>
      <w:lvlText w:val="%5."/>
      <w:lvlJc w:val="left"/>
      <w:pPr>
        <w:tabs>
          <w:tab w:val="num" w:pos="2880"/>
        </w:tabs>
        <w:ind w:left="3360" w:hanging="480"/>
      </w:pPr>
    </w:lvl>
    <w:lvl w:ilvl="5">
      <w:start w:val="1"/>
      <w:numFmt w:val="lowerRoman"/>
      <w:lvlText w:val="%6."/>
      <w:lvlJc w:val="left"/>
      <w:pPr>
        <w:tabs>
          <w:tab w:val="num" w:pos="3600"/>
        </w:tabs>
        <w:ind w:left="4080" w:hanging="480"/>
      </w:pPr>
    </w:lvl>
    <w:lvl w:ilvl="6">
      <w:start w:val="1"/>
      <w:numFmt w:val="lowerRoman"/>
      <w:lvlText w:val="%7."/>
      <w:lvlJc w:val="left"/>
      <w:pPr>
        <w:tabs>
          <w:tab w:val="num" w:pos="4320"/>
        </w:tabs>
        <w:ind w:left="4800" w:hanging="480"/>
      </w:pPr>
    </w:lvl>
    <w:lvl w:ilvl="7">
      <w:start w:val="1"/>
      <w:numFmt w:val="lowerRoman"/>
      <w:lvlText w:val="%8."/>
      <w:lvlJc w:val="left"/>
      <w:pPr>
        <w:tabs>
          <w:tab w:val="num" w:pos="5040"/>
        </w:tabs>
        <w:ind w:left="5520" w:hanging="480"/>
      </w:pPr>
    </w:lvl>
    <w:lvl w:ilvl="8">
      <w:start w:val="1"/>
      <w:numFmt w:val="lowerRoman"/>
      <w:lvlText w:val="%9."/>
      <w:lvlJc w:val="left"/>
      <w:pPr>
        <w:tabs>
          <w:tab w:val="num" w:pos="5760"/>
        </w:tabs>
        <w:ind w:left="6240" w:hanging="480"/>
      </w:pPr>
    </w:lvl>
  </w:abstractNum>
  <w:abstractNum w:abstractNumId="1" w15:restartNumberingAfterBreak="0">
    <w:nsid w:val="170CD2DE"/>
    <w:multiLevelType w:val="multilevel"/>
    <w:tmpl w:val="B8F87F9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2C1AE401"/>
    <w:multiLevelType w:val="multilevel"/>
    <w:tmpl w:val="52F0125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3" w15:restartNumberingAfterBreak="0">
    <w:nsid w:val="71315DCA"/>
    <w:multiLevelType w:val="multilevel"/>
    <w:tmpl w:val="29AE7086"/>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start w:val="1"/>
      <w:numFmt w:val="lowerLetter"/>
      <w:lvlText w:val="%8."/>
      <w:lvlJc w:val="left"/>
      <w:pPr>
        <w:tabs>
          <w:tab w:val="num" w:pos="5040"/>
        </w:tabs>
        <w:ind w:left="5520" w:hanging="480"/>
      </w:pPr>
    </w:lvl>
    <w:lvl w:ilvl="8">
      <w:start w:val="1"/>
      <w:numFmt w:val="lowerLetter"/>
      <w:lvlText w:val="%9."/>
      <w:lvlJc w:val="left"/>
      <w:pPr>
        <w:tabs>
          <w:tab w:val="num" w:pos="5760"/>
        </w:tabs>
        <w:ind w:left="6240" w:hanging="480"/>
      </w:pPr>
    </w:lvl>
  </w:abstractNum>
  <w:num w:numId="1">
    <w:abstractNumId w:val="1"/>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
  <w:rsids>
    <w:rsidRoot w:val="00590D07"/>
    <w:rsid w:val="00011C8B"/>
    <w:rsid w:val="004E29B3"/>
    <w:rsid w:val="00590D07"/>
    <w:rsid w:val="00784D58"/>
    <w:rsid w:val="008D11ED"/>
    <w:rsid w:val="008D6863"/>
    <w:rsid w:val="00B86B75"/>
    <w:rsid w:val="00BC13B1"/>
    <w:rsid w:val="00BC48D5"/>
    <w:rsid w:val="00C36279"/>
    <w:rsid w:val="00E315A3"/>
    <w:rsid w:val="00F32FE1"/>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ADD51E-8138-4BF9-8B5C-5B67499B1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rPr>
      <w:color w:val="00000A"/>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C0143C"/>
      <w:sz w:val="32"/>
      <w:szCs w:val="32"/>
    </w:rPr>
  </w:style>
  <w:style w:type="paragraph" w:styleId="Heading2">
    <w:name w:val="heading 2"/>
    <w:basedOn w:val="Normal"/>
    <w:uiPriority w:val="9"/>
    <w:unhideWhenUsed/>
    <w:qFormat/>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uiPriority w:val="9"/>
    <w:unhideWhenUsed/>
    <w:qFormat/>
    <w:pPr>
      <w:keepNext/>
      <w:keepLines/>
      <w:spacing w:before="200" w:after="0"/>
      <w:outlineLvl w:val="2"/>
    </w:pPr>
    <w:rPr>
      <w:rFonts w:asciiTheme="majorHAnsi" w:eastAsiaTheme="majorEastAsia" w:hAnsiTheme="majorHAnsi" w:cstheme="majorBidi"/>
      <w:b/>
      <w:bCs/>
      <w:color w:val="C0143C"/>
      <w:sz w:val="28"/>
      <w:szCs w:val="28"/>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
      <w:bCs/>
      <w:color w:val="C0143C"/>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
      <w:iCs/>
      <w:color w:val="C0143C"/>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C0143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link w:val="SourceCode"/>
    <w:qFormat/>
    <w:rPr>
      <w:rFonts w:ascii="Consolas" w:hAnsi="Consolas"/>
      <w:sz w:val="22"/>
    </w:rPr>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C0143C"/>
    </w:rPr>
  </w:style>
  <w:style w:type="paragraph" w:customStyle="1" w:styleId="Heading">
    <w:name w:val="Heading"/>
    <w:basedOn w:val="Normal"/>
    <w:next w:val="BodyText"/>
    <w:qFormat/>
    <w:pPr>
      <w:keepNext/>
      <w:spacing w:before="240" w:after="120"/>
    </w:pPr>
    <w:rPr>
      <w:rFonts w:ascii="Liberation Sans" w:eastAsia="Microsoft YaHei" w:hAnsi="Liberation Sans" w:cs="Arial Unicode MS"/>
      <w:sz w:val="28"/>
      <w:szCs w:val="28"/>
    </w:rPr>
  </w:style>
  <w:style w:type="paragraph" w:styleId="BodyText">
    <w:name w:val="Body Text"/>
    <w:basedOn w:val="Normal"/>
    <w:qFormat/>
    <w:pPr>
      <w:spacing w:before="180" w:after="180"/>
      <w:jc w:val="both"/>
    </w:pPr>
  </w:style>
  <w:style w:type="paragraph" w:styleId="List">
    <w:name w:val="List"/>
    <w:basedOn w:val="BodyText"/>
    <w:rPr>
      <w:rFonts w:cs="Arial Unicode M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Arial Unicode M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pPr>
    <w:rPr>
      <w:rFonts w:asciiTheme="majorHAnsi" w:eastAsiaTheme="majorEastAsia" w:hAnsiTheme="majorHAnsi" w:cstheme="majorBidi"/>
      <w:b/>
      <w:bCs/>
      <w:color w:val="C0143C"/>
      <w:sz w:val="36"/>
      <w:szCs w:val="36"/>
    </w:rPr>
  </w:style>
  <w:style w:type="paragraph" w:styleId="Subtitle">
    <w:name w:val="Subtitle"/>
    <w:basedOn w:val="Title"/>
    <w:qFormat/>
    <w:pPr>
      <w:spacing w:before="240"/>
      <w:jc w:val="center"/>
    </w:pPr>
    <w:rPr>
      <w:sz w:val="30"/>
      <w:szCs w:val="30"/>
    </w:rPr>
  </w:style>
  <w:style w:type="paragraph" w:customStyle="1" w:styleId="Author">
    <w:name w:val="Author"/>
    <w:qFormat/>
    <w:pPr>
      <w:keepNext/>
      <w:keepLines/>
      <w:jc w:val="center"/>
    </w:pPr>
    <w:rPr>
      <w:color w:val="00000A"/>
      <w:sz w:val="24"/>
    </w:rPr>
  </w:style>
  <w:style w:type="paragraph" w:styleId="Date">
    <w:name w:val="Date"/>
    <w:qFormat/>
    <w:pPr>
      <w:keepNext/>
      <w:keepLines/>
      <w:jc w:val="center"/>
    </w:pPr>
    <w:rPr>
      <w:color w:val="00000A"/>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0"/>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FigurewithCaption">
    <w:name w:val="Figure with Caption"/>
    <w:basedOn w:val="Figure"/>
    <w:qFormat/>
    <w:pPr>
      <w:keepNext/>
    </w:pPr>
  </w:style>
  <w:style w:type="paragraph" w:styleId="TOCHeading">
    <w:name w:val="TOC Heading"/>
    <w:basedOn w:val="Heading1"/>
    <w:uiPriority w:val="39"/>
    <w:unhideWhenUsed/>
    <w:qFormat/>
    <w:pPr>
      <w:spacing w:before="240" w:line="259" w:lineRule="auto"/>
    </w:pPr>
    <w:rPr>
      <w:b w:val="0"/>
      <w:bCs w:val="0"/>
    </w:rPr>
  </w:style>
  <w:style w:type="paragraph" w:customStyle="1" w:styleId="Disclaimer">
    <w:name w:val="Disclaimer"/>
    <w:basedOn w:val="Normal"/>
    <w:qFormat/>
    <w:pPr>
      <w:pBdr>
        <w:top w:val="single" w:sz="2" w:space="1" w:color="000001"/>
        <w:left w:val="single" w:sz="2" w:space="1" w:color="000001"/>
        <w:bottom w:val="single" w:sz="2" w:space="1" w:color="000001"/>
        <w:right w:val="single" w:sz="2" w:space="1" w:color="000001"/>
      </w:pBdr>
      <w:shd w:val="clear" w:color="auto" w:fill="DDDDDD"/>
      <w:spacing w:before="101" w:after="101"/>
      <w:jc w:val="both"/>
    </w:pPr>
  </w:style>
  <w:style w:type="paragraph" w:customStyle="1" w:styleId="BlackStrips">
    <w:name w:val="Black Strips"/>
    <w:basedOn w:val="Normal"/>
    <w:qFormat/>
    <w:pPr>
      <w:shd w:val="clear" w:color="auto" w:fill="000000"/>
      <w:jc w:val="center"/>
    </w:pPr>
    <w:rPr>
      <w:color w:val="FFFFFF"/>
    </w:rPr>
  </w:style>
  <w:style w:type="paragraph" w:customStyle="1" w:styleId="DisclaimerBold">
    <w:name w:val="Disclaimer Bold"/>
    <w:basedOn w:val="Disclaimer"/>
    <w:qFormat/>
    <w:pPr>
      <w:jc w:val="left"/>
    </w:pPr>
    <w:rPr>
      <w:b/>
    </w:rPr>
  </w:style>
  <w:style w:type="paragraph" w:customStyle="1" w:styleId="ReadOnline">
    <w:name w:val="Read Online"/>
    <w:basedOn w:val="Normal"/>
    <w:qFormat/>
    <w:pPr>
      <w:jc w:val="center"/>
    </w:pPr>
    <w:rPr>
      <w:sz w:val="28"/>
      <w:u w:val="single"/>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tb.gov.hk/fsb/tc/publication/consult/doc/consult_conclu_amlo_c.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harltonslaw.com.cn/xiang-gang-cai-jing-shi-wu-ji-ku-wu-ju-wan-cheng-dui-xiang-gang-xu-ni-zi-chan-jiao-yi-suo-fa-pai-zhi-du-de-zi-xun-gong-zu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nsubscribe@charltonslaw.com?subject=unsubscribe%20-Hong%20Kong%20Law-" TargetMode="External"/><Relationship Id="rId5" Type="http://schemas.openxmlformats.org/officeDocument/2006/relationships/footnotes" Target="footnotes.xml"/><Relationship Id="rId10" Type="http://schemas.openxmlformats.org/officeDocument/2006/relationships/hyperlink" Target="https://www.charltonslaw.com/fstb-consults-on-proposed-licensing-regime-for-virtual-asset-exchanges/" TargetMode="External"/><Relationship Id="rId4" Type="http://schemas.openxmlformats.org/officeDocument/2006/relationships/webSettings" Target="webSettings.xml"/><Relationship Id="rId9" Type="http://schemas.openxmlformats.org/officeDocument/2006/relationships/hyperlink" Target="https://www.fstb.gov.hk/fsb/tc/publication/consult/doc/consult_amlo_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870</Words>
  <Characters>4959</Characters>
  <Application>Microsoft Office Word</Application>
  <DocSecurity>0</DocSecurity>
  <Lines>41</Lines>
  <Paragraphs>11</Paragraphs>
  <ScaleCrop>false</ScaleCrop>
  <Company>Charltons</Company>
  <LinksUpToDate>false</LinksUpToDate>
  <CharactersWithSpaces>5818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Charltons</cp:lastModifiedBy>
  <cp:revision>2</cp:revision>
  <dcterms:created xsi:type="dcterms:W3CDTF">2021-12-02T10:09:00Z</dcterms:created>
  <dcterms:modified xsi:type="dcterms:W3CDTF">2021-12-02T10:15:00Z</dcterms:modified>
</cp:coreProperties>
</file>