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2B" w:rsidRDefault="00432300">
      <w:pPr>
        <w:pStyle w:val="BlackStrips"/>
      </w:pPr>
      <w:r>
        <w:t xml:space="preserve">Charltons - </w:t>
      </w:r>
      <w:r>
        <w:t>香港法律</w:t>
      </w:r>
      <w:r>
        <w:t xml:space="preserve"> - 2022</w:t>
      </w:r>
      <w:r>
        <w:t>年</w:t>
      </w:r>
      <w:r>
        <w:t>1</w:t>
      </w:r>
      <w:r>
        <w:t>月</w:t>
      </w:r>
      <w:r>
        <w:t>12</w:t>
      </w:r>
      <w:r>
        <w:t>日</w:t>
      </w:r>
    </w:p>
    <w:p w:rsidR="0016322B" w:rsidRDefault="00432300">
      <w:pPr>
        <w:pStyle w:val="ReadOnline"/>
      </w:pPr>
      <w:hyperlink r:id="rId7">
        <w:r>
          <w:t>online version</w:t>
        </w:r>
      </w:hyperlink>
    </w:p>
    <w:p w:rsidR="0016322B" w:rsidRDefault="00432300">
      <w:pPr>
        <w:pStyle w:val="Title"/>
      </w:pPr>
      <w:r>
        <w:t xml:space="preserve">FINI - </w:t>
      </w:r>
      <w:r>
        <w:t>香港交易所首次公开招股结算平台实施</w:t>
      </w:r>
      <w:r>
        <w:t xml:space="preserve"> T+2 </w:t>
      </w:r>
      <w:r>
        <w:t>首次公开招股结算框架</w:t>
      </w:r>
    </w:p>
    <w:p w:rsidR="0016322B" w:rsidRDefault="00432300" w:rsidP="00716EC6">
      <w:pPr>
        <w:pStyle w:val="FirstParagraph"/>
        <w:rPr>
          <w:lang w:eastAsia="zh-CN"/>
        </w:rPr>
      </w:pPr>
      <w:r>
        <w:t>2021</w:t>
      </w:r>
      <w:r>
        <w:t>年</w:t>
      </w:r>
      <w:r>
        <w:t>7</w:t>
      </w:r>
      <w:r>
        <w:t>月</w:t>
      </w:r>
      <w:r>
        <w:t>6</w:t>
      </w:r>
      <w:r>
        <w:t>日，香港交易所发布</w:t>
      </w:r>
      <w:r w:rsidR="00716EC6">
        <w:t xml:space="preserve">Fast Interface for New Issuance </w:t>
      </w:r>
      <w:r>
        <w:t>(FINI)</w:t>
      </w:r>
      <w:r>
        <w:t>：谘询询文件总结</w:t>
      </w:r>
      <w:hyperlink w:anchor="footnote-8693-1">
        <w:r>
          <w:rPr>
            <w:vertAlign w:val="superscript"/>
          </w:rPr>
          <w:t>1</w:t>
        </w:r>
      </w:hyperlink>
      <w:r>
        <w:t>（</w:t>
      </w:r>
      <w:r>
        <w:t>“</w:t>
      </w:r>
      <w:r>
        <w:rPr>
          <w:b/>
        </w:rPr>
        <w:t>总结</w:t>
      </w:r>
      <w:r>
        <w:t>”</w:t>
      </w:r>
      <w:r>
        <w:t>），回应其日期为</w:t>
      </w:r>
      <w:r>
        <w:t>2020</w:t>
      </w:r>
      <w:r>
        <w:t>年</w:t>
      </w:r>
      <w:r>
        <w:t>11</w:t>
      </w:r>
      <w:r>
        <w:t>月</w:t>
      </w:r>
      <w:r>
        <w:t>16</w:t>
      </w:r>
      <w:r>
        <w:t>日的谘询文件</w:t>
      </w:r>
      <w:hyperlink w:anchor="footnote-8693-2">
        <w:r>
          <w:rPr>
            <w:vertAlign w:val="superscript"/>
          </w:rPr>
          <w:t>2</w:t>
        </w:r>
      </w:hyperlink>
      <w:r>
        <w:t>，其中概述了通过引入新的</w:t>
      </w:r>
      <w:r w:rsidR="00716EC6">
        <w:t>IPO</w:t>
      </w:r>
      <w:r>
        <w:t>结算平台</w:t>
      </w:r>
      <w:r>
        <w:t>-FINI</w:t>
      </w:r>
      <w:r>
        <w:t>来实现香港</w:t>
      </w:r>
      <w:r w:rsidR="00716EC6">
        <w:t>IPO</w:t>
      </w:r>
      <w:r>
        <w:t>结算程序现代化的建议（</w:t>
      </w:r>
      <w:r>
        <w:t>“</w:t>
      </w:r>
      <w:r>
        <w:rPr>
          <w:b/>
        </w:rPr>
        <w:t>谘询文件</w:t>
      </w:r>
      <w:r>
        <w:t>”</w:t>
      </w:r>
      <w:r>
        <w:t>）。</w:t>
      </w:r>
      <w:r>
        <w:rPr>
          <w:lang w:eastAsia="zh-CN"/>
        </w:rPr>
        <w:t>有关谘询文件的详细摘要，请参阅我们的时事</w:t>
      </w:r>
      <w:r>
        <w:rPr>
          <w:lang w:eastAsia="zh-CN"/>
        </w:rPr>
        <w:t>通讯</w:t>
      </w:r>
      <w:r>
        <w:rPr>
          <w:lang w:eastAsia="zh-CN"/>
        </w:rPr>
        <w:t>“</w:t>
      </w:r>
      <w:r>
        <w:rPr>
          <w:lang w:eastAsia="zh-CN"/>
        </w:rPr>
        <w:t>香港交易所就简化</w:t>
      </w:r>
      <w:r w:rsidR="00716EC6">
        <w:rPr>
          <w:lang w:eastAsia="zh-CN"/>
        </w:rPr>
        <w:t>IPO</w:t>
      </w:r>
      <w:r>
        <w:rPr>
          <w:lang w:eastAsia="zh-CN"/>
        </w:rPr>
        <w:t>结算程序的建议进行谘询</w:t>
      </w:r>
      <w:r>
        <w:rPr>
          <w:lang w:eastAsia="zh-CN"/>
        </w:rPr>
        <w:t>”</w:t>
      </w:r>
      <w:r>
        <w:rPr>
          <w:lang w:eastAsia="zh-CN"/>
        </w:rPr>
        <w:t>。</w:t>
      </w:r>
      <w:hyperlink w:anchor="footnote-8693-3">
        <w:r>
          <w:rPr>
            <w:vertAlign w:val="superscript"/>
            <w:lang w:eastAsia="zh-CN"/>
          </w:rPr>
          <w:t>3</w:t>
        </w:r>
      </w:hyperlink>
      <w:r>
        <w:rPr>
          <w:lang w:eastAsia="zh-CN"/>
        </w:rPr>
        <w:t xml:space="preserve"> FINI</w:t>
      </w:r>
      <w:r>
        <w:rPr>
          <w:lang w:eastAsia="zh-CN"/>
        </w:rPr>
        <w:t>旨在通过利用高效的数字协作工具加快</w:t>
      </w:r>
      <w:r>
        <w:rPr>
          <w:lang w:eastAsia="zh-CN"/>
        </w:rPr>
        <w:t>IPO</w:t>
      </w:r>
      <w:r>
        <w:rPr>
          <w:lang w:eastAsia="zh-CN"/>
        </w:rPr>
        <w:t>结算速度，以降低各方的市场风险敞口。</w:t>
      </w:r>
      <w:r w:rsidR="00716EC6">
        <w:rPr>
          <w:lang w:eastAsia="zh-CN"/>
        </w:rPr>
        <w:t>FINI</w:t>
      </w:r>
      <w:r>
        <w:rPr>
          <w:lang w:eastAsia="zh-CN"/>
        </w:rPr>
        <w:t>预计不早于</w:t>
      </w:r>
      <w:r>
        <w:rPr>
          <w:lang w:eastAsia="zh-CN"/>
        </w:rPr>
        <w:t>2022</w:t>
      </w:r>
      <w:r>
        <w:rPr>
          <w:lang w:eastAsia="zh-CN"/>
        </w:rPr>
        <w:t>年第四季度推出，并将成为处理香港未来</w:t>
      </w:r>
      <w:r>
        <w:rPr>
          <w:lang w:eastAsia="zh-CN"/>
        </w:rPr>
        <w:t>IPO</w:t>
      </w:r>
      <w:r>
        <w:rPr>
          <w:lang w:eastAsia="zh-CN"/>
        </w:rPr>
        <w:t>的强制性平台。</w:t>
      </w:r>
    </w:p>
    <w:p w:rsidR="0016322B" w:rsidRDefault="00432300">
      <w:pPr>
        <w:pStyle w:val="BodyText"/>
        <w:rPr>
          <w:lang w:eastAsia="zh-CN"/>
        </w:rPr>
      </w:pPr>
      <w:r>
        <w:rPr>
          <w:lang w:eastAsia="zh-CN"/>
        </w:rPr>
        <w:t>香港交易所收到的对</w:t>
      </w:r>
      <w:r>
        <w:rPr>
          <w:lang w:eastAsia="zh-CN"/>
        </w:rPr>
        <w:t>FINI</w:t>
      </w:r>
      <w:r>
        <w:rPr>
          <w:lang w:eastAsia="zh-CN"/>
        </w:rPr>
        <w:t>的反应非常积极，</w:t>
      </w:r>
      <w:r>
        <w:rPr>
          <w:lang w:eastAsia="zh-CN"/>
        </w:rPr>
        <w:t>90%</w:t>
      </w:r>
      <w:r>
        <w:rPr>
          <w:lang w:eastAsia="zh-CN"/>
        </w:rPr>
        <w:t>的回应人士表示支持引入。绝大多数回应人士同意，</w:t>
      </w:r>
      <w:r w:rsidR="00716EC6">
        <w:rPr>
          <w:lang w:eastAsia="zh-CN"/>
        </w:rPr>
        <w:t>FINI</w:t>
      </w:r>
      <w:r>
        <w:rPr>
          <w:lang w:eastAsia="zh-CN"/>
        </w:rPr>
        <w:t>将通过降低市场风险、提高效率、实现参与者互动的现代化以及为香港的一级市场基础设施奠定具有竞争力的数</w:t>
      </w:r>
      <w:r>
        <w:rPr>
          <w:lang w:eastAsia="zh-CN"/>
        </w:rPr>
        <w:t>字化基础，从而惠及香港</w:t>
      </w:r>
      <w:r>
        <w:rPr>
          <w:lang w:eastAsia="zh-CN"/>
        </w:rPr>
        <w:t>IPO</w:t>
      </w:r>
      <w:r>
        <w:rPr>
          <w:lang w:eastAsia="zh-CN"/>
        </w:rPr>
        <w:t>市场。</w:t>
      </w:r>
    </w:p>
    <w:p w:rsidR="0016322B" w:rsidRDefault="00432300">
      <w:pPr>
        <w:pStyle w:val="BodyText"/>
        <w:rPr>
          <w:lang w:eastAsia="zh-CN"/>
        </w:rPr>
      </w:pPr>
      <w:r>
        <w:rPr>
          <w:lang w:eastAsia="zh-CN"/>
        </w:rPr>
        <w:t>此外，谘询总结还规定了</w:t>
      </w:r>
      <w:r>
        <w:rPr>
          <w:lang w:eastAsia="zh-CN"/>
        </w:rPr>
        <w:t>FINI</w:t>
      </w:r>
      <w:r>
        <w:rPr>
          <w:lang w:eastAsia="zh-CN"/>
        </w:rPr>
        <w:t>的一些修订和实施。</w:t>
      </w:r>
      <w:r>
        <w:rPr>
          <w:lang w:eastAsia="zh-CN"/>
        </w:rPr>
        <w:t xml:space="preserve"> </w:t>
      </w:r>
      <w:r>
        <w:rPr>
          <w:lang w:eastAsia="zh-CN"/>
        </w:rPr>
        <w:t>下面讨论了谘询文件中提出的对</w:t>
      </w:r>
      <w:r>
        <w:rPr>
          <w:lang w:eastAsia="zh-CN"/>
        </w:rPr>
        <w:t>FINI</w:t>
      </w:r>
      <w:r>
        <w:rPr>
          <w:lang w:eastAsia="zh-CN"/>
        </w:rPr>
        <w:t>四个方面的主要修订。</w:t>
      </w:r>
    </w:p>
    <w:p w:rsidR="0016322B" w:rsidRDefault="00432300">
      <w:pPr>
        <w:pStyle w:val="BodyText"/>
        <w:rPr>
          <w:lang w:eastAsia="zh-CN"/>
        </w:rPr>
      </w:pPr>
      <w:r>
        <w:rPr>
          <w:lang w:eastAsia="zh-CN"/>
        </w:rPr>
        <w:t xml:space="preserve">1. </w:t>
      </w:r>
      <w:r>
        <w:rPr>
          <w:lang w:eastAsia="zh-CN"/>
        </w:rPr>
        <w:t>对所有公开招股发行人采用</w:t>
      </w:r>
      <w:r>
        <w:rPr>
          <w:lang w:eastAsia="zh-CN"/>
        </w:rPr>
        <w:t>T+2</w:t>
      </w:r>
      <w:r>
        <w:rPr>
          <w:lang w:eastAsia="zh-CN"/>
        </w:rPr>
        <w:t>时间表</w:t>
      </w:r>
    </w:p>
    <w:p w:rsidR="0016322B" w:rsidRDefault="00432300">
      <w:pPr>
        <w:pStyle w:val="BodyText"/>
        <w:rPr>
          <w:lang w:eastAsia="zh-CN"/>
        </w:rPr>
      </w:pPr>
      <w:r>
        <w:rPr>
          <w:lang w:eastAsia="zh-CN"/>
        </w:rPr>
        <w:t>谘询文件提议将当前的「</w:t>
      </w:r>
      <w:r>
        <w:rPr>
          <w:lang w:eastAsia="zh-CN"/>
        </w:rPr>
        <w:t>T+5</w:t>
      </w:r>
      <w:r>
        <w:rPr>
          <w:lang w:eastAsia="zh-CN"/>
        </w:rPr>
        <w:t>」结算周期缩短为「</w:t>
      </w:r>
      <w:r>
        <w:rPr>
          <w:lang w:eastAsia="zh-CN"/>
        </w:rPr>
        <w:t>T+1</w:t>
      </w:r>
      <w:r>
        <w:rPr>
          <w:lang w:eastAsia="zh-CN"/>
        </w:rPr>
        <w:t>」。然而，有人担心「</w:t>
      </w:r>
      <w:r>
        <w:rPr>
          <w:lang w:eastAsia="zh-CN"/>
        </w:rPr>
        <w:t>T+1</w:t>
      </w:r>
      <w:r>
        <w:rPr>
          <w:lang w:eastAsia="zh-CN"/>
        </w:rPr>
        <w:t>」的时间表会太紧迫，并且鉴于监管规定及营运上的实况，风险亦过高。回应人士的主要担忧是没有运营缓冲可以为任何应变管理留出空间。其他普遍强调的挑战包括定价、招股规模、落实分配、预先对盘、提交承配人资料、确认承配人独立性、监管审批、结算和定价补充。此外</w:t>
      </w:r>
      <w:r>
        <w:rPr>
          <w:lang w:eastAsia="zh-CN"/>
        </w:rPr>
        <w:t>，「</w:t>
      </w:r>
      <w:r>
        <w:rPr>
          <w:lang w:eastAsia="zh-CN"/>
        </w:rPr>
        <w:t>T+1</w:t>
      </w:r>
      <w:r>
        <w:rPr>
          <w:lang w:eastAsia="zh-CN"/>
        </w:rPr>
        <w:t>」时间表紧迫，否則在未能及時下单、未能随时取得并提交承配人资料或未能及时安排付款的情况下，结算失败的可能性会增高。这些延误可能会对香港的</w:t>
      </w:r>
      <w:r>
        <w:rPr>
          <w:lang w:eastAsia="zh-CN"/>
        </w:rPr>
        <w:t>IPO</w:t>
      </w:r>
      <w:r>
        <w:rPr>
          <w:lang w:eastAsia="zh-CN"/>
        </w:rPr>
        <w:t>市场造成声誉受损。</w:t>
      </w:r>
    </w:p>
    <w:p w:rsidR="0016322B" w:rsidRDefault="00432300">
      <w:pPr>
        <w:pStyle w:val="BodyText"/>
        <w:rPr>
          <w:lang w:eastAsia="zh-CN"/>
        </w:rPr>
      </w:pPr>
      <w:r>
        <w:rPr>
          <w:lang w:eastAsia="zh-CN"/>
        </w:rPr>
        <w:t>因此，交易所在谘询文件中将时间表修改为「</w:t>
      </w:r>
      <w:r>
        <w:rPr>
          <w:lang w:eastAsia="zh-CN"/>
        </w:rPr>
        <w:t>T+2</w:t>
      </w:r>
      <w:r>
        <w:rPr>
          <w:lang w:eastAsia="zh-CN"/>
        </w:rPr>
        <w:t>」。延期被认为是可行的，将受到广泛欢迎。在大多数情况下，它应该解决「</w:t>
      </w:r>
      <w:r>
        <w:rPr>
          <w:lang w:eastAsia="zh-CN"/>
        </w:rPr>
        <w:t>T+1</w:t>
      </w:r>
      <w:r>
        <w:rPr>
          <w:lang w:eastAsia="zh-CN"/>
        </w:rPr>
        <w:t>」时间表所确定的挑战，同时仍然代表着对现有定居基础设施所能实现的目标的重大改进。该时间表还从买方的角度调整了一级和二级市场股权结算：允许资产管理人在进行分配</w:t>
      </w:r>
      <w:r>
        <w:rPr>
          <w:lang w:eastAsia="zh-CN"/>
        </w:rPr>
        <w:t>/</w:t>
      </w:r>
      <w:r>
        <w:rPr>
          <w:lang w:eastAsia="zh-CN"/>
        </w:rPr>
        <w:t>交易的当天筹集资金，并在价值</w:t>
      </w:r>
      <w:r>
        <w:rPr>
          <w:lang w:eastAsia="zh-CN"/>
        </w:rPr>
        <w:t>/</w:t>
      </w:r>
      <w:r>
        <w:rPr>
          <w:lang w:eastAsia="zh-CN"/>
        </w:rPr>
        <w:t>股票交割日以最小的干扰进行结算。</w:t>
      </w:r>
      <w:r>
        <w:rPr>
          <w:lang w:eastAsia="zh-CN"/>
        </w:rPr>
        <w:t>这也与纽约和欧洲大部分地区的</w:t>
      </w:r>
      <w:r>
        <w:rPr>
          <w:lang w:eastAsia="zh-CN"/>
        </w:rPr>
        <w:t xml:space="preserve"> IPO</w:t>
      </w:r>
      <w:r>
        <w:rPr>
          <w:lang w:eastAsia="zh-CN"/>
        </w:rPr>
        <w:t>市场一致。</w:t>
      </w:r>
    </w:p>
    <w:p w:rsidR="0016322B" w:rsidRDefault="00432300">
      <w:pPr>
        <w:pStyle w:val="BodyText"/>
        <w:rPr>
          <w:lang w:eastAsia="zh-CN"/>
        </w:rPr>
      </w:pPr>
      <w:r>
        <w:rPr>
          <w:lang w:eastAsia="zh-CN"/>
        </w:rPr>
        <w:t>香港交易所将要求所有</w:t>
      </w:r>
      <w:r>
        <w:rPr>
          <w:lang w:eastAsia="zh-CN"/>
        </w:rPr>
        <w:t>IPO</w:t>
      </w:r>
      <w:r>
        <w:rPr>
          <w:lang w:eastAsia="zh-CN"/>
        </w:rPr>
        <w:t>发行人遵循「</w:t>
      </w:r>
      <w:r>
        <w:rPr>
          <w:lang w:eastAsia="zh-CN"/>
        </w:rPr>
        <w:t>T+2</w:t>
      </w:r>
      <w:r>
        <w:rPr>
          <w:lang w:eastAsia="zh-CN"/>
        </w:rPr>
        <w:t>」时间表，以确保市场惯例的一致性和清晰度。尽管如此，交易所承认由于</w:t>
      </w:r>
      <w:r>
        <w:rPr>
          <w:lang w:eastAsia="zh-CN"/>
        </w:rPr>
        <w:t xml:space="preserve">IPO </w:t>
      </w:r>
      <w:r>
        <w:rPr>
          <w:lang w:eastAsia="zh-CN"/>
        </w:rPr>
        <w:t>发行人的特殊情况，可能需要「</w:t>
      </w:r>
      <w:r>
        <w:rPr>
          <w:lang w:eastAsia="zh-CN"/>
        </w:rPr>
        <w:t>T+3</w:t>
      </w:r>
      <w:r>
        <w:rPr>
          <w:lang w:eastAsia="zh-CN"/>
        </w:rPr>
        <w:t>」或更长的</w:t>
      </w:r>
      <w:r>
        <w:rPr>
          <w:lang w:eastAsia="zh-CN"/>
        </w:rPr>
        <w:t xml:space="preserve">IPO </w:t>
      </w:r>
      <w:r>
        <w:rPr>
          <w:lang w:eastAsia="zh-CN"/>
        </w:rPr>
        <w:t>结算期的情况。在交易所同意的情况下，</w:t>
      </w:r>
      <w:r>
        <w:rPr>
          <w:lang w:eastAsia="zh-CN"/>
        </w:rPr>
        <w:t>FINI</w:t>
      </w:r>
      <w:r>
        <w:rPr>
          <w:lang w:eastAsia="zh-CN"/>
        </w:rPr>
        <w:t>平台将允许首次公开招股有更长的结算期。可能有理由延长结算期的情况可能包括：香港或海外公众假期的时间；监管机构提出要求；或其他将由监管机构个别评估的原因。</w:t>
      </w:r>
    </w:p>
    <w:p w:rsidR="0016322B" w:rsidRDefault="00432300">
      <w:pPr>
        <w:pStyle w:val="BodyText"/>
        <w:rPr>
          <w:lang w:eastAsia="zh-CN"/>
        </w:rPr>
      </w:pPr>
      <w:r>
        <w:rPr>
          <w:lang w:eastAsia="zh-CN"/>
        </w:rPr>
        <w:t>新的</w:t>
      </w:r>
      <w:r>
        <w:rPr>
          <w:lang w:eastAsia="zh-CN"/>
        </w:rPr>
        <w:t>“T+2”</w:t>
      </w:r>
      <w:r>
        <w:rPr>
          <w:lang w:eastAsia="zh-CN"/>
        </w:rPr>
        <w:t>时间表下的开始交易的时间较谘询文件中建议的时间迟</w:t>
      </w:r>
      <w:r>
        <w:rPr>
          <w:lang w:eastAsia="zh-CN"/>
        </w:rPr>
        <w:t xml:space="preserve"> 24 </w:t>
      </w:r>
      <w:r>
        <w:rPr>
          <w:lang w:eastAsia="zh-CN"/>
        </w:rPr>
        <w:t>小时。因此，若公开招股的公</w:t>
      </w:r>
      <w:r>
        <w:rPr>
          <w:lang w:eastAsia="zh-CN"/>
        </w:rPr>
        <w:t>开发售认购截止时间为星期一中午（「</w:t>
      </w:r>
      <w:r>
        <w:rPr>
          <w:lang w:eastAsia="zh-CN"/>
        </w:rPr>
        <w:t>T-1</w:t>
      </w:r>
      <w:r>
        <w:rPr>
          <w:lang w:eastAsia="zh-CN"/>
        </w:rPr>
        <w:t>」日），则定价预期于星期二中午（「</w:t>
      </w:r>
      <w:r>
        <w:rPr>
          <w:lang w:eastAsia="zh-CN"/>
        </w:rPr>
        <w:t>T</w:t>
      </w:r>
      <w:r>
        <w:rPr>
          <w:lang w:eastAsia="zh-CN"/>
        </w:rPr>
        <w:t>」日）前完成，从而于星期四早上（「</w:t>
      </w:r>
      <w:r>
        <w:rPr>
          <w:lang w:eastAsia="zh-CN"/>
        </w:rPr>
        <w:t>T+2</w:t>
      </w:r>
      <w:r>
        <w:rPr>
          <w:lang w:eastAsia="zh-CN"/>
        </w:rPr>
        <w:t>」日）在交易所开始交易。</w:t>
      </w:r>
    </w:p>
    <w:p w:rsidR="0016322B" w:rsidRDefault="00432300">
      <w:pPr>
        <w:pStyle w:val="BodyText"/>
      </w:pPr>
      <w:r>
        <w:rPr>
          <w:lang w:eastAsia="zh-CN"/>
        </w:rPr>
        <w:t>修订后的</w:t>
      </w:r>
      <w:r>
        <w:rPr>
          <w:lang w:eastAsia="zh-CN"/>
        </w:rPr>
        <w:t>FINI</w:t>
      </w:r>
      <w:r>
        <w:rPr>
          <w:lang w:eastAsia="zh-CN"/>
        </w:rPr>
        <w:t>「</w:t>
      </w:r>
      <w:r>
        <w:rPr>
          <w:lang w:eastAsia="zh-CN"/>
        </w:rPr>
        <w:t>T+2</w:t>
      </w:r>
      <w:r>
        <w:rPr>
          <w:lang w:eastAsia="zh-CN"/>
        </w:rPr>
        <w:t>」</w:t>
      </w:r>
      <w:r>
        <w:rPr>
          <w:lang w:eastAsia="zh-CN"/>
        </w:rPr>
        <w:t>IPO</w:t>
      </w:r>
      <w:r>
        <w:rPr>
          <w:lang w:eastAsia="zh-CN"/>
        </w:rPr>
        <w:t>结算时间表载于下表。</w:t>
      </w:r>
      <w:r>
        <w:t>所列时间为香港时间。</w:t>
      </w:r>
    </w:p>
    <w:tbl>
      <w:tblPr>
        <w:tblW w:w="5000" w:type="pct"/>
        <w:tblLook w:val="07E0" w:firstRow="1" w:lastRow="1" w:firstColumn="1" w:lastColumn="1" w:noHBand="1" w:noVBand="1"/>
      </w:tblPr>
      <w:tblGrid>
        <w:gridCol w:w="649"/>
        <w:gridCol w:w="2115"/>
        <w:gridCol w:w="1849"/>
        <w:gridCol w:w="1528"/>
        <w:gridCol w:w="4253"/>
      </w:tblGrid>
      <w:tr w:rsidR="0016322B">
        <w:tc>
          <w:tcPr>
            <w:tcW w:w="0" w:type="auto"/>
            <w:tcBorders>
              <w:bottom w:val="single" w:sz="0" w:space="0" w:color="auto"/>
            </w:tcBorders>
            <w:vAlign w:val="bottom"/>
          </w:tcPr>
          <w:p w:rsidR="0016322B" w:rsidRDefault="00432300">
            <w:r>
              <w:rPr>
                <w:b/>
              </w:rPr>
              <w:t>步骤</w:t>
            </w:r>
          </w:p>
        </w:tc>
        <w:tc>
          <w:tcPr>
            <w:tcW w:w="0" w:type="auto"/>
            <w:tcBorders>
              <w:bottom w:val="single" w:sz="0" w:space="0" w:color="auto"/>
            </w:tcBorders>
            <w:vAlign w:val="bottom"/>
          </w:tcPr>
          <w:p w:rsidR="0016322B" w:rsidRDefault="00432300">
            <w:r>
              <w:rPr>
                <w:b/>
              </w:rPr>
              <w:t>活动</w:t>
            </w:r>
          </w:p>
        </w:tc>
        <w:tc>
          <w:tcPr>
            <w:tcW w:w="0" w:type="auto"/>
            <w:tcBorders>
              <w:bottom w:val="single" w:sz="0" w:space="0" w:color="auto"/>
            </w:tcBorders>
            <w:vAlign w:val="bottom"/>
          </w:tcPr>
          <w:p w:rsidR="0016322B" w:rsidRDefault="00432300">
            <w:r>
              <w:rPr>
                <w:b/>
              </w:rPr>
              <w:t>开始时间</w:t>
            </w:r>
          </w:p>
        </w:tc>
        <w:tc>
          <w:tcPr>
            <w:tcW w:w="0" w:type="auto"/>
            <w:tcBorders>
              <w:bottom w:val="single" w:sz="0" w:space="0" w:color="auto"/>
            </w:tcBorders>
            <w:vAlign w:val="bottom"/>
          </w:tcPr>
          <w:p w:rsidR="0016322B" w:rsidRDefault="00432300">
            <w:r>
              <w:rPr>
                <w:b/>
              </w:rPr>
              <w:t>截止时间</w:t>
            </w:r>
          </w:p>
        </w:tc>
        <w:tc>
          <w:tcPr>
            <w:tcW w:w="0" w:type="auto"/>
            <w:tcBorders>
              <w:bottom w:val="single" w:sz="0" w:space="0" w:color="auto"/>
            </w:tcBorders>
            <w:vAlign w:val="bottom"/>
          </w:tcPr>
          <w:p w:rsidR="0016322B" w:rsidRDefault="00432300">
            <w:r>
              <w:rPr>
                <w:b/>
              </w:rPr>
              <w:t>先决条件</w:t>
            </w:r>
          </w:p>
        </w:tc>
      </w:tr>
      <w:tr w:rsidR="0016322B">
        <w:tc>
          <w:tcPr>
            <w:tcW w:w="0" w:type="auto"/>
          </w:tcPr>
          <w:p w:rsidR="0016322B" w:rsidRDefault="00432300">
            <w:r>
              <w:lastRenderedPageBreak/>
              <w:t>1</w:t>
            </w:r>
          </w:p>
        </w:tc>
        <w:tc>
          <w:tcPr>
            <w:tcW w:w="0" w:type="auto"/>
          </w:tcPr>
          <w:p w:rsidR="0016322B" w:rsidRDefault="00432300">
            <w:r>
              <w:t>启动招股</w:t>
            </w:r>
          </w:p>
        </w:tc>
        <w:tc>
          <w:tcPr>
            <w:tcW w:w="0" w:type="auto"/>
          </w:tcPr>
          <w:p w:rsidR="0016322B" w:rsidRDefault="00432300">
            <w:r>
              <w:t>聆讯后函件发出后</w:t>
            </w:r>
          </w:p>
        </w:tc>
        <w:tc>
          <w:tcPr>
            <w:tcW w:w="0" w:type="auto"/>
          </w:tcPr>
          <w:p w:rsidR="0016322B" w:rsidRDefault="00432300">
            <w:r>
              <w:t>T-5 14:00</w:t>
            </w:r>
          </w:p>
        </w:tc>
        <w:tc>
          <w:tcPr>
            <w:tcW w:w="0" w:type="auto"/>
          </w:tcPr>
          <w:p w:rsidR="0016322B" w:rsidRDefault="00432300">
            <w:pPr>
              <w:rPr>
                <w:lang w:eastAsia="zh-CN"/>
              </w:rPr>
            </w:pPr>
            <w:r>
              <w:rPr>
                <w:lang w:eastAsia="zh-CN"/>
              </w:rPr>
              <w:t>首席保荐人或其法律顾问已于</w:t>
            </w:r>
            <w:r>
              <w:rPr>
                <w:lang w:eastAsia="zh-CN"/>
              </w:rPr>
              <w:t xml:space="preserve">FINI </w:t>
            </w:r>
            <w:r>
              <w:rPr>
                <w:lang w:eastAsia="zh-CN"/>
              </w:rPr>
              <w:t>注册开户上线</w:t>
            </w:r>
          </w:p>
        </w:tc>
      </w:tr>
      <w:tr w:rsidR="0016322B">
        <w:tc>
          <w:tcPr>
            <w:tcW w:w="0" w:type="auto"/>
          </w:tcPr>
          <w:p w:rsidR="0016322B" w:rsidRDefault="00432300">
            <w:r>
              <w:t>2</w:t>
            </w:r>
          </w:p>
        </w:tc>
        <w:tc>
          <w:tcPr>
            <w:tcW w:w="0" w:type="auto"/>
          </w:tcPr>
          <w:p w:rsidR="0016322B" w:rsidRDefault="00432300">
            <w:r>
              <w:t>公开发售认购申请期</w:t>
            </w:r>
          </w:p>
        </w:tc>
        <w:tc>
          <w:tcPr>
            <w:tcW w:w="0" w:type="auto"/>
          </w:tcPr>
          <w:p w:rsidR="0016322B" w:rsidRDefault="00432300">
            <w:r>
              <w:t>T-4 09:00</w:t>
            </w:r>
          </w:p>
        </w:tc>
        <w:tc>
          <w:tcPr>
            <w:tcW w:w="0" w:type="auto"/>
          </w:tcPr>
          <w:p w:rsidR="0016322B" w:rsidRDefault="00432300">
            <w:r>
              <w:t xml:space="preserve">T-1 </w:t>
            </w:r>
            <w:r>
              <w:t>中午</w:t>
            </w:r>
            <w:r>
              <w:t>12.00</w:t>
            </w:r>
          </w:p>
        </w:tc>
        <w:tc>
          <w:tcPr>
            <w:tcW w:w="0" w:type="auto"/>
          </w:tcPr>
          <w:p w:rsidR="0016322B" w:rsidRDefault="00432300">
            <w:r>
              <w:t>完成步骤</w:t>
            </w:r>
            <w:r>
              <w:t xml:space="preserve"> 1</w:t>
            </w:r>
          </w:p>
        </w:tc>
      </w:tr>
      <w:tr w:rsidR="0016322B">
        <w:tc>
          <w:tcPr>
            <w:tcW w:w="0" w:type="auto"/>
          </w:tcPr>
          <w:p w:rsidR="0016322B" w:rsidRDefault="00432300">
            <w:r>
              <w:t>3</w:t>
            </w:r>
          </w:p>
        </w:tc>
        <w:tc>
          <w:tcPr>
            <w:tcW w:w="0" w:type="auto"/>
          </w:tcPr>
          <w:p w:rsidR="0016322B" w:rsidRDefault="00432300">
            <w:pPr>
              <w:rPr>
                <w:lang w:eastAsia="zh-CN"/>
              </w:rPr>
            </w:pPr>
            <w:r>
              <w:rPr>
                <w:lang w:eastAsia="zh-CN"/>
              </w:rPr>
              <w:t>公开发售预设资金确认</w:t>
            </w:r>
          </w:p>
        </w:tc>
        <w:tc>
          <w:tcPr>
            <w:tcW w:w="0" w:type="auto"/>
          </w:tcPr>
          <w:p w:rsidR="0016322B" w:rsidRDefault="00432300">
            <w:r>
              <w:t xml:space="preserve">T-1 </w:t>
            </w:r>
            <w:r>
              <w:t>中午</w:t>
            </w:r>
            <w:r>
              <w:t>12.00</w:t>
            </w:r>
          </w:p>
        </w:tc>
        <w:tc>
          <w:tcPr>
            <w:tcW w:w="0" w:type="auto"/>
          </w:tcPr>
          <w:p w:rsidR="0016322B" w:rsidRDefault="00432300">
            <w:r>
              <w:t>T-1 17.30</w:t>
            </w:r>
          </w:p>
        </w:tc>
        <w:tc>
          <w:tcPr>
            <w:tcW w:w="0" w:type="auto"/>
          </w:tcPr>
          <w:p w:rsidR="0016322B" w:rsidRDefault="00432300">
            <w:r>
              <w:t>完成步骤</w:t>
            </w:r>
            <w:r>
              <w:t xml:space="preserve"> 2</w:t>
            </w:r>
          </w:p>
        </w:tc>
      </w:tr>
      <w:tr w:rsidR="0016322B">
        <w:tc>
          <w:tcPr>
            <w:tcW w:w="0" w:type="auto"/>
          </w:tcPr>
          <w:p w:rsidR="0016322B" w:rsidRDefault="00432300">
            <w:r>
              <w:t>4</w:t>
            </w:r>
          </w:p>
        </w:tc>
        <w:tc>
          <w:tcPr>
            <w:tcW w:w="0" w:type="auto"/>
          </w:tcPr>
          <w:p w:rsidR="0016322B" w:rsidRDefault="00432300">
            <w:r>
              <w:t>配额调整</w:t>
            </w:r>
          </w:p>
        </w:tc>
        <w:tc>
          <w:tcPr>
            <w:tcW w:w="0" w:type="auto"/>
          </w:tcPr>
          <w:p w:rsidR="0016322B" w:rsidRDefault="00432300">
            <w:r>
              <w:t>步骤</w:t>
            </w:r>
            <w:r>
              <w:t>3</w:t>
            </w:r>
            <w:r>
              <w:t>后</w:t>
            </w:r>
          </w:p>
        </w:tc>
        <w:tc>
          <w:tcPr>
            <w:tcW w:w="0" w:type="auto"/>
          </w:tcPr>
          <w:p w:rsidR="0016322B" w:rsidRDefault="00432300">
            <w:r>
              <w:t>T 00.00</w:t>
            </w:r>
          </w:p>
        </w:tc>
        <w:tc>
          <w:tcPr>
            <w:tcW w:w="0" w:type="auto"/>
          </w:tcPr>
          <w:p w:rsidR="0016322B" w:rsidRDefault="00432300">
            <w:r>
              <w:t>完成步骤</w:t>
            </w:r>
            <w:r>
              <w:t xml:space="preserve"> 3</w:t>
            </w:r>
          </w:p>
        </w:tc>
      </w:tr>
      <w:tr w:rsidR="0016322B">
        <w:tc>
          <w:tcPr>
            <w:tcW w:w="0" w:type="auto"/>
          </w:tcPr>
          <w:p w:rsidR="0016322B" w:rsidRDefault="00432300">
            <w:r>
              <w:t>5</w:t>
            </w:r>
          </w:p>
        </w:tc>
        <w:tc>
          <w:tcPr>
            <w:tcW w:w="0" w:type="auto"/>
          </w:tcPr>
          <w:p w:rsidR="0016322B" w:rsidRDefault="00432300">
            <w:r>
              <w:t>定价期限</w:t>
            </w:r>
          </w:p>
        </w:tc>
        <w:tc>
          <w:tcPr>
            <w:tcW w:w="0" w:type="auto"/>
          </w:tcPr>
          <w:p w:rsidR="0016322B" w:rsidRDefault="00432300">
            <w:r>
              <w:t>步骤</w:t>
            </w:r>
            <w:r>
              <w:t>1</w:t>
            </w:r>
            <w:r>
              <w:t>期间或之后</w:t>
            </w:r>
          </w:p>
        </w:tc>
        <w:tc>
          <w:tcPr>
            <w:tcW w:w="0" w:type="auto"/>
          </w:tcPr>
          <w:p w:rsidR="0016322B" w:rsidRDefault="00432300">
            <w:r>
              <w:t xml:space="preserve">T </w:t>
            </w:r>
            <w:r>
              <w:t>中午</w:t>
            </w:r>
            <w:r>
              <w:t xml:space="preserve"> 12.00</w:t>
            </w:r>
          </w:p>
        </w:tc>
        <w:tc>
          <w:tcPr>
            <w:tcW w:w="0" w:type="auto"/>
          </w:tcPr>
          <w:p w:rsidR="0016322B" w:rsidRDefault="00432300">
            <w:r>
              <w:t>-</w:t>
            </w:r>
          </w:p>
        </w:tc>
      </w:tr>
      <w:tr w:rsidR="0016322B">
        <w:tc>
          <w:tcPr>
            <w:tcW w:w="0" w:type="auto"/>
          </w:tcPr>
          <w:p w:rsidR="0016322B" w:rsidRDefault="00432300">
            <w:r>
              <w:t>6</w:t>
            </w:r>
          </w:p>
        </w:tc>
        <w:tc>
          <w:tcPr>
            <w:tcW w:w="0" w:type="auto"/>
          </w:tcPr>
          <w:p w:rsidR="0016322B" w:rsidRDefault="00432300">
            <w:r>
              <w:t>抽签</w:t>
            </w:r>
          </w:p>
        </w:tc>
        <w:tc>
          <w:tcPr>
            <w:tcW w:w="0" w:type="auto"/>
          </w:tcPr>
          <w:p w:rsidR="0016322B" w:rsidRDefault="00432300">
            <w:r>
              <w:t>步骤</w:t>
            </w:r>
            <w:r>
              <w:t>4</w:t>
            </w:r>
            <w:r>
              <w:t>后</w:t>
            </w:r>
          </w:p>
        </w:tc>
        <w:tc>
          <w:tcPr>
            <w:tcW w:w="0" w:type="auto"/>
          </w:tcPr>
          <w:p w:rsidR="0016322B" w:rsidRDefault="00432300">
            <w:r>
              <w:t xml:space="preserve">T </w:t>
            </w:r>
            <w:r>
              <w:t>中午</w:t>
            </w:r>
            <w:r>
              <w:t>12.00</w:t>
            </w:r>
          </w:p>
        </w:tc>
        <w:tc>
          <w:tcPr>
            <w:tcW w:w="0" w:type="auto"/>
          </w:tcPr>
          <w:p w:rsidR="0016322B" w:rsidRDefault="00432300">
            <w:r>
              <w:t>完成步骤</w:t>
            </w:r>
            <w:r>
              <w:t>3+4</w:t>
            </w:r>
          </w:p>
        </w:tc>
      </w:tr>
      <w:tr w:rsidR="0016322B">
        <w:tc>
          <w:tcPr>
            <w:tcW w:w="0" w:type="auto"/>
          </w:tcPr>
          <w:p w:rsidR="0016322B" w:rsidRDefault="00432300">
            <w:r>
              <w:t>7</w:t>
            </w:r>
          </w:p>
        </w:tc>
        <w:tc>
          <w:tcPr>
            <w:tcW w:w="0" w:type="auto"/>
          </w:tcPr>
          <w:p w:rsidR="0016322B" w:rsidRDefault="00432300">
            <w:r>
              <w:t>公开发售款项结算</w:t>
            </w:r>
          </w:p>
        </w:tc>
        <w:tc>
          <w:tcPr>
            <w:tcW w:w="0" w:type="auto"/>
          </w:tcPr>
          <w:p w:rsidR="0016322B" w:rsidRDefault="00432300">
            <w:r>
              <w:t xml:space="preserve">T </w:t>
            </w:r>
            <w:r>
              <w:t>中午</w:t>
            </w:r>
            <w:r>
              <w:t>12.00</w:t>
            </w:r>
          </w:p>
        </w:tc>
        <w:tc>
          <w:tcPr>
            <w:tcW w:w="0" w:type="auto"/>
          </w:tcPr>
          <w:p w:rsidR="0016322B" w:rsidRDefault="00432300">
            <w:r>
              <w:t>T 17.30</w:t>
            </w:r>
          </w:p>
        </w:tc>
        <w:tc>
          <w:tcPr>
            <w:tcW w:w="0" w:type="auto"/>
          </w:tcPr>
          <w:p w:rsidR="0016322B" w:rsidRDefault="00432300">
            <w:r>
              <w:t>完成步骤</w:t>
            </w:r>
            <w:r>
              <w:t>5+6</w:t>
            </w:r>
          </w:p>
        </w:tc>
      </w:tr>
      <w:tr w:rsidR="0016322B">
        <w:tc>
          <w:tcPr>
            <w:tcW w:w="0" w:type="auto"/>
          </w:tcPr>
          <w:p w:rsidR="0016322B" w:rsidRDefault="00432300">
            <w:r>
              <w:t>8</w:t>
            </w:r>
          </w:p>
        </w:tc>
        <w:tc>
          <w:tcPr>
            <w:tcW w:w="0" w:type="auto"/>
          </w:tcPr>
          <w:p w:rsidR="0016322B" w:rsidRDefault="00432300">
            <w:r>
              <w:t>提供承配人名单期限</w:t>
            </w:r>
          </w:p>
        </w:tc>
        <w:tc>
          <w:tcPr>
            <w:tcW w:w="0" w:type="auto"/>
          </w:tcPr>
          <w:p w:rsidR="0016322B" w:rsidRDefault="00432300">
            <w:r>
              <w:t>步骤</w:t>
            </w:r>
            <w:r>
              <w:t>4</w:t>
            </w:r>
            <w:r>
              <w:t>后</w:t>
            </w:r>
          </w:p>
        </w:tc>
        <w:tc>
          <w:tcPr>
            <w:tcW w:w="0" w:type="auto"/>
          </w:tcPr>
          <w:p w:rsidR="0016322B" w:rsidRDefault="00432300">
            <w:r>
              <w:t>T+1 10.10</w:t>
            </w:r>
          </w:p>
        </w:tc>
        <w:tc>
          <w:tcPr>
            <w:tcW w:w="0" w:type="auto"/>
          </w:tcPr>
          <w:p w:rsidR="0016322B" w:rsidRDefault="00432300">
            <w:r>
              <w:t>完成步骤</w:t>
            </w:r>
            <w:r>
              <w:t>4</w:t>
            </w:r>
          </w:p>
        </w:tc>
      </w:tr>
      <w:tr w:rsidR="0016322B">
        <w:tc>
          <w:tcPr>
            <w:tcW w:w="0" w:type="auto"/>
          </w:tcPr>
          <w:p w:rsidR="0016322B" w:rsidRDefault="00432300">
            <w:r>
              <w:t>9</w:t>
            </w:r>
          </w:p>
        </w:tc>
        <w:tc>
          <w:tcPr>
            <w:tcW w:w="0" w:type="auto"/>
          </w:tcPr>
          <w:p w:rsidR="0016322B" w:rsidRDefault="00432300">
            <w:r>
              <w:t>监管许可</w:t>
            </w:r>
          </w:p>
        </w:tc>
        <w:tc>
          <w:tcPr>
            <w:tcW w:w="0" w:type="auto"/>
          </w:tcPr>
          <w:p w:rsidR="0016322B" w:rsidRDefault="00432300">
            <w:r>
              <w:t>步骤</w:t>
            </w:r>
            <w:r>
              <w:t>8</w:t>
            </w:r>
            <w:r>
              <w:t>后</w:t>
            </w:r>
          </w:p>
        </w:tc>
        <w:tc>
          <w:tcPr>
            <w:tcW w:w="0" w:type="auto"/>
          </w:tcPr>
          <w:p w:rsidR="0016322B" w:rsidRDefault="00432300">
            <w:r>
              <w:t>T+1 17.00</w:t>
            </w:r>
          </w:p>
        </w:tc>
        <w:tc>
          <w:tcPr>
            <w:tcW w:w="0" w:type="auto"/>
          </w:tcPr>
          <w:p w:rsidR="0016322B" w:rsidRDefault="00432300">
            <w:r>
              <w:t>完成步骤</w:t>
            </w:r>
            <w:r>
              <w:t>8</w:t>
            </w:r>
          </w:p>
        </w:tc>
      </w:tr>
      <w:tr w:rsidR="0016322B">
        <w:tc>
          <w:tcPr>
            <w:tcW w:w="0" w:type="auto"/>
          </w:tcPr>
          <w:p w:rsidR="0016322B" w:rsidRDefault="00432300">
            <w:r>
              <w:t>10</w:t>
            </w:r>
          </w:p>
        </w:tc>
        <w:tc>
          <w:tcPr>
            <w:tcW w:w="0" w:type="auto"/>
          </w:tcPr>
          <w:p w:rsidR="0016322B" w:rsidRDefault="00432300">
            <w:r>
              <w:t>配发结果公告</w:t>
            </w:r>
          </w:p>
        </w:tc>
        <w:tc>
          <w:tcPr>
            <w:tcW w:w="0" w:type="auto"/>
          </w:tcPr>
          <w:p w:rsidR="0016322B" w:rsidRDefault="00432300">
            <w:r>
              <w:t>步骤</w:t>
            </w:r>
            <w:r>
              <w:t>9</w:t>
            </w:r>
            <w:r>
              <w:t>后</w:t>
            </w:r>
          </w:p>
        </w:tc>
        <w:tc>
          <w:tcPr>
            <w:tcW w:w="0" w:type="auto"/>
          </w:tcPr>
          <w:p w:rsidR="0016322B" w:rsidRDefault="00432300">
            <w:r>
              <w:t>T+1 23.00</w:t>
            </w:r>
          </w:p>
        </w:tc>
        <w:tc>
          <w:tcPr>
            <w:tcW w:w="0" w:type="auto"/>
          </w:tcPr>
          <w:p w:rsidR="0016322B" w:rsidRDefault="00432300">
            <w:r>
              <w:t>完成步骤</w:t>
            </w:r>
            <w:r>
              <w:t>9</w:t>
            </w:r>
          </w:p>
        </w:tc>
      </w:tr>
      <w:tr w:rsidR="0016322B">
        <w:tc>
          <w:tcPr>
            <w:tcW w:w="0" w:type="auto"/>
          </w:tcPr>
          <w:p w:rsidR="0016322B" w:rsidRDefault="00432300">
            <w:r>
              <w:t>11</w:t>
            </w:r>
          </w:p>
        </w:tc>
        <w:tc>
          <w:tcPr>
            <w:tcW w:w="0" w:type="auto"/>
          </w:tcPr>
          <w:p w:rsidR="0016322B" w:rsidRDefault="00432300">
            <w:r>
              <w:t>开始交易</w:t>
            </w:r>
          </w:p>
        </w:tc>
        <w:tc>
          <w:tcPr>
            <w:tcW w:w="0" w:type="auto"/>
          </w:tcPr>
          <w:p w:rsidR="0016322B" w:rsidRDefault="00432300">
            <w:r>
              <w:t>T+2 09.00</w:t>
            </w:r>
          </w:p>
        </w:tc>
        <w:tc>
          <w:tcPr>
            <w:tcW w:w="0" w:type="auto"/>
          </w:tcPr>
          <w:p w:rsidR="0016322B" w:rsidRDefault="00432300">
            <w:r>
              <w:t>-</w:t>
            </w:r>
          </w:p>
        </w:tc>
        <w:tc>
          <w:tcPr>
            <w:tcW w:w="0" w:type="auto"/>
          </w:tcPr>
          <w:p w:rsidR="0016322B" w:rsidRDefault="00432300">
            <w:r>
              <w:t>完成步骤</w:t>
            </w:r>
            <w:r>
              <w:t>10</w:t>
            </w:r>
          </w:p>
        </w:tc>
      </w:tr>
    </w:tbl>
    <w:p w:rsidR="0016322B" w:rsidRDefault="00432300">
      <w:pPr>
        <w:pStyle w:val="BodyText"/>
      </w:pPr>
      <w:r>
        <w:rPr>
          <w:i/>
        </w:rPr>
        <w:t>来源</w:t>
      </w:r>
      <w:r>
        <w:rPr>
          <w:i/>
        </w:rPr>
        <w:t xml:space="preserve">: Fast Interface for New Issuance (FINI): </w:t>
      </w:r>
      <w:r>
        <w:rPr>
          <w:i/>
        </w:rPr>
        <w:t>谘询文件总结</w:t>
      </w:r>
      <w:r>
        <w:t xml:space="preserve"> </w:t>
      </w:r>
      <w:hyperlink w:anchor="footnote-8693-4">
        <w:r>
          <w:rPr>
            <w:vertAlign w:val="superscript"/>
          </w:rPr>
          <w:t>4</w:t>
        </w:r>
      </w:hyperlink>
    </w:p>
    <w:p w:rsidR="0016322B" w:rsidRDefault="00432300">
      <w:pPr>
        <w:pStyle w:val="BodyText"/>
        <w:rPr>
          <w:lang w:eastAsia="zh-CN"/>
        </w:rPr>
      </w:pPr>
      <w:r>
        <w:rPr>
          <w:lang w:eastAsia="zh-CN"/>
        </w:rPr>
        <w:t xml:space="preserve">2. </w:t>
      </w:r>
      <w:r>
        <w:rPr>
          <w:lang w:eastAsia="zh-CN"/>
        </w:rPr>
        <w:t>香港首次公开招股公开发售预设资金机制</w:t>
      </w:r>
    </w:p>
    <w:p w:rsidR="0016322B" w:rsidRDefault="00432300">
      <w:pPr>
        <w:pStyle w:val="BodyText"/>
        <w:rPr>
          <w:lang w:eastAsia="zh-CN"/>
        </w:rPr>
      </w:pPr>
      <w:r>
        <w:rPr>
          <w:lang w:eastAsia="zh-CN"/>
        </w:rPr>
        <w:t>为减轻因香港公开发售大幅超额认购而出现冻结大量流动资金引致的经济成本，谘询文件提出了两种缓解方法：</w:t>
      </w:r>
      <w:r>
        <w:rPr>
          <w:lang w:eastAsia="zh-CN"/>
        </w:rPr>
        <w:t>(i)</w:t>
      </w:r>
      <w:r>
        <w:rPr>
          <w:lang w:eastAsia="zh-CN"/>
        </w:rPr>
        <w:t>在毋须进行银行间资金转移的情况下确认</w:t>
      </w:r>
      <w:r>
        <w:rPr>
          <w:lang w:eastAsia="zh-CN"/>
        </w:rPr>
        <w:t xml:space="preserve"> EIPO </w:t>
      </w:r>
      <w:r>
        <w:rPr>
          <w:lang w:eastAsia="zh-CN"/>
        </w:rPr>
        <w:t>预设资金及</w:t>
      </w:r>
      <w:r>
        <w:rPr>
          <w:lang w:eastAsia="zh-CN"/>
        </w:rPr>
        <w:t xml:space="preserve"> (ii)</w:t>
      </w:r>
      <w:r>
        <w:rPr>
          <w:lang w:eastAsia="zh-CN"/>
        </w:rPr>
        <w:t>将香港结算的中央结算参与者的预设金额规定设限于其可能获得的最高公开发售集资金额。</w:t>
      </w:r>
      <w:r>
        <w:rPr>
          <w:lang w:eastAsia="zh-CN"/>
        </w:rPr>
        <w:t xml:space="preserve"> </w:t>
      </w:r>
      <w:r>
        <w:rPr>
          <w:lang w:eastAsia="zh-CN"/>
        </w:rPr>
        <w:t>然而，该建议</w:t>
      </w:r>
      <w:r>
        <w:rPr>
          <w:lang w:eastAsia="zh-CN"/>
        </w:rPr>
        <w:t>引起了某些担忧。</w:t>
      </w:r>
    </w:p>
    <w:p w:rsidR="0016322B" w:rsidRDefault="00432300">
      <w:pPr>
        <w:pStyle w:val="BodyText"/>
        <w:rPr>
          <w:lang w:eastAsia="zh-CN"/>
        </w:rPr>
      </w:pPr>
      <w:r>
        <w:rPr>
          <w:lang w:eastAsia="zh-CN"/>
        </w:rPr>
        <w:t>就建议</w:t>
      </w:r>
      <w:r>
        <w:rPr>
          <w:lang w:eastAsia="zh-CN"/>
        </w:rPr>
        <w:t>(i)</w:t>
      </w:r>
      <w:r>
        <w:rPr>
          <w:lang w:eastAsia="zh-CN"/>
        </w:rPr>
        <w:t>而言，回应人士就结算参与者应如何证明其已持有充足资金以支援认购；其有关资金需否有第三方托管安排；及其在中央结算系统下的</w:t>
      </w:r>
      <w:r>
        <w:rPr>
          <w:lang w:eastAsia="zh-CN"/>
        </w:rPr>
        <w:t>EIPO</w:t>
      </w:r>
      <w:r>
        <w:rPr>
          <w:lang w:eastAsia="zh-CN"/>
        </w:rPr>
        <w:t>指定银行是否就核实每名结算参与者的资金状况，对香港结算承担新的营运及法律责任提出担忧。</w:t>
      </w:r>
    </w:p>
    <w:p w:rsidR="0016322B" w:rsidRDefault="00432300">
      <w:pPr>
        <w:pStyle w:val="BodyText"/>
        <w:rPr>
          <w:lang w:eastAsia="zh-CN"/>
        </w:rPr>
      </w:pPr>
      <w:r>
        <w:rPr>
          <w:lang w:eastAsia="zh-CN"/>
        </w:rPr>
        <w:t>就建议</w:t>
      </w:r>
      <w:r>
        <w:rPr>
          <w:lang w:eastAsia="zh-CN"/>
        </w:rPr>
        <w:t>(ii)</w:t>
      </w:r>
      <w:r>
        <w:rPr>
          <w:lang w:eastAsia="zh-CN"/>
        </w:rPr>
        <w:t>而言，回应人士担忧在经「压缩」的预设资金安排下，结算参与者与其客户之间的信贷风险可能有所提高，而回应人士之间就建议的机制对投资者可用的各种以现金及孖展认购渠道之间的商业互动会有何影响亦有不少争论。</w:t>
      </w:r>
    </w:p>
    <w:p w:rsidR="0016322B" w:rsidRDefault="00432300">
      <w:pPr>
        <w:pStyle w:val="BodyText"/>
        <w:rPr>
          <w:lang w:eastAsia="zh-CN"/>
        </w:rPr>
      </w:pPr>
      <w:r>
        <w:rPr>
          <w:lang w:eastAsia="zh-CN"/>
        </w:rPr>
        <w:t>对此，交易所已就</w:t>
      </w:r>
      <w:r>
        <w:rPr>
          <w:lang w:eastAsia="zh-CN"/>
        </w:rPr>
        <w:t xml:space="preserve">(i) </w:t>
      </w:r>
      <w:r>
        <w:rPr>
          <w:lang w:eastAsia="zh-CN"/>
        </w:rPr>
        <w:t>预设资金确认及</w:t>
      </w:r>
      <w:r>
        <w:rPr>
          <w:lang w:eastAsia="zh-CN"/>
        </w:rPr>
        <w:t xml:space="preserve">(ii) </w:t>
      </w:r>
      <w:r>
        <w:rPr>
          <w:lang w:eastAsia="zh-CN"/>
        </w:rPr>
        <w:t>预设资金</w:t>
      </w:r>
      <w:r>
        <w:rPr>
          <w:lang w:eastAsia="zh-CN"/>
        </w:rPr>
        <w:t>压缩方面作出修订及澄清。</w:t>
      </w:r>
    </w:p>
    <w:p w:rsidR="0016322B" w:rsidRDefault="00432300">
      <w:pPr>
        <w:pStyle w:val="BodyText"/>
        <w:rPr>
          <w:lang w:eastAsia="zh-CN"/>
        </w:rPr>
      </w:pPr>
      <w:r>
        <w:rPr>
          <w:lang w:eastAsia="zh-CN"/>
        </w:rPr>
        <w:t xml:space="preserve">(i) </w:t>
      </w:r>
      <w:r>
        <w:rPr>
          <w:lang w:eastAsia="zh-CN"/>
        </w:rPr>
        <w:t>预设资金确认</w:t>
      </w:r>
    </w:p>
    <w:p w:rsidR="0016322B" w:rsidRDefault="00432300">
      <w:pPr>
        <w:pStyle w:val="BodyText"/>
        <w:rPr>
          <w:lang w:eastAsia="zh-CN"/>
        </w:rPr>
      </w:pPr>
      <w:r>
        <w:rPr>
          <w:lang w:eastAsia="zh-CN"/>
        </w:rPr>
        <w:t>香港交易所在其谘询总结中重申，从监管及合约的角度来看，引入</w:t>
      </w:r>
      <w:r>
        <w:rPr>
          <w:lang w:eastAsia="zh-CN"/>
        </w:rPr>
        <w:t>FINI</w:t>
      </w:r>
      <w:r>
        <w:rPr>
          <w:lang w:eastAsia="zh-CN"/>
        </w:rPr>
        <w:t>将不会大幅改变持牌法团</w:t>
      </w:r>
      <w:r>
        <w:rPr>
          <w:lang w:eastAsia="zh-CN"/>
        </w:rPr>
        <w:t>/</w:t>
      </w:r>
      <w:r>
        <w:rPr>
          <w:lang w:eastAsia="zh-CN"/>
        </w:rPr>
        <w:t>注册机构、结算参与者及指定银行在</w:t>
      </w:r>
      <w:r>
        <w:rPr>
          <w:lang w:eastAsia="zh-CN"/>
        </w:rPr>
        <w:t xml:space="preserve"> EIPO </w:t>
      </w:r>
      <w:r>
        <w:rPr>
          <w:lang w:eastAsia="zh-CN"/>
        </w:rPr>
        <w:t>程序的责任</w:t>
      </w:r>
      <w:r>
        <w:rPr>
          <w:lang w:eastAsia="zh-CN"/>
        </w:rPr>
        <w:t xml:space="preserve"> </w:t>
      </w:r>
      <w:r>
        <w:rPr>
          <w:lang w:eastAsia="zh-CN"/>
        </w:rPr>
        <w:t>。然而，</w:t>
      </w:r>
      <w:r>
        <w:rPr>
          <w:lang w:eastAsia="zh-CN"/>
        </w:rPr>
        <w:t>FINI</w:t>
      </w:r>
      <w:r>
        <w:rPr>
          <w:lang w:eastAsia="zh-CN"/>
        </w:rPr>
        <w:t>会改变有关确认结算参与者预设资金的操作流程。</w:t>
      </w:r>
    </w:p>
    <w:p w:rsidR="0016322B" w:rsidRDefault="00432300">
      <w:pPr>
        <w:pStyle w:val="BodyText"/>
        <w:rPr>
          <w:lang w:eastAsia="zh-CN"/>
        </w:rPr>
      </w:pPr>
      <w:r>
        <w:rPr>
          <w:lang w:eastAsia="zh-CN"/>
        </w:rPr>
        <w:lastRenderedPageBreak/>
        <w:t>在新安排下，</w:t>
      </w:r>
      <w:r>
        <w:rPr>
          <w:lang w:eastAsia="zh-CN"/>
        </w:rPr>
        <w:t>EIPO</w:t>
      </w:r>
      <w:r>
        <w:rPr>
          <w:lang w:eastAsia="zh-CN"/>
        </w:rPr>
        <w:t>款项将由结算参与者的指定银行「锁定」，直到需为结算参与者获配发的金额进行项款结算的部分被最终回收为止。这将使指定银行更快地将未使用的预设基金释放回结算参与者，使结算参与者和指定银行之间的</w:t>
      </w:r>
      <w:r>
        <w:rPr>
          <w:lang w:eastAsia="zh-CN"/>
        </w:rPr>
        <w:t xml:space="preserve">EIPO </w:t>
      </w:r>
      <w:r>
        <w:rPr>
          <w:lang w:eastAsia="zh-CN"/>
        </w:rPr>
        <w:t>预设基金管理更加有序，与当前做法相比，降</w:t>
      </w:r>
      <w:r>
        <w:rPr>
          <w:lang w:eastAsia="zh-CN"/>
        </w:rPr>
        <w:t>低与</w:t>
      </w:r>
      <w:r>
        <w:rPr>
          <w:lang w:eastAsia="zh-CN"/>
        </w:rPr>
        <w:t xml:space="preserve">EIPO </w:t>
      </w:r>
      <w:r>
        <w:rPr>
          <w:lang w:eastAsia="zh-CN"/>
        </w:rPr>
        <w:t>相关的流动性在单一接收银行的系统性集中度。</w:t>
      </w:r>
    </w:p>
    <w:p w:rsidR="0016322B" w:rsidRDefault="00432300">
      <w:pPr>
        <w:pStyle w:val="BodyText"/>
        <w:rPr>
          <w:lang w:eastAsia="zh-CN"/>
        </w:rPr>
      </w:pPr>
      <w:r>
        <w:rPr>
          <w:lang w:eastAsia="zh-CN"/>
        </w:rPr>
        <w:t>香港交易所将于</w:t>
      </w:r>
      <w:r>
        <w:rPr>
          <w:lang w:eastAsia="zh-CN"/>
        </w:rPr>
        <w:t xml:space="preserve"> FINI </w:t>
      </w:r>
      <w:r>
        <w:rPr>
          <w:lang w:eastAsia="zh-CN"/>
        </w:rPr>
        <w:t>框架谘询文件总结发布后与指定银行团体接触，就</w:t>
      </w:r>
      <w:r>
        <w:rPr>
          <w:lang w:eastAsia="zh-CN"/>
        </w:rPr>
        <w:t>FINI</w:t>
      </w:r>
      <w:r>
        <w:rPr>
          <w:lang w:eastAsia="zh-CN"/>
        </w:rPr>
        <w:t>新的预设资金安排的营运操作和期望等细节达成共识，并于</w:t>
      </w:r>
      <w:r>
        <w:rPr>
          <w:lang w:eastAsia="zh-CN"/>
        </w:rPr>
        <w:t xml:space="preserve"> FINI </w:t>
      </w:r>
      <w:r>
        <w:rPr>
          <w:lang w:eastAsia="zh-CN"/>
        </w:rPr>
        <w:t>资料集</w:t>
      </w:r>
      <w:hyperlink w:anchor="footnote-8693-5">
        <w:r>
          <w:rPr>
            <w:vertAlign w:val="superscript"/>
            <w:lang w:eastAsia="zh-CN"/>
          </w:rPr>
          <w:t>5</w:t>
        </w:r>
      </w:hyperlink>
      <w:r>
        <w:rPr>
          <w:lang w:eastAsia="zh-CN"/>
        </w:rPr>
        <w:t>适时更新议定细节。</w:t>
      </w:r>
    </w:p>
    <w:p w:rsidR="0016322B" w:rsidRDefault="00432300">
      <w:pPr>
        <w:pStyle w:val="BodyText"/>
        <w:rPr>
          <w:lang w:eastAsia="zh-CN"/>
        </w:rPr>
      </w:pPr>
      <w:r>
        <w:rPr>
          <w:lang w:eastAsia="zh-CN"/>
        </w:rPr>
        <w:t xml:space="preserve">(ii) </w:t>
      </w:r>
      <w:r>
        <w:rPr>
          <w:lang w:eastAsia="zh-CN"/>
        </w:rPr>
        <w:t>预设资金压缩</w:t>
      </w:r>
    </w:p>
    <w:p w:rsidR="0016322B" w:rsidRDefault="00432300">
      <w:pPr>
        <w:pStyle w:val="BodyText"/>
        <w:rPr>
          <w:lang w:eastAsia="zh-CN"/>
        </w:rPr>
      </w:pPr>
      <w:r>
        <w:rPr>
          <w:lang w:eastAsia="zh-CN"/>
        </w:rPr>
        <w:t>于</w:t>
      </w:r>
      <w:r>
        <w:rPr>
          <w:lang w:eastAsia="zh-CN"/>
        </w:rPr>
        <w:t>FINI</w:t>
      </w:r>
      <w:r>
        <w:rPr>
          <w:lang w:eastAsia="zh-CN"/>
        </w:rPr>
        <w:t>引入预设资金压缩机制是为了减少最大型及最受欢迎的香港公开招股时的极量「冻结」流动资金额。举例而言，若相关公开发售规模仅为</w:t>
      </w:r>
      <w:r>
        <w:rPr>
          <w:lang w:eastAsia="zh-CN"/>
        </w:rPr>
        <w:t>1</w:t>
      </w:r>
      <w:r>
        <w:rPr>
          <w:lang w:eastAsia="zh-CN"/>
        </w:rPr>
        <w:t>亿元，香港结算无须要求认购金额达</w:t>
      </w:r>
      <w:r>
        <w:rPr>
          <w:lang w:eastAsia="zh-CN"/>
        </w:rPr>
        <w:t>30</w:t>
      </w:r>
      <w:r>
        <w:rPr>
          <w:lang w:eastAsia="zh-CN"/>
        </w:rPr>
        <w:t>亿元的结算参与者预先全数支付有关款项，该结算参与者在有关公开发售获分配的股份金额几乎可以肯定是更低的。</w:t>
      </w:r>
    </w:p>
    <w:p w:rsidR="0016322B" w:rsidRDefault="00432300">
      <w:pPr>
        <w:pStyle w:val="BodyText"/>
        <w:rPr>
          <w:lang w:eastAsia="zh-CN"/>
        </w:rPr>
      </w:pPr>
      <w:r>
        <w:rPr>
          <w:lang w:eastAsia="zh-CN"/>
        </w:rPr>
        <w:t>交易所在其谘询总结中澄清，结算参与者可自行选择是否采用预设资金压缩机制，这是商业选择。只有有能力并愿意承担和管理对其客户的交易对手风险的结算参与者，才应考虑是否愿意采用有关机制。</w:t>
      </w:r>
    </w:p>
    <w:p w:rsidR="0016322B" w:rsidRDefault="00432300">
      <w:pPr>
        <w:pStyle w:val="BodyText"/>
        <w:rPr>
          <w:lang w:eastAsia="zh-CN"/>
        </w:rPr>
      </w:pPr>
      <w:r>
        <w:rPr>
          <w:lang w:eastAsia="zh-CN"/>
        </w:rPr>
        <w:t>为实行这一安排，香港结算会让每名结算参与者于注册开户上线</w:t>
      </w:r>
      <w:r>
        <w:rPr>
          <w:lang w:eastAsia="zh-CN"/>
        </w:rPr>
        <w:t xml:space="preserve"> F</w:t>
      </w:r>
      <w:r>
        <w:rPr>
          <w:lang w:eastAsia="zh-CN"/>
        </w:rPr>
        <w:t xml:space="preserve">INI </w:t>
      </w:r>
      <w:r>
        <w:rPr>
          <w:lang w:eastAsia="zh-CN"/>
        </w:rPr>
        <w:t>时，选择是否采用预设资金压缩机制于所有公开发售认购。一经选择采用预设资金压缩机制后，计算方法将应用于所有公开招股，结算参与者并不需每次都进行选择。若结算参与者于注册开户上线</w:t>
      </w:r>
      <w:r>
        <w:rPr>
          <w:lang w:eastAsia="zh-CN"/>
        </w:rPr>
        <w:t>FINI</w:t>
      </w:r>
      <w:r>
        <w:rPr>
          <w:lang w:eastAsia="zh-CN"/>
        </w:rPr>
        <w:t>时不选择采用预设资金压缩机制，亦可事后改选采用预设资金压缩机制。修改后的预设资金需求计算方法将应用于此后所有公开招股，除了在申请改选时已开始公开发售的公开招股以外。结算参与者亦可事后随时申请改选预设资金的方法。</w:t>
      </w:r>
    </w:p>
    <w:p w:rsidR="0016322B" w:rsidRDefault="00432300">
      <w:pPr>
        <w:pStyle w:val="BodyText"/>
        <w:rPr>
          <w:lang w:eastAsia="zh-CN"/>
        </w:rPr>
      </w:pPr>
      <w:r>
        <w:rPr>
          <w:lang w:eastAsia="zh-CN"/>
        </w:rPr>
        <w:t>客户资金的管理及公开招股的借贷活动为证监会（就持牌法团及注册机构而言）及金管局（就注册机构而言）的现行规例及指引</w:t>
      </w:r>
      <w:r>
        <w:rPr>
          <w:lang w:eastAsia="zh-CN"/>
        </w:rPr>
        <w:t>所监管，而在</w:t>
      </w:r>
      <w:r>
        <w:rPr>
          <w:lang w:eastAsia="zh-CN"/>
        </w:rPr>
        <w:t>FINI</w:t>
      </w:r>
      <w:r>
        <w:rPr>
          <w:lang w:eastAsia="zh-CN"/>
        </w:rPr>
        <w:t>下将会维持不变。同时，香港结算按每名结算参与者就其公开发售认购的预设资金需求以现金为本，而只能透过结算参与者的指定银行发出的确认要求是否被满足。</w:t>
      </w:r>
    </w:p>
    <w:p w:rsidR="0016322B" w:rsidRDefault="00432300">
      <w:pPr>
        <w:pStyle w:val="BodyText"/>
        <w:rPr>
          <w:lang w:eastAsia="zh-CN"/>
        </w:rPr>
      </w:pPr>
      <w:r>
        <w:rPr>
          <w:lang w:eastAsia="zh-CN"/>
        </w:rPr>
        <w:t>香港交易所希望通过有关澄清，公开招股的现金及孖展认购模式将于推出</w:t>
      </w:r>
      <w:r>
        <w:rPr>
          <w:lang w:eastAsia="zh-CN"/>
        </w:rPr>
        <w:t>FINI</w:t>
      </w:r>
      <w:r>
        <w:rPr>
          <w:lang w:eastAsia="zh-CN"/>
        </w:rPr>
        <w:t>后继续顺利共存，以满足不同投资者组别的需求及协助不同经纪及结算参与者的不同业务模式。</w:t>
      </w:r>
    </w:p>
    <w:p w:rsidR="0016322B" w:rsidRDefault="00432300">
      <w:pPr>
        <w:pStyle w:val="BodyText"/>
        <w:rPr>
          <w:lang w:eastAsia="zh-CN"/>
        </w:rPr>
      </w:pPr>
      <w:r>
        <w:rPr>
          <w:lang w:eastAsia="zh-CN"/>
        </w:rPr>
        <w:t>香港交易所进一步澄清</w:t>
      </w:r>
      <w:r>
        <w:rPr>
          <w:lang w:eastAsia="zh-CN"/>
        </w:rPr>
        <w:t>FINI</w:t>
      </w:r>
      <w:r>
        <w:rPr>
          <w:lang w:eastAsia="zh-CN"/>
        </w:rPr>
        <w:t>下有关管理付款失败及部分结算程序的详细操作安排。香港交易所就此制定了若干原则，并预期于</w:t>
      </w:r>
      <w:r>
        <w:rPr>
          <w:lang w:eastAsia="zh-CN"/>
        </w:rPr>
        <w:t>FINI</w:t>
      </w:r>
      <w:r>
        <w:rPr>
          <w:lang w:eastAsia="zh-CN"/>
        </w:rPr>
        <w:t>的系统开发阶段公布有关原则。鉴于</w:t>
      </w:r>
      <w:r>
        <w:rPr>
          <w:lang w:eastAsia="zh-CN"/>
        </w:rPr>
        <w:t>FINI</w:t>
      </w:r>
      <w:r>
        <w:rPr>
          <w:lang w:eastAsia="zh-CN"/>
        </w:rPr>
        <w:t>公开发售预设资金安排及相关</w:t>
      </w:r>
      <w:r>
        <w:rPr>
          <w:lang w:eastAsia="zh-CN"/>
        </w:rPr>
        <w:t>操作涉及的变化都是属创新安排，香港交易所会在</w:t>
      </w:r>
      <w:r>
        <w:rPr>
          <w:lang w:eastAsia="zh-CN"/>
        </w:rPr>
        <w:t>2021</w:t>
      </w:r>
      <w:r>
        <w:rPr>
          <w:lang w:eastAsia="zh-CN"/>
        </w:rPr>
        <w:t>年至</w:t>
      </w:r>
      <w:r>
        <w:rPr>
          <w:lang w:eastAsia="zh-CN"/>
        </w:rPr>
        <w:t>2022</w:t>
      </w:r>
      <w:r>
        <w:rPr>
          <w:lang w:eastAsia="zh-CN"/>
        </w:rPr>
        <w:t>年期间按照市场准备及注册开户上线计划给投资者、经纪、结算参与者及指定银行作广泛的市场教育。</w:t>
      </w:r>
    </w:p>
    <w:p w:rsidR="0016322B" w:rsidRDefault="00432300">
      <w:pPr>
        <w:pStyle w:val="BodyText"/>
        <w:rPr>
          <w:lang w:eastAsia="zh-CN"/>
        </w:rPr>
      </w:pPr>
      <w:r>
        <w:rPr>
          <w:lang w:eastAsia="zh-CN"/>
        </w:rPr>
        <w:t xml:space="preserve">3. </w:t>
      </w:r>
      <w:r>
        <w:rPr>
          <w:lang w:eastAsia="zh-CN"/>
        </w:rPr>
        <w:t>香港交易所公开招股投资者身份识别</w:t>
      </w:r>
    </w:p>
    <w:p w:rsidR="0016322B" w:rsidRDefault="00432300">
      <w:pPr>
        <w:pStyle w:val="BodyText"/>
        <w:rPr>
          <w:lang w:eastAsia="zh-CN"/>
        </w:rPr>
      </w:pPr>
      <w:r>
        <w:rPr>
          <w:lang w:eastAsia="zh-CN"/>
        </w:rPr>
        <w:t>考虑到符合确保对所有投资者一视同仁的监管规定，在谘询文件中，香港交易所建议将认购香港公开招股中公开发售部分之股份的投资者所提供的身份资料划一，不论是透过结算参与者还是股份过户登记处认购。此建议旨在为同一投资者重复认购的识别及注销提供便利。</w:t>
      </w:r>
    </w:p>
    <w:p w:rsidR="0016322B" w:rsidRDefault="00432300">
      <w:pPr>
        <w:pStyle w:val="BodyText"/>
        <w:rPr>
          <w:lang w:eastAsia="zh-CN"/>
        </w:rPr>
      </w:pPr>
      <w:r>
        <w:rPr>
          <w:lang w:eastAsia="zh-CN"/>
        </w:rPr>
        <w:t>香港交易所在总结中澄清，为了方便市场参与者，香港交易所打算将</w:t>
      </w:r>
      <w:r>
        <w:rPr>
          <w:lang w:eastAsia="zh-CN"/>
        </w:rPr>
        <w:t>FINI</w:t>
      </w:r>
      <w:r>
        <w:rPr>
          <w:lang w:eastAsia="zh-CN"/>
        </w:rPr>
        <w:t>中所有公</w:t>
      </w:r>
      <w:r>
        <w:rPr>
          <w:lang w:eastAsia="zh-CN"/>
        </w:rPr>
        <w:t>开招股认购者的投资者身份识别规定与</w:t>
      </w:r>
      <w:r>
        <w:rPr>
          <w:i/>
          <w:lang w:eastAsia="zh-CN"/>
        </w:rPr>
        <w:t>在交易层面上对香港证券市场实施投资者识别码制度</w:t>
      </w:r>
      <w:r>
        <w:rPr>
          <w:lang w:eastAsia="zh-CN"/>
        </w:rPr>
        <w:t>（「</w:t>
      </w:r>
      <w:r>
        <w:rPr>
          <w:b/>
          <w:lang w:eastAsia="zh-CN"/>
        </w:rPr>
        <w:t>投资者识别码制度</w:t>
      </w:r>
      <w:r>
        <w:rPr>
          <w:lang w:eastAsia="zh-CN"/>
        </w:rPr>
        <w:t>」）的所述规定紧密对应。证监会于</w:t>
      </w:r>
      <w:r>
        <w:rPr>
          <w:lang w:eastAsia="zh-CN"/>
        </w:rPr>
        <w:t>2020</w:t>
      </w:r>
      <w:r>
        <w:rPr>
          <w:lang w:eastAsia="zh-CN"/>
        </w:rPr>
        <w:t>年</w:t>
      </w:r>
      <w:r>
        <w:rPr>
          <w:lang w:eastAsia="zh-CN"/>
        </w:rPr>
        <w:t>12</w:t>
      </w:r>
      <w:r>
        <w:rPr>
          <w:lang w:eastAsia="zh-CN"/>
        </w:rPr>
        <w:t>月</w:t>
      </w:r>
      <w:r>
        <w:rPr>
          <w:lang w:eastAsia="zh-CN"/>
        </w:rPr>
        <w:t>4</w:t>
      </w:r>
      <w:r>
        <w:rPr>
          <w:lang w:eastAsia="zh-CN"/>
        </w:rPr>
        <w:t>日公布谘询市场意见，唯以投资者识别码制度最终落实版本为准。</w:t>
      </w:r>
    </w:p>
    <w:p w:rsidR="0016322B" w:rsidRDefault="00432300">
      <w:pPr>
        <w:pStyle w:val="BodyText"/>
        <w:rPr>
          <w:lang w:eastAsia="zh-CN"/>
        </w:rPr>
      </w:pPr>
      <w:r>
        <w:rPr>
          <w:lang w:eastAsia="zh-CN"/>
        </w:rPr>
        <w:t>为符合规定，通过</w:t>
      </w:r>
      <w:r>
        <w:rPr>
          <w:lang w:eastAsia="zh-CN"/>
        </w:rPr>
        <w:t>FINI</w:t>
      </w:r>
      <w:r>
        <w:rPr>
          <w:lang w:eastAsia="zh-CN"/>
        </w:rPr>
        <w:t>认购香港公开招股中公开发售（</w:t>
      </w:r>
      <w:r>
        <w:rPr>
          <w:lang w:eastAsia="zh-CN"/>
        </w:rPr>
        <w:t xml:space="preserve">EIPO </w:t>
      </w:r>
      <w:r>
        <w:rPr>
          <w:lang w:eastAsia="zh-CN"/>
        </w:rPr>
        <w:t>或股份过户登记处电子认购申请渠道）或国际配售部分股份的投资者必须提交下表所述资料。公开招股认购者或须不时按监管机构指示及</w:t>
      </w:r>
      <w:r>
        <w:rPr>
          <w:lang w:eastAsia="zh-CN"/>
        </w:rPr>
        <w:t>/</w:t>
      </w:r>
      <w:r>
        <w:rPr>
          <w:lang w:eastAsia="zh-CN"/>
        </w:rPr>
        <w:t>或向市场的公布提供额外资料。</w:t>
      </w:r>
    </w:p>
    <w:tbl>
      <w:tblPr>
        <w:tblStyle w:val="TableGrid"/>
        <w:tblW w:w="0" w:type="auto"/>
        <w:tblLook w:val="04A0" w:firstRow="1" w:lastRow="0" w:firstColumn="1" w:lastColumn="0" w:noHBand="0" w:noVBand="1"/>
      </w:tblPr>
      <w:tblGrid>
        <w:gridCol w:w="4675"/>
        <w:gridCol w:w="4675"/>
      </w:tblGrid>
      <w:tr w:rsidR="00FA70F6" w:rsidTr="009620B5">
        <w:trPr>
          <w:trHeight w:val="90"/>
        </w:trPr>
        <w:tc>
          <w:tcPr>
            <w:tcW w:w="4675" w:type="dxa"/>
          </w:tcPr>
          <w:p w:rsidR="00FA70F6" w:rsidRDefault="00FA70F6" w:rsidP="009620B5">
            <w:pPr>
              <w:jc w:val="center"/>
              <w:rPr>
                <w:rFonts w:ascii="DFKai-SB" w:eastAsia="DFKai-SB" w:hAnsi="DFKai-SB" w:cs="DFKai-SB"/>
                <w:b/>
                <w:lang w:eastAsia="zh-CN"/>
              </w:rPr>
            </w:pPr>
            <w:r>
              <w:rPr>
                <w:rFonts w:ascii="DFKai-SB" w:eastAsia="DFKai-SB" w:hAnsi="DFKai-SB" w:cs="DFKai-SB" w:hint="eastAsia"/>
                <w:b/>
                <w:lang w:eastAsia="zh-CN"/>
              </w:rPr>
              <w:lastRenderedPageBreak/>
              <w:t>个人认购者</w:t>
            </w:r>
          </w:p>
        </w:tc>
        <w:tc>
          <w:tcPr>
            <w:tcW w:w="4675" w:type="dxa"/>
          </w:tcPr>
          <w:p w:rsidR="00FA70F6" w:rsidRDefault="00FA70F6" w:rsidP="009620B5">
            <w:pPr>
              <w:jc w:val="center"/>
              <w:rPr>
                <w:rFonts w:ascii="DFKai-SB" w:eastAsia="DFKai-SB" w:hAnsi="DFKai-SB" w:cs="DFKai-SB"/>
                <w:b/>
                <w:lang w:eastAsia="zh-CN"/>
              </w:rPr>
            </w:pPr>
            <w:r>
              <w:rPr>
                <w:rFonts w:ascii="DFKai-SB" w:eastAsia="DFKai-SB" w:hAnsi="DFKai-SB" w:cs="DFKai-SB" w:hint="eastAsia"/>
                <w:b/>
                <w:lang w:eastAsia="zh-CN"/>
              </w:rPr>
              <w:t>公司认购者</w:t>
            </w:r>
          </w:p>
        </w:tc>
      </w:tr>
      <w:tr w:rsidR="00FA70F6" w:rsidTr="009620B5">
        <w:trPr>
          <w:trHeight w:val="3302"/>
        </w:trPr>
        <w:tc>
          <w:tcPr>
            <w:tcW w:w="4675" w:type="dxa"/>
          </w:tcPr>
          <w:p w:rsidR="00FA70F6" w:rsidRPr="00FA70F6" w:rsidRDefault="00FA70F6" w:rsidP="00FA70F6">
            <w:pPr>
              <w:pStyle w:val="ListParagraph"/>
              <w:numPr>
                <w:ilvl w:val="0"/>
                <w:numId w:val="9"/>
              </w:numPr>
              <w:spacing w:after="0" w:line="240" w:lineRule="auto"/>
              <w:ind w:left="312" w:hanging="312"/>
              <w:jc w:val="both"/>
              <w:rPr>
                <w:rFonts w:ascii="DFKai-SB" w:eastAsia="DFKai-SB" w:hAnsi="DFKai-SB" w:cs="DFKai-SB"/>
                <w:b/>
              </w:rPr>
            </w:pPr>
            <w:r>
              <w:rPr>
                <w:rFonts w:ascii="DFKai-SB" w:eastAsia="DFKai-SB" w:hAnsi="DFKai-SB" w:cs="DFKai-SB" w:hint="eastAsia"/>
                <w:bCs/>
              </w:rPr>
              <w:t>身份证明文件所示</w:t>
            </w:r>
            <w:r>
              <w:rPr>
                <w:rFonts w:ascii="DFKai-SB" w:eastAsia="DFKai-SB" w:hAnsi="DFKai-SB" w:cs="DFKai-SB" w:hint="eastAsia"/>
                <w:b/>
              </w:rPr>
              <w:t xml:space="preserve">全名 </w:t>
            </w:r>
          </w:p>
          <w:p w:rsidR="00FA70F6" w:rsidRPr="00FA70F6" w:rsidRDefault="00FA70F6" w:rsidP="00FA70F6">
            <w:pPr>
              <w:pStyle w:val="ListParagraph"/>
              <w:numPr>
                <w:ilvl w:val="0"/>
                <w:numId w:val="9"/>
              </w:numPr>
              <w:spacing w:after="0" w:line="240" w:lineRule="auto"/>
              <w:ind w:left="312" w:hanging="312"/>
              <w:jc w:val="both"/>
              <w:rPr>
                <w:rFonts w:ascii="DFKai-SB" w:eastAsia="DFKai-SB" w:hAnsi="DFKai-SB" w:cs="DFKai-SB"/>
                <w:b/>
              </w:rPr>
            </w:pPr>
            <w:r>
              <w:rPr>
                <w:rFonts w:ascii="DFKai-SB" w:eastAsia="DFKai-SB" w:hAnsi="DFKai-SB" w:cs="DFKai-SB" w:hint="eastAsia"/>
                <w:bCs/>
              </w:rPr>
              <w:t>身份证明文件的</w:t>
            </w:r>
            <w:r>
              <w:rPr>
                <w:rFonts w:ascii="DFKai-SB" w:eastAsia="DFKai-SB" w:hAnsi="DFKai-SB" w:cs="DFKai-SB" w:hint="eastAsia"/>
                <w:b/>
              </w:rPr>
              <w:t>发出国家或司法管辖区</w:t>
            </w:r>
          </w:p>
          <w:p w:rsidR="00FA70F6" w:rsidRDefault="00FA70F6" w:rsidP="00FA70F6">
            <w:pPr>
              <w:pStyle w:val="ListParagraph"/>
              <w:numPr>
                <w:ilvl w:val="0"/>
                <w:numId w:val="9"/>
              </w:numPr>
              <w:spacing w:after="0" w:line="240" w:lineRule="auto"/>
              <w:ind w:left="312" w:hanging="312"/>
              <w:jc w:val="both"/>
              <w:rPr>
                <w:rFonts w:ascii="DFKai-SB" w:eastAsia="DFKai-SB" w:hAnsi="DFKai-SB" w:cs="DFKai-SB"/>
                <w:bCs/>
              </w:rPr>
            </w:pPr>
            <w:r>
              <w:rPr>
                <w:rFonts w:ascii="DFKai-SB" w:eastAsia="DFKai-SB" w:hAnsi="DFKai-SB" w:cs="DFKai-SB" w:hint="eastAsia"/>
                <w:b/>
              </w:rPr>
              <w:t>身份证明文件种类</w:t>
            </w:r>
            <w:r>
              <w:rPr>
                <w:rFonts w:ascii="DFKai-SB" w:eastAsia="DFKai-SB" w:hAnsi="DFKai-SB" w:cs="DFKai-SB" w:hint="eastAsia"/>
                <w:bCs/>
              </w:rPr>
              <w:t>，按以下优先次序排第：</w:t>
            </w:r>
          </w:p>
          <w:p w:rsidR="00FA70F6" w:rsidRDefault="00FA70F6" w:rsidP="009620B5">
            <w:pPr>
              <w:pStyle w:val="ListParagraph"/>
              <w:spacing w:after="0" w:line="240" w:lineRule="auto"/>
              <w:ind w:left="0" w:firstLineChars="200" w:firstLine="440"/>
              <w:jc w:val="both"/>
              <w:rPr>
                <w:rFonts w:ascii="DFKai-SB" w:eastAsia="DFKai-SB" w:hAnsi="DFKai-SB" w:cs="DFKai-SB"/>
                <w:bCs/>
              </w:rPr>
            </w:pPr>
            <w:r>
              <w:rPr>
                <w:rFonts w:ascii="DFKai-SB" w:eastAsia="DFKai-SB" w:hAnsi="DFKai-SB" w:cs="DFKai-SB" w:hint="eastAsia"/>
                <w:bCs/>
                <w:lang w:val="en-US"/>
              </w:rPr>
              <w:t>(</w:t>
            </w:r>
            <w:r>
              <w:rPr>
                <w:rFonts w:ascii="DFKai-SB" w:eastAsia="DFKai-SB" w:hAnsi="DFKai-SB" w:cs="DFKai-SB" w:hint="eastAsia"/>
                <w:bCs/>
              </w:rPr>
              <w:t>i</w:t>
            </w:r>
            <w:r>
              <w:rPr>
                <w:rFonts w:ascii="DFKai-SB" w:eastAsia="DFKai-SB" w:hAnsi="DFKai-SB" w:cs="DFKai-SB" w:hint="eastAsia"/>
                <w:bCs/>
                <w:lang w:val="en-US"/>
              </w:rPr>
              <w:t xml:space="preserve">) </w:t>
            </w:r>
            <w:r>
              <w:rPr>
                <w:rFonts w:ascii="DFKai-SB" w:eastAsia="DFKai-SB" w:hAnsi="DFKai-SB" w:cs="DFKai-SB" w:hint="eastAsia"/>
                <w:bCs/>
              </w:rPr>
              <w:t>香港身份证；</w:t>
            </w:r>
          </w:p>
          <w:p w:rsidR="00FA70F6" w:rsidRDefault="00FA70F6" w:rsidP="009620B5">
            <w:pPr>
              <w:pStyle w:val="ListParagraph"/>
              <w:spacing w:after="0" w:line="240" w:lineRule="auto"/>
              <w:ind w:left="0" w:firstLineChars="200" w:firstLine="440"/>
              <w:jc w:val="both"/>
              <w:rPr>
                <w:rFonts w:ascii="DFKai-SB" w:eastAsia="DFKai-SB" w:hAnsi="DFKai-SB" w:cs="DFKai-SB"/>
                <w:bCs/>
              </w:rPr>
            </w:pPr>
            <w:r>
              <w:rPr>
                <w:rFonts w:ascii="DFKai-SB" w:eastAsia="DFKai-SB" w:hAnsi="DFKai-SB" w:cs="DFKai-SB" w:hint="eastAsia"/>
                <w:bCs/>
                <w:lang w:val="en-US"/>
              </w:rPr>
              <w:t>(</w:t>
            </w:r>
            <w:r>
              <w:rPr>
                <w:rFonts w:ascii="DFKai-SB" w:eastAsia="DFKai-SB" w:hAnsi="DFKai-SB" w:cs="DFKai-SB" w:hint="eastAsia"/>
                <w:bCs/>
              </w:rPr>
              <w:t>ii</w:t>
            </w:r>
            <w:r>
              <w:rPr>
                <w:rFonts w:ascii="DFKai-SB" w:eastAsia="DFKai-SB" w:hAnsi="DFKai-SB" w:cs="DFKai-SB" w:hint="eastAsia"/>
                <w:bCs/>
                <w:lang w:val="en-US"/>
              </w:rPr>
              <w:t>)</w:t>
            </w:r>
            <w:r>
              <w:rPr>
                <w:rFonts w:ascii="DFKai-SB" w:eastAsia="DFKai-SB" w:hAnsi="DFKai-SB" w:cs="DFKai-SB" w:hint="eastAsia"/>
                <w:bCs/>
              </w:rPr>
              <w:t xml:space="preserve"> 国民身份证明文件；</w:t>
            </w:r>
          </w:p>
          <w:p w:rsidR="00FA70F6" w:rsidRPr="00FA70F6" w:rsidRDefault="00FA70F6" w:rsidP="00FA70F6">
            <w:pPr>
              <w:pStyle w:val="ListParagraph"/>
              <w:spacing w:after="0" w:line="240" w:lineRule="auto"/>
              <w:ind w:left="0" w:firstLineChars="200" w:firstLine="440"/>
              <w:jc w:val="both"/>
              <w:rPr>
                <w:rFonts w:ascii="DFKai-SB" w:hAnsi="DFKai-SB" w:cs="DFKai-SB"/>
                <w:bCs/>
              </w:rPr>
            </w:pPr>
            <w:r>
              <w:rPr>
                <w:rFonts w:ascii="DFKai-SB" w:eastAsia="DFKai-SB" w:hAnsi="DFKai-SB" w:cs="DFKai-SB" w:hint="eastAsia"/>
                <w:bCs/>
                <w:lang w:val="en-US"/>
              </w:rPr>
              <w:t>(</w:t>
            </w:r>
            <w:r>
              <w:rPr>
                <w:rFonts w:ascii="DFKai-SB" w:eastAsia="DFKai-SB" w:hAnsi="DFKai-SB" w:cs="DFKai-SB" w:hint="eastAsia"/>
                <w:bCs/>
              </w:rPr>
              <w:t>iii</w:t>
            </w:r>
            <w:r>
              <w:rPr>
                <w:rFonts w:ascii="DFKai-SB" w:eastAsia="DFKai-SB" w:hAnsi="DFKai-SB" w:cs="DFKai-SB" w:hint="eastAsia"/>
                <w:bCs/>
                <w:lang w:val="en-US"/>
              </w:rPr>
              <w:t>)</w:t>
            </w:r>
            <w:r>
              <w:rPr>
                <w:rFonts w:ascii="DFKai-SB" w:eastAsia="DFKai-SB" w:hAnsi="DFKai-SB" w:cs="DFKai-SB" w:hint="eastAsia"/>
                <w:bCs/>
              </w:rPr>
              <w:t xml:space="preserve"> 护照；及</w:t>
            </w:r>
          </w:p>
          <w:p w:rsidR="00FA70F6" w:rsidRDefault="00FA70F6" w:rsidP="00FA70F6">
            <w:pPr>
              <w:pStyle w:val="ListParagraph"/>
              <w:numPr>
                <w:ilvl w:val="0"/>
                <w:numId w:val="9"/>
              </w:numPr>
              <w:spacing w:after="0" w:line="240" w:lineRule="auto"/>
              <w:ind w:left="312" w:hanging="312"/>
              <w:jc w:val="both"/>
              <w:rPr>
                <w:rFonts w:ascii="DFKai-SB" w:eastAsia="DFKai-SB" w:hAnsi="DFKai-SB" w:cs="DFKai-SB"/>
                <w:b/>
              </w:rPr>
            </w:pPr>
            <w:r>
              <w:rPr>
                <w:rFonts w:ascii="DFKai-SB" w:eastAsia="DFKai-SB" w:hAnsi="DFKai-SB" w:cs="DFKai-SB" w:hint="eastAsia"/>
                <w:b/>
              </w:rPr>
              <w:t>身份证明文件号码</w:t>
            </w:r>
          </w:p>
          <w:p w:rsidR="00FA70F6" w:rsidRDefault="00FA70F6" w:rsidP="009620B5">
            <w:pPr>
              <w:pStyle w:val="ListParagraph"/>
              <w:tabs>
                <w:tab w:val="left" w:pos="879"/>
              </w:tabs>
              <w:spacing w:after="0" w:line="240" w:lineRule="auto"/>
              <w:ind w:left="0"/>
              <w:rPr>
                <w:rFonts w:ascii="DFKai-SB" w:eastAsia="DFKai-SB" w:hAnsi="DFKai-SB" w:cs="DFKai-SB"/>
              </w:rPr>
            </w:pPr>
          </w:p>
        </w:tc>
        <w:tc>
          <w:tcPr>
            <w:tcW w:w="4675" w:type="dxa"/>
          </w:tcPr>
          <w:p w:rsidR="00FA70F6" w:rsidRPr="00FA70F6" w:rsidRDefault="00FA70F6" w:rsidP="00FA70F6">
            <w:pPr>
              <w:pStyle w:val="ListParagraph"/>
              <w:numPr>
                <w:ilvl w:val="0"/>
                <w:numId w:val="9"/>
              </w:numPr>
              <w:spacing w:after="0" w:line="240" w:lineRule="auto"/>
              <w:ind w:left="311" w:hanging="311"/>
              <w:rPr>
                <w:rFonts w:ascii="DFKai-SB" w:eastAsia="DFKai-SB" w:hAnsi="DFKai-SB" w:cs="DFKai-SB"/>
              </w:rPr>
            </w:pPr>
            <w:r>
              <w:rPr>
                <w:rFonts w:ascii="DFKai-SB" w:eastAsia="DFKai-SB" w:hAnsi="DFKai-SB" w:cs="DFKai-SB" w:hint="eastAsia"/>
              </w:rPr>
              <w:t>证明文件所示</w:t>
            </w:r>
            <w:r>
              <w:rPr>
                <w:rFonts w:ascii="DFKai-SB" w:eastAsia="DFKai-SB" w:hAnsi="DFKai-SB" w:cs="DFKai-SB" w:hint="eastAsia"/>
                <w:b/>
                <w:bCs/>
              </w:rPr>
              <w:t>全名</w:t>
            </w:r>
          </w:p>
          <w:p w:rsidR="00FA70F6" w:rsidRPr="00FA70F6" w:rsidRDefault="00FA70F6" w:rsidP="00FA70F6">
            <w:pPr>
              <w:pStyle w:val="ListParagraph"/>
              <w:numPr>
                <w:ilvl w:val="0"/>
                <w:numId w:val="9"/>
              </w:numPr>
              <w:spacing w:after="0" w:line="240" w:lineRule="auto"/>
              <w:ind w:left="311" w:hanging="311"/>
              <w:rPr>
                <w:rFonts w:ascii="DFKai-SB" w:eastAsia="DFKai-SB" w:hAnsi="DFKai-SB" w:cs="DFKai-SB"/>
              </w:rPr>
            </w:pPr>
            <w:r>
              <w:rPr>
                <w:rFonts w:ascii="DFKai-SB" w:eastAsia="DFKai-SB" w:hAnsi="DFKai-SB" w:cs="DFKai-SB" w:hint="eastAsia"/>
              </w:rPr>
              <w:t>证明文件的</w:t>
            </w:r>
            <w:r>
              <w:rPr>
                <w:rFonts w:ascii="DFKai-SB" w:eastAsia="DFKai-SB" w:hAnsi="DFKai-SB" w:cs="DFKai-SB" w:hint="eastAsia"/>
                <w:b/>
                <w:bCs/>
              </w:rPr>
              <w:t>发出国家或司法管辖区</w:t>
            </w:r>
          </w:p>
          <w:p w:rsidR="00FA70F6" w:rsidRDefault="00FA70F6" w:rsidP="00FA70F6">
            <w:pPr>
              <w:pStyle w:val="ListParagraph"/>
              <w:numPr>
                <w:ilvl w:val="0"/>
                <w:numId w:val="9"/>
              </w:numPr>
              <w:spacing w:after="0" w:line="240" w:lineRule="auto"/>
              <w:ind w:left="311" w:hanging="311"/>
              <w:rPr>
                <w:rFonts w:ascii="DFKai-SB" w:eastAsia="DFKai-SB" w:hAnsi="DFKai-SB" w:cs="DFKai-SB"/>
              </w:rPr>
            </w:pPr>
            <w:r>
              <w:rPr>
                <w:rFonts w:ascii="DFKai-SB" w:eastAsia="DFKai-SB" w:hAnsi="DFKai-SB" w:cs="DFKai-SB" w:hint="eastAsia"/>
                <w:b/>
                <w:bCs/>
              </w:rPr>
              <w:t>证明文件种类</w:t>
            </w:r>
            <w:r>
              <w:rPr>
                <w:rFonts w:ascii="DFKai-SB" w:eastAsia="DFKai-SB" w:hAnsi="DFKai-SB" w:cs="DFKai-SB" w:hint="eastAsia"/>
              </w:rPr>
              <w:t>，按以下优先次序排第：</w:t>
            </w:r>
          </w:p>
          <w:p w:rsidR="00FA70F6" w:rsidRDefault="00FA70F6" w:rsidP="009620B5">
            <w:pPr>
              <w:pStyle w:val="ListParagraph"/>
              <w:tabs>
                <w:tab w:val="left" w:pos="218"/>
              </w:tabs>
              <w:spacing w:after="0" w:line="240" w:lineRule="auto"/>
              <w:ind w:left="0" w:firstLineChars="100" w:firstLine="220"/>
              <w:rPr>
                <w:rFonts w:ascii="DFKai-SB" w:eastAsia="DFKai-SB" w:hAnsi="DFKai-SB" w:cs="DFKai-SB"/>
              </w:rPr>
            </w:pPr>
            <w:r>
              <w:rPr>
                <w:rFonts w:ascii="DFKai-SB" w:eastAsia="DFKai-SB" w:hAnsi="DFKai-SB" w:cs="DFKai-SB" w:hint="eastAsia"/>
                <w:lang w:val="en-US"/>
              </w:rPr>
              <w:t>(</w:t>
            </w:r>
            <w:r>
              <w:rPr>
                <w:rFonts w:ascii="DFKai-SB" w:eastAsia="DFKai-SB" w:hAnsi="DFKai-SB" w:cs="DFKai-SB" w:hint="eastAsia"/>
              </w:rPr>
              <w:t>i</w:t>
            </w:r>
            <w:r>
              <w:rPr>
                <w:rFonts w:ascii="DFKai-SB" w:eastAsia="DFKai-SB" w:hAnsi="DFKai-SB" w:cs="DFKai-SB" w:hint="eastAsia"/>
                <w:lang w:val="en-US"/>
              </w:rPr>
              <w:t>)</w:t>
            </w:r>
            <w:r>
              <w:rPr>
                <w:rFonts w:ascii="DFKai-SB" w:eastAsia="DFKai-SB" w:hAnsi="DFKai-SB" w:cs="DFKai-SB" w:hint="eastAsia"/>
              </w:rPr>
              <w:t xml:space="preserve"> 法人机构识别编码注册文件；</w:t>
            </w:r>
          </w:p>
          <w:p w:rsidR="00FA70F6" w:rsidRDefault="00FA70F6" w:rsidP="009620B5">
            <w:pPr>
              <w:pStyle w:val="ListParagraph"/>
              <w:spacing w:after="0" w:line="240" w:lineRule="auto"/>
              <w:ind w:left="0" w:firstLineChars="100" w:firstLine="220"/>
              <w:rPr>
                <w:rFonts w:ascii="DFKai-SB" w:eastAsia="DFKai-SB" w:hAnsi="DFKai-SB" w:cs="DFKai-SB"/>
              </w:rPr>
            </w:pPr>
            <w:r>
              <w:rPr>
                <w:rFonts w:ascii="DFKai-SB" w:eastAsia="DFKai-SB" w:hAnsi="DFKai-SB" w:cs="DFKai-SB" w:hint="eastAsia"/>
                <w:lang w:val="en-US"/>
              </w:rPr>
              <w:t>(</w:t>
            </w:r>
            <w:r>
              <w:rPr>
                <w:rFonts w:ascii="DFKai-SB" w:eastAsia="DFKai-SB" w:hAnsi="DFKai-SB" w:cs="DFKai-SB" w:hint="eastAsia"/>
              </w:rPr>
              <w:t>ii</w:t>
            </w:r>
            <w:r>
              <w:rPr>
                <w:rFonts w:ascii="DFKai-SB" w:eastAsia="DFKai-SB" w:hAnsi="DFKai-SB" w:cs="DFKai-SB" w:hint="eastAsia"/>
                <w:lang w:val="en-US"/>
              </w:rPr>
              <w:t>)</w:t>
            </w:r>
            <w:r>
              <w:rPr>
                <w:rFonts w:ascii="DFKai-SB" w:eastAsia="DFKai-SB" w:hAnsi="DFKai-SB" w:cs="DFKai-SB" w:hint="eastAsia"/>
              </w:rPr>
              <w:t xml:space="preserve"> 公司注册证明书；</w:t>
            </w:r>
          </w:p>
          <w:p w:rsidR="00FA70F6" w:rsidRDefault="00FA70F6" w:rsidP="009620B5">
            <w:pPr>
              <w:pStyle w:val="ListParagraph"/>
              <w:spacing w:after="0" w:line="240" w:lineRule="auto"/>
              <w:ind w:left="0" w:firstLineChars="100" w:firstLine="220"/>
              <w:rPr>
                <w:rFonts w:ascii="DFKai-SB" w:eastAsia="DFKai-SB" w:hAnsi="DFKai-SB" w:cs="DFKai-SB"/>
              </w:rPr>
            </w:pPr>
            <w:r>
              <w:rPr>
                <w:rFonts w:ascii="DFKai-SB" w:eastAsia="DFKai-SB" w:hAnsi="DFKai-SB" w:cs="DFKai-SB" w:hint="eastAsia"/>
                <w:lang w:val="en-US"/>
              </w:rPr>
              <w:t>(</w:t>
            </w:r>
            <w:r>
              <w:rPr>
                <w:rFonts w:ascii="DFKai-SB" w:eastAsia="DFKai-SB" w:hAnsi="DFKai-SB" w:cs="DFKai-SB" w:hint="eastAsia"/>
              </w:rPr>
              <w:t>iii</w:t>
            </w:r>
            <w:r>
              <w:rPr>
                <w:rFonts w:ascii="DFKai-SB" w:eastAsia="DFKai-SB" w:hAnsi="DFKai-SB" w:cs="DFKai-SB" w:hint="eastAsia"/>
                <w:lang w:val="en-US"/>
              </w:rPr>
              <w:t>)</w:t>
            </w:r>
            <w:r>
              <w:rPr>
                <w:rFonts w:ascii="DFKai-SB" w:eastAsia="DFKai-SB" w:hAnsi="DFKai-SB" w:cs="DFKai-SB" w:hint="eastAsia"/>
              </w:rPr>
              <w:t xml:space="preserve"> 其他同等文件；及 </w:t>
            </w:r>
          </w:p>
          <w:p w:rsidR="00FA70F6" w:rsidRDefault="00FA70F6" w:rsidP="009620B5">
            <w:pPr>
              <w:pStyle w:val="ListParagraph"/>
              <w:spacing w:after="0" w:line="240" w:lineRule="auto"/>
              <w:ind w:left="0" w:firstLineChars="100" w:firstLine="220"/>
              <w:rPr>
                <w:rFonts w:ascii="DFKai-SB" w:eastAsia="DFKai-SB" w:hAnsi="DFKai-SB" w:cs="DFKai-SB"/>
              </w:rPr>
            </w:pPr>
            <w:r>
              <w:rPr>
                <w:rFonts w:ascii="DFKai-SB" w:eastAsia="DFKai-SB" w:hAnsi="DFKai-SB" w:cs="DFKai-SB" w:hint="eastAsia"/>
              </w:rPr>
              <w:t xml:space="preserve"> </w:t>
            </w:r>
          </w:p>
          <w:p w:rsidR="00FA70F6" w:rsidRDefault="00FA70F6" w:rsidP="00FA70F6">
            <w:pPr>
              <w:pStyle w:val="ListParagraph"/>
              <w:numPr>
                <w:ilvl w:val="0"/>
                <w:numId w:val="9"/>
              </w:numPr>
              <w:spacing w:after="0" w:line="240" w:lineRule="auto"/>
              <w:ind w:left="311" w:hanging="311"/>
              <w:rPr>
                <w:rFonts w:ascii="DFKai-SB" w:eastAsia="DFKai-SB" w:hAnsi="DFKai-SB" w:cs="DFKai-SB"/>
              </w:rPr>
            </w:pPr>
            <w:r>
              <w:rPr>
                <w:rFonts w:ascii="DFKai-SB" w:eastAsia="DFKai-SB" w:hAnsi="DFKai-SB" w:cs="DFKai-SB" w:hint="eastAsia"/>
                <w:b/>
                <w:bCs/>
              </w:rPr>
              <w:t>证明文件号码</w:t>
            </w:r>
          </w:p>
        </w:tc>
      </w:tr>
      <w:tr w:rsidR="00FA70F6" w:rsidTr="009620B5">
        <w:tc>
          <w:tcPr>
            <w:tcW w:w="9350" w:type="dxa"/>
            <w:gridSpan w:val="2"/>
          </w:tcPr>
          <w:p w:rsidR="00FA70F6" w:rsidRDefault="00FA70F6" w:rsidP="009620B5">
            <w:pPr>
              <w:pStyle w:val="ListParagraph"/>
              <w:spacing w:after="0" w:line="240" w:lineRule="auto"/>
              <w:ind w:left="28"/>
              <w:rPr>
                <w:rFonts w:ascii="DFKai-SB" w:eastAsia="DFKai-SB" w:hAnsi="DFKai-SB" w:cs="DFKai-SB"/>
              </w:rPr>
            </w:pPr>
            <w:r>
              <w:rPr>
                <w:rFonts w:ascii="DFKai-SB" w:eastAsia="DFKai-SB" w:hAnsi="DFKai-SB" w:cs="DFKai-SB" w:hint="eastAsia"/>
              </w:rPr>
              <w:t>另请注意：</w:t>
            </w:r>
          </w:p>
          <w:p w:rsidR="00FA70F6" w:rsidRDefault="00FA70F6" w:rsidP="00FA70F6">
            <w:pPr>
              <w:pStyle w:val="ListParagraph"/>
              <w:numPr>
                <w:ilvl w:val="0"/>
                <w:numId w:val="10"/>
              </w:numPr>
              <w:spacing w:after="0" w:line="240" w:lineRule="auto"/>
              <w:ind w:left="312" w:hanging="284"/>
              <w:rPr>
                <w:rFonts w:ascii="DFKai-SB" w:eastAsia="DFKai-SB" w:hAnsi="DFKai-SB" w:cs="DFKai-SB"/>
              </w:rPr>
            </w:pPr>
            <w:r>
              <w:rPr>
                <w:rFonts w:ascii="DFKai-SB" w:eastAsia="DFKai-SB" w:hAnsi="DFKai-SB" w:cs="DFKai-SB" w:hint="eastAsia"/>
              </w:rPr>
              <w:t>在FINI系统输入姓名时，应使用认购者的身份证明文件上所示的主要姓名，中英均可（或可两者均提供）。</w:t>
            </w:r>
          </w:p>
          <w:p w:rsidR="00FA70F6" w:rsidRDefault="00FA70F6" w:rsidP="00FA70F6">
            <w:pPr>
              <w:pStyle w:val="ListParagraph"/>
              <w:numPr>
                <w:ilvl w:val="0"/>
                <w:numId w:val="10"/>
              </w:numPr>
              <w:spacing w:after="0" w:line="240" w:lineRule="auto"/>
              <w:ind w:left="312" w:hanging="284"/>
              <w:rPr>
                <w:rFonts w:ascii="DFKai-SB" w:eastAsia="DFKai-SB" w:hAnsi="DFKai-SB" w:cs="DFKai-SB"/>
              </w:rPr>
            </w:pPr>
            <w:r>
              <w:rPr>
                <w:rFonts w:ascii="DFKai-SB" w:eastAsia="DFKai-SB" w:hAnsi="DFKai-SB" w:cs="DFKai-SB" w:hint="eastAsia"/>
              </w:rPr>
              <w:t>如果认购者是信托，则需要提供受托人的客户识别信息（如上所述）。</w:t>
            </w:r>
          </w:p>
          <w:p w:rsidR="00FA70F6" w:rsidRDefault="00FA70F6" w:rsidP="00FA70F6">
            <w:pPr>
              <w:pStyle w:val="ListParagraph"/>
              <w:numPr>
                <w:ilvl w:val="0"/>
                <w:numId w:val="10"/>
              </w:numPr>
              <w:spacing w:after="0" w:line="240" w:lineRule="auto"/>
              <w:ind w:left="312" w:hanging="284"/>
              <w:rPr>
                <w:rFonts w:ascii="DFKai-SB" w:eastAsia="DFKai-SB" w:hAnsi="DFKai-SB" w:cs="DFKai-SB"/>
              </w:rPr>
            </w:pPr>
            <w:r>
              <w:rPr>
                <w:rFonts w:ascii="DFKai-SB" w:eastAsia="DFKai-SB" w:hAnsi="DFKai-SB" w:cs="DFKai-SB" w:hint="eastAsia"/>
              </w:rPr>
              <w:t>如果信托是投资基金（集体投资计划），则需要如上提供已在经纪处开设交易账户的资产管理公司或个别基金的客户识别信息。 如为联名账户认购，则需要提供该账户中最多四名持有人上述的资料。</w:t>
            </w:r>
          </w:p>
        </w:tc>
      </w:tr>
    </w:tbl>
    <w:p w:rsidR="0016322B" w:rsidRDefault="00432300">
      <w:pPr>
        <w:pStyle w:val="FirstParagraph"/>
        <w:rPr>
          <w:lang w:eastAsia="zh-CN"/>
        </w:rPr>
      </w:pPr>
      <w:r>
        <w:rPr>
          <w:i/>
          <w:lang w:eastAsia="zh-CN"/>
        </w:rPr>
        <w:t>来源</w:t>
      </w:r>
      <w:r>
        <w:rPr>
          <w:i/>
          <w:lang w:eastAsia="zh-CN"/>
        </w:rPr>
        <w:t xml:space="preserve">: FINI: </w:t>
      </w:r>
      <w:r>
        <w:rPr>
          <w:i/>
          <w:lang w:eastAsia="zh-CN"/>
        </w:rPr>
        <w:t>谘询文件总结</w:t>
      </w:r>
      <w:r>
        <w:rPr>
          <w:lang w:eastAsia="zh-CN"/>
        </w:rPr>
        <w:t xml:space="preserve"> </w:t>
      </w:r>
      <w:hyperlink w:anchor="footnote-8693-6">
        <w:r>
          <w:rPr>
            <w:vertAlign w:val="superscript"/>
            <w:lang w:eastAsia="zh-CN"/>
          </w:rPr>
          <w:t>6</w:t>
        </w:r>
      </w:hyperlink>
    </w:p>
    <w:p w:rsidR="0016322B" w:rsidRDefault="00432300">
      <w:pPr>
        <w:pStyle w:val="BodyText"/>
        <w:rPr>
          <w:lang w:eastAsia="zh-CN"/>
        </w:rPr>
      </w:pPr>
      <w:r>
        <w:rPr>
          <w:lang w:eastAsia="zh-CN"/>
        </w:rPr>
        <w:t>关于身份证明文件种类的「优先次序排第」的含义，香港交易所在谘询总结中解释到，就个人认购而言，「优先次序排第」是指投资者若拥有有效香港身份证，则必须在认购新股时使用香港身份证号码（而非护照或其他证件的号码）。而公司认购则须使</w:t>
      </w:r>
      <w:r>
        <w:rPr>
          <w:lang w:eastAsia="zh-CN"/>
        </w:rPr>
        <w:t>用法人机构识别编码（如有）。当中介机构客户使用香港身份证以外的身份证明文件认购公开发售股份时，中介机构需于执行首次或持续「了解你的客户」核查时向其顾客索取非持有效香港身份证的确认。</w:t>
      </w:r>
    </w:p>
    <w:p w:rsidR="0016322B" w:rsidRDefault="00432300">
      <w:pPr>
        <w:pStyle w:val="BodyText"/>
        <w:rPr>
          <w:lang w:eastAsia="zh-CN"/>
        </w:rPr>
      </w:pPr>
      <w:r>
        <w:rPr>
          <w:lang w:eastAsia="zh-CN"/>
        </w:rPr>
        <w:t>此外，为回应某些回应人士忧虑，交易所称</w:t>
      </w:r>
      <w:r>
        <w:rPr>
          <w:lang w:eastAsia="zh-CN"/>
        </w:rPr>
        <w:t>FINI</w:t>
      </w:r>
      <w:r>
        <w:rPr>
          <w:lang w:eastAsia="zh-CN"/>
        </w:rPr>
        <w:t>系统不会根据提供身份证明文件的发出国家或司法管辖区来核查或限制合资格认购股份的投资者。</w:t>
      </w:r>
    </w:p>
    <w:p w:rsidR="0016322B" w:rsidRDefault="00432300">
      <w:pPr>
        <w:pStyle w:val="BodyText"/>
        <w:rPr>
          <w:lang w:eastAsia="zh-CN"/>
        </w:rPr>
      </w:pPr>
      <w:r>
        <w:rPr>
          <w:lang w:eastAsia="zh-CN"/>
        </w:rPr>
        <w:t>隐藏交易所首次公开招股的投资者身份识别信息</w:t>
      </w:r>
    </w:p>
    <w:p w:rsidR="0016322B" w:rsidRDefault="00432300">
      <w:pPr>
        <w:pStyle w:val="BodyText"/>
        <w:rPr>
          <w:lang w:eastAsia="zh-CN"/>
        </w:rPr>
      </w:pPr>
      <w:r>
        <w:rPr>
          <w:lang w:eastAsia="zh-CN"/>
        </w:rPr>
        <w:t>谘询文件强制透过公开发售认购的价值链申报客户识别信息。这可能引起某些市场参与者的担忧，因为会严重触及某些中介机构的敏感商业问题。鉴于此，为维护中介机构之</w:t>
      </w:r>
      <w:r>
        <w:rPr>
          <w:lang w:eastAsia="zh-CN"/>
        </w:rPr>
        <w:t>间的机密性，香港交易所或可允许通过第三方结算参与者提交公开发售认购的持牌法团及注册机构凭券商客户编码以识别最终投资者，而毋须随认购申请附上投资者的完整客户识别信息。</w:t>
      </w:r>
    </w:p>
    <w:p w:rsidR="0016322B" w:rsidRDefault="00432300">
      <w:pPr>
        <w:pStyle w:val="BodyText"/>
        <w:rPr>
          <w:lang w:eastAsia="zh-CN"/>
        </w:rPr>
      </w:pPr>
      <w:r>
        <w:rPr>
          <w:lang w:eastAsia="zh-CN"/>
        </w:rPr>
        <w:t>同时，交易所将进一步研究在</w:t>
      </w:r>
      <w:r>
        <w:rPr>
          <w:lang w:eastAsia="zh-CN"/>
        </w:rPr>
        <w:t>FINI</w:t>
      </w:r>
      <w:r>
        <w:rPr>
          <w:lang w:eastAsia="zh-CN"/>
        </w:rPr>
        <w:t>中采用券商客户编码的可行性及在适当时更新市场，对应相关券商客户编码与客户识别信息配对档规范和提交机制，减少市场参与者在运作、技术和法律方面所需的预备。</w:t>
      </w:r>
    </w:p>
    <w:p w:rsidR="0016322B" w:rsidRDefault="00432300">
      <w:pPr>
        <w:pStyle w:val="BodyText"/>
        <w:rPr>
          <w:lang w:eastAsia="zh-CN"/>
        </w:rPr>
      </w:pPr>
      <w:r>
        <w:rPr>
          <w:lang w:eastAsia="zh-CN"/>
        </w:rPr>
        <w:t>处理交易所首次公开招股的实际和疑似重复认购</w:t>
      </w:r>
    </w:p>
    <w:p w:rsidR="0016322B" w:rsidRDefault="00432300">
      <w:pPr>
        <w:pStyle w:val="BodyText"/>
        <w:rPr>
          <w:lang w:eastAsia="zh-CN"/>
        </w:rPr>
      </w:pPr>
      <w:r>
        <w:rPr>
          <w:lang w:eastAsia="zh-CN"/>
        </w:rPr>
        <w:t>关于处理实际和疑似重复认购，《主板上市规则》第</w:t>
      </w:r>
      <w:r>
        <w:rPr>
          <w:lang w:eastAsia="zh-CN"/>
        </w:rPr>
        <w:t>10.09</w:t>
      </w:r>
      <w:r>
        <w:rPr>
          <w:lang w:eastAsia="zh-CN"/>
        </w:rPr>
        <w:t>条（或《</w:t>
      </w:r>
      <w:r>
        <w:rPr>
          <w:lang w:eastAsia="zh-CN"/>
        </w:rPr>
        <w:t>GEM</w:t>
      </w:r>
      <w:r>
        <w:rPr>
          <w:lang w:eastAsia="zh-CN"/>
        </w:rPr>
        <w:t>上市规则》</w:t>
      </w:r>
      <w:r>
        <w:rPr>
          <w:lang w:eastAsia="zh-CN"/>
        </w:rPr>
        <w:t xml:space="preserve">13.21 </w:t>
      </w:r>
      <w:r>
        <w:rPr>
          <w:lang w:eastAsia="zh-CN"/>
        </w:rPr>
        <w:t>至</w:t>
      </w:r>
      <w:r>
        <w:rPr>
          <w:lang w:eastAsia="zh-CN"/>
        </w:rPr>
        <w:t xml:space="preserve"> 13.24 </w:t>
      </w:r>
      <w:r>
        <w:rPr>
          <w:lang w:eastAsia="zh-CN"/>
        </w:rPr>
        <w:t>条）禁止同一投资者于公开发售重复认购。尽管前述监管限制，香港交易所留意到有多项于首次公开招股重复认购的情况。鉴于此，在谘询总结中，交易所详细说明了</w:t>
      </w:r>
      <w:r>
        <w:rPr>
          <w:lang w:eastAsia="zh-CN"/>
        </w:rPr>
        <w:t>FINI</w:t>
      </w:r>
      <w:r>
        <w:rPr>
          <w:lang w:eastAsia="zh-CN"/>
        </w:rPr>
        <w:t>在打击此行为所扮演的角色。</w:t>
      </w:r>
    </w:p>
    <w:p w:rsidR="0016322B" w:rsidRDefault="00432300">
      <w:pPr>
        <w:pStyle w:val="BodyText"/>
        <w:rPr>
          <w:lang w:eastAsia="zh-CN"/>
        </w:rPr>
      </w:pPr>
      <w:r>
        <w:rPr>
          <w:lang w:eastAsia="zh-CN"/>
        </w:rPr>
        <w:lastRenderedPageBreak/>
        <w:t>就公开配售部分的认购，</w:t>
      </w:r>
      <w:r>
        <w:rPr>
          <w:lang w:eastAsia="zh-CN"/>
        </w:rPr>
        <w:t>FINI</w:t>
      </w:r>
      <w:r>
        <w:rPr>
          <w:lang w:eastAsia="zh-CN"/>
        </w:rPr>
        <w:t>将在公开发售认购截止后运行演算，从</w:t>
      </w:r>
      <w:r>
        <w:rPr>
          <w:lang w:eastAsia="zh-CN"/>
        </w:rPr>
        <w:t>EIPO</w:t>
      </w:r>
      <w:r>
        <w:rPr>
          <w:lang w:eastAsia="zh-CN"/>
        </w:rPr>
        <w:t>汇总名单中找出任何实际或疑似重复认购。倘若发现任何实际或疑似重复认购，该受影响的认购申请将不获进一步处理及于香港结算传送予首次公开招股发行人股份过户登</w:t>
      </w:r>
      <w:r>
        <w:rPr>
          <w:lang w:eastAsia="zh-CN"/>
        </w:rPr>
        <w:t>记处的</w:t>
      </w:r>
      <w:r>
        <w:rPr>
          <w:lang w:eastAsia="zh-CN"/>
        </w:rPr>
        <w:t>EIPO</w:t>
      </w:r>
      <w:r>
        <w:rPr>
          <w:lang w:eastAsia="zh-CN"/>
        </w:rPr>
        <w:t>认购档案中作标记。然后，股份过户登记处会先在白表</w:t>
      </w:r>
      <w:r>
        <w:rPr>
          <w:lang w:eastAsia="zh-CN"/>
        </w:rPr>
        <w:t xml:space="preserve"> EIPO </w:t>
      </w:r>
      <w:r>
        <w:rPr>
          <w:lang w:eastAsia="zh-CN"/>
        </w:rPr>
        <w:t>汇总名单中查重，再在</w:t>
      </w:r>
      <w:r>
        <w:rPr>
          <w:lang w:eastAsia="zh-CN"/>
        </w:rPr>
        <w:t xml:space="preserve"> EIPO </w:t>
      </w:r>
      <w:r>
        <w:rPr>
          <w:lang w:eastAsia="zh-CN"/>
        </w:rPr>
        <w:t>汇总名单与股份过户登记处电子认购申请汇总名单之间进行类似的运算，以确保于抽签之前识别及剔除实际或疑似重复的认购申请。</w:t>
      </w:r>
    </w:p>
    <w:p w:rsidR="0016322B" w:rsidRDefault="00432300">
      <w:pPr>
        <w:pStyle w:val="BodyText"/>
        <w:rPr>
          <w:lang w:eastAsia="zh-CN"/>
        </w:rPr>
      </w:pPr>
      <w:r>
        <w:rPr>
          <w:lang w:eastAsia="zh-CN"/>
        </w:rPr>
        <w:t>就国际配售部分的认购，交易所提出了三种情况：</w:t>
      </w:r>
    </w:p>
    <w:p w:rsidR="0016322B" w:rsidRDefault="00432300">
      <w:pPr>
        <w:pStyle w:val="Compact"/>
        <w:numPr>
          <w:ilvl w:val="0"/>
          <w:numId w:val="8"/>
        </w:numPr>
        <w:rPr>
          <w:lang w:eastAsia="zh-CN"/>
        </w:rPr>
      </w:pPr>
      <w:r>
        <w:rPr>
          <w:lang w:eastAsia="zh-CN"/>
        </w:rPr>
        <w:t>如果</w:t>
      </w:r>
      <w:r>
        <w:rPr>
          <w:lang w:eastAsia="zh-CN"/>
        </w:rPr>
        <w:t xml:space="preserve"> FINI</w:t>
      </w:r>
      <w:r>
        <w:rPr>
          <w:lang w:eastAsia="zh-CN"/>
        </w:rPr>
        <w:t>发现提交的个人承配人（或公司承配人的实益拥有人）已由同一分销商在同一首次公开招股中提交，系统会将其标记起来，而提交承配人之分销商、牵头经纪和监管机构将获通知。分销商可获准许修改</w:t>
      </w:r>
      <w:r>
        <w:rPr>
          <w:lang w:eastAsia="zh-CN"/>
        </w:rPr>
        <w:t>FINI</w:t>
      </w:r>
      <w:r>
        <w:rPr>
          <w:lang w:eastAsia="zh-CN"/>
        </w:rPr>
        <w:t>中的相关承配人资料。如果未作任何修改，而相关</w:t>
      </w:r>
      <w:r>
        <w:rPr>
          <w:lang w:eastAsia="zh-CN"/>
        </w:rPr>
        <w:t>承配人资料被监管机构视为属于同一投资者，为确定公开招股发行人是否满足《上市规则》中有关股东充分分布、最低承配人人数和全体股东人数等要求，该资料将被视为属于同一承配人；</w:t>
      </w:r>
    </w:p>
    <w:p w:rsidR="0016322B" w:rsidRDefault="00432300">
      <w:pPr>
        <w:pStyle w:val="Compact"/>
        <w:numPr>
          <w:ilvl w:val="0"/>
          <w:numId w:val="8"/>
        </w:numPr>
        <w:rPr>
          <w:lang w:eastAsia="zh-CN"/>
        </w:rPr>
      </w:pPr>
      <w:r>
        <w:rPr>
          <w:lang w:eastAsia="zh-CN"/>
        </w:rPr>
        <w:t>如果</w:t>
      </w:r>
      <w:r>
        <w:rPr>
          <w:lang w:eastAsia="zh-CN"/>
        </w:rPr>
        <w:t>FINI</w:t>
      </w:r>
      <w:r>
        <w:rPr>
          <w:lang w:eastAsia="zh-CN"/>
        </w:rPr>
        <w:t>发现提交的个人承配人（或公司承配人的实益拥有人）已由另一分销商在同一首次公开招股中提交，系统会将其标记起来，提交承配人之分销商、牵头经纪和监管机构将获通知，然后按上述</w:t>
      </w:r>
      <w:r>
        <w:rPr>
          <w:lang w:eastAsia="zh-CN"/>
        </w:rPr>
        <w:t>(i)</w:t>
      </w:r>
      <w:r>
        <w:rPr>
          <w:lang w:eastAsia="zh-CN"/>
        </w:rPr>
        <w:t>段所述程序处理；</w:t>
      </w:r>
    </w:p>
    <w:p w:rsidR="0016322B" w:rsidRDefault="00432300">
      <w:pPr>
        <w:pStyle w:val="Compact"/>
        <w:numPr>
          <w:ilvl w:val="0"/>
          <w:numId w:val="8"/>
        </w:numPr>
        <w:rPr>
          <w:lang w:eastAsia="zh-CN"/>
        </w:rPr>
      </w:pPr>
      <w:r>
        <w:rPr>
          <w:lang w:eastAsia="zh-CN"/>
        </w:rPr>
        <w:t>如果</w:t>
      </w:r>
      <w:r>
        <w:rPr>
          <w:lang w:eastAsia="zh-CN"/>
        </w:rPr>
        <w:t>FINI</w:t>
      </w:r>
      <w:r>
        <w:rPr>
          <w:lang w:eastAsia="zh-CN"/>
        </w:rPr>
        <w:t>发现提交的个人承配人（或公司承配人的实益拥有人）已在同一公开招股的公开发售部分中获配发股份，则受影响的认购者在公开发售部分中获配发</w:t>
      </w:r>
      <w:r>
        <w:rPr>
          <w:lang w:eastAsia="zh-CN"/>
        </w:rPr>
        <w:t>的股份将被视为优先并维持有效，而已提交的承配人将作废，提交承配人之分销商、牵头经纪和监管机构将获通知。这做法是为了避免为公开发售部分重新抽签，延误公开招股发行人的上市时间表。该无效承配人的股份须由承销团队负责重新配发。</w:t>
      </w:r>
    </w:p>
    <w:p w:rsidR="0016322B" w:rsidRDefault="00432300">
      <w:pPr>
        <w:pStyle w:val="FirstParagraph"/>
        <w:rPr>
          <w:lang w:eastAsia="zh-CN"/>
        </w:rPr>
      </w:pPr>
      <w:r>
        <w:rPr>
          <w:lang w:eastAsia="zh-CN"/>
        </w:rPr>
        <w:t>使用提交给</w:t>
      </w:r>
      <w:r>
        <w:rPr>
          <w:lang w:eastAsia="zh-CN"/>
        </w:rPr>
        <w:t>FINI</w:t>
      </w:r>
      <w:r>
        <w:rPr>
          <w:lang w:eastAsia="zh-CN"/>
        </w:rPr>
        <w:t>的首次公开招股投资者资料</w:t>
      </w:r>
    </w:p>
    <w:p w:rsidR="0016322B" w:rsidRDefault="00432300">
      <w:pPr>
        <w:pStyle w:val="BodyText"/>
        <w:rPr>
          <w:lang w:eastAsia="zh-CN"/>
        </w:rPr>
      </w:pPr>
      <w:r>
        <w:rPr>
          <w:lang w:eastAsia="zh-CN"/>
        </w:rPr>
        <w:t>交易所在谘询总结中解决了关于使用提交给</w:t>
      </w:r>
      <w:r>
        <w:rPr>
          <w:lang w:eastAsia="zh-CN"/>
        </w:rPr>
        <w:t>FINI</w:t>
      </w:r>
      <w:r>
        <w:rPr>
          <w:lang w:eastAsia="zh-CN"/>
        </w:rPr>
        <w:t>的首次公开招股投资者资料的担心。交易所解释称，香港结算作为</w:t>
      </w:r>
      <w:r>
        <w:rPr>
          <w:lang w:eastAsia="zh-CN"/>
        </w:rPr>
        <w:t>FINI</w:t>
      </w:r>
      <w:r>
        <w:rPr>
          <w:lang w:eastAsia="zh-CN"/>
        </w:rPr>
        <w:t>系统的营运商，只会将认购者的资料用作进行公开招股结算。上述资料或会提供予联交所、证监会、公开招股发行人及其顾问</w:t>
      </w:r>
      <w:r>
        <w:rPr>
          <w:lang w:eastAsia="zh-CN"/>
        </w:rPr>
        <w:t>/</w:t>
      </w:r>
      <w:r>
        <w:rPr>
          <w:lang w:eastAsia="zh-CN"/>
        </w:rPr>
        <w:t>代理，以作监管用途及在公</w:t>
      </w:r>
      <w:r>
        <w:rPr>
          <w:lang w:eastAsia="zh-CN"/>
        </w:rPr>
        <w:t>开招股结算过程中履行职责。这种做法也符合当前市场的做法。交易所确认，除非适用的法规要求及按《个人资料（私隐）条例》（第</w:t>
      </w:r>
      <w:r>
        <w:rPr>
          <w:lang w:eastAsia="zh-CN"/>
        </w:rPr>
        <w:t>486</w:t>
      </w:r>
      <w:r>
        <w:rPr>
          <w:lang w:eastAsia="zh-CN"/>
        </w:rPr>
        <w:t>章）的合规需求，认购者的个人资料不会于网上刊载。</w:t>
      </w:r>
      <w:r>
        <w:rPr>
          <w:lang w:eastAsia="zh-CN"/>
        </w:rPr>
        <w:t>FINI</w:t>
      </w:r>
      <w:r>
        <w:rPr>
          <w:lang w:eastAsia="zh-CN"/>
        </w:rPr>
        <w:t>条款及细则将会列出适用于其与市场参与者的所有通讯的数据私隐和使用政策。</w:t>
      </w:r>
    </w:p>
    <w:p w:rsidR="0016322B" w:rsidRDefault="00432300">
      <w:pPr>
        <w:pStyle w:val="BodyText"/>
        <w:rPr>
          <w:lang w:eastAsia="zh-CN"/>
        </w:rPr>
      </w:pPr>
      <w:r>
        <w:rPr>
          <w:lang w:eastAsia="zh-CN"/>
        </w:rPr>
        <w:t>香港交易所亦澄清，刊发公开招股的配发结果的责任仍属监管要求。然而，</w:t>
      </w:r>
      <w:r>
        <w:rPr>
          <w:lang w:eastAsia="zh-CN"/>
        </w:rPr>
        <w:t>FINI</w:t>
      </w:r>
      <w:r>
        <w:rPr>
          <w:lang w:eastAsia="zh-CN"/>
        </w:rPr>
        <w:t>系统将为公开招股发行人和其顾问及代理生成数据表以便准备上述公告。</w:t>
      </w:r>
    </w:p>
    <w:p w:rsidR="0016322B" w:rsidRDefault="00432300">
      <w:pPr>
        <w:pStyle w:val="BodyText"/>
        <w:rPr>
          <w:lang w:eastAsia="zh-CN"/>
        </w:rPr>
      </w:pPr>
      <w:r>
        <w:rPr>
          <w:lang w:eastAsia="zh-CN"/>
        </w:rPr>
        <w:t xml:space="preserve">4. </w:t>
      </w:r>
      <w:r>
        <w:rPr>
          <w:lang w:eastAsia="zh-CN"/>
        </w:rPr>
        <w:t>在</w:t>
      </w:r>
      <w:r>
        <w:rPr>
          <w:lang w:eastAsia="zh-CN"/>
        </w:rPr>
        <w:t>FINI</w:t>
      </w:r>
      <w:r>
        <w:rPr>
          <w:lang w:eastAsia="zh-CN"/>
        </w:rPr>
        <w:t>审核承配人名单</w:t>
      </w:r>
    </w:p>
    <w:p w:rsidR="0016322B" w:rsidRDefault="00432300">
      <w:pPr>
        <w:pStyle w:val="BodyText"/>
        <w:rPr>
          <w:lang w:eastAsia="zh-CN"/>
        </w:rPr>
      </w:pPr>
      <w:r>
        <w:rPr>
          <w:lang w:eastAsia="zh-CN"/>
        </w:rPr>
        <w:t>交易所强调在</w:t>
      </w:r>
      <w:r>
        <w:rPr>
          <w:lang w:eastAsia="zh-CN"/>
        </w:rPr>
        <w:t>FINI</w:t>
      </w:r>
      <w:r>
        <w:rPr>
          <w:lang w:eastAsia="zh-CN"/>
        </w:rPr>
        <w:t>推出后，公开招股的有关各方的角色、责任和义务均不会有重大改变，其作为</w:t>
      </w:r>
      <w:r>
        <w:rPr>
          <w:lang w:eastAsia="zh-CN"/>
        </w:rPr>
        <w:t>FINI</w:t>
      </w:r>
      <w:r>
        <w:rPr>
          <w:lang w:eastAsia="zh-CN"/>
        </w:rPr>
        <w:t>用户的查询及权限将反映其现有角色和责任。如果任何一方希望以分销商的身份参与配售过程，则需要登记为</w:t>
      </w:r>
      <w:r>
        <w:rPr>
          <w:lang w:eastAsia="zh-CN"/>
        </w:rPr>
        <w:t>FINI</w:t>
      </w:r>
      <w:r>
        <w:rPr>
          <w:lang w:eastAsia="zh-CN"/>
        </w:rPr>
        <w:t>用户，并遵守相关要求。</w:t>
      </w:r>
    </w:p>
    <w:p w:rsidR="0016322B" w:rsidRDefault="00432300">
      <w:pPr>
        <w:pStyle w:val="BodyText"/>
        <w:rPr>
          <w:lang w:eastAsia="zh-CN"/>
        </w:rPr>
      </w:pPr>
      <w:r>
        <w:rPr>
          <w:lang w:eastAsia="zh-CN"/>
        </w:rPr>
        <w:t>为回应关于分销商未能在</w:t>
      </w:r>
      <w:r>
        <w:rPr>
          <w:lang w:eastAsia="zh-CN"/>
        </w:rPr>
        <w:t>FINI</w:t>
      </w:r>
      <w:r>
        <w:rPr>
          <w:lang w:eastAsia="zh-CN"/>
        </w:rPr>
        <w:t>预期的较短时限内编制承配人名单的担心，交易所指出</w:t>
      </w:r>
      <w:r>
        <w:rPr>
          <w:lang w:eastAsia="zh-CN"/>
        </w:rPr>
        <w:t>FINI</w:t>
      </w:r>
      <w:r>
        <w:rPr>
          <w:lang w:eastAsia="zh-CN"/>
        </w:rPr>
        <w:t>系统将具备一些新的工作流程功能，减省进行人手核对及进一步便利和简化流程。</w:t>
      </w:r>
    </w:p>
    <w:p w:rsidR="0016322B" w:rsidRDefault="00432300">
      <w:pPr>
        <w:pStyle w:val="BodyText"/>
        <w:rPr>
          <w:lang w:eastAsia="zh-CN"/>
        </w:rPr>
      </w:pPr>
      <w:r>
        <w:rPr>
          <w:lang w:eastAsia="zh-CN"/>
        </w:rPr>
        <w:t>交易所还采用延长时限，可根据个别情况准予延长时限，但不得影响整体「</w:t>
      </w:r>
      <w:r>
        <w:rPr>
          <w:lang w:eastAsia="zh-CN"/>
        </w:rPr>
        <w:t>T+2</w:t>
      </w:r>
      <w:r>
        <w:rPr>
          <w:lang w:eastAsia="zh-CN"/>
        </w:rPr>
        <w:t>」公开招股结算时间表。</w:t>
      </w:r>
    </w:p>
    <w:p w:rsidR="0016322B" w:rsidRDefault="00432300">
      <w:pPr>
        <w:pStyle w:val="BodyText"/>
        <w:rPr>
          <w:lang w:eastAsia="zh-CN"/>
        </w:rPr>
      </w:pPr>
      <w:r>
        <w:rPr>
          <w:lang w:eastAsia="zh-CN"/>
        </w:rPr>
        <w:t>上市科于</w:t>
      </w:r>
      <w:r>
        <w:rPr>
          <w:lang w:eastAsia="zh-CN"/>
        </w:rPr>
        <w:t>2021</w:t>
      </w:r>
      <w:r>
        <w:rPr>
          <w:lang w:eastAsia="zh-CN"/>
        </w:rPr>
        <w:t>年</w:t>
      </w:r>
      <w:r>
        <w:rPr>
          <w:lang w:eastAsia="zh-CN"/>
        </w:rPr>
        <w:t>3</w:t>
      </w:r>
      <w:r>
        <w:rPr>
          <w:lang w:eastAsia="zh-CN"/>
        </w:rPr>
        <w:t>月</w:t>
      </w:r>
      <w:r>
        <w:rPr>
          <w:lang w:eastAsia="zh-CN"/>
        </w:rPr>
        <w:t>5</w:t>
      </w:r>
      <w:r>
        <w:rPr>
          <w:lang w:eastAsia="zh-CN"/>
        </w:rPr>
        <w:t>日刊发了指引信</w:t>
      </w:r>
      <w:r>
        <w:rPr>
          <w:lang w:eastAsia="zh-CN"/>
        </w:rPr>
        <w:t>HKEX-GL110-21</w:t>
      </w:r>
      <w:r>
        <w:rPr>
          <w:lang w:eastAsia="zh-CN"/>
        </w:rPr>
        <w:t>，题为「就首次公开招股向关连客户配售证券作出预先审阅」，</w:t>
      </w:r>
      <w:r>
        <w:rPr>
          <w:lang w:eastAsia="zh-CN"/>
        </w:rPr>
        <w:t>鼓励牵头经纪及分销商提前申请有关配售予关连客户的书面同意。在谘询总结中，交易所鼓励分销商在公开招股发行人在披露易网站刊发聆讯后资料集后，就提交有关配售予关连客户的书面同意以进行预先审阅的申请。此做法可使得上市科在相关承配人资料被正式提交审批之前，已可以先行审阅。这预先审閲的做法目前已采用，并在</w:t>
      </w:r>
      <w:r>
        <w:rPr>
          <w:lang w:eastAsia="zh-CN"/>
        </w:rPr>
        <w:t>FINI</w:t>
      </w:r>
      <w:r>
        <w:rPr>
          <w:lang w:eastAsia="zh-CN"/>
        </w:rPr>
        <w:t>推出前使用。</w:t>
      </w:r>
    </w:p>
    <w:p w:rsidR="0016322B" w:rsidRDefault="00432300">
      <w:pPr>
        <w:pStyle w:val="BodyText"/>
        <w:rPr>
          <w:lang w:eastAsia="zh-CN"/>
        </w:rPr>
      </w:pPr>
      <w:r>
        <w:rPr>
          <w:lang w:eastAsia="zh-CN"/>
        </w:rPr>
        <w:lastRenderedPageBreak/>
        <w:t>更多关于承配人审核的工作流程载于</w:t>
      </w:r>
      <w:r>
        <w:rPr>
          <w:lang w:eastAsia="zh-CN"/>
        </w:rPr>
        <w:t>FINI</w:t>
      </w:r>
      <w:r>
        <w:rPr>
          <w:lang w:eastAsia="zh-CN"/>
        </w:rPr>
        <w:t>资料集。</w:t>
      </w:r>
      <w:hyperlink w:anchor="footnote-8693-7">
        <w:r>
          <w:rPr>
            <w:vertAlign w:val="superscript"/>
            <w:lang w:eastAsia="zh-CN"/>
          </w:rPr>
          <w:t>7</w:t>
        </w:r>
      </w:hyperlink>
      <w:r>
        <w:rPr>
          <w:lang w:eastAsia="zh-CN"/>
        </w:rPr>
        <w:t xml:space="preserve"> </w:t>
      </w:r>
      <w:r>
        <w:rPr>
          <w:lang w:eastAsia="zh-CN"/>
        </w:rPr>
        <w:t>关于</w:t>
      </w:r>
      <w:r>
        <w:rPr>
          <w:lang w:eastAsia="zh-CN"/>
        </w:rPr>
        <w:t>FINI</w:t>
      </w:r>
      <w:r>
        <w:rPr>
          <w:lang w:eastAsia="zh-CN"/>
        </w:rPr>
        <w:t>的其他主题的进一步澄清也包括在</w:t>
      </w:r>
      <w:r>
        <w:rPr>
          <w:lang w:eastAsia="zh-CN"/>
        </w:rPr>
        <w:t>FINI</w:t>
      </w:r>
      <w:r>
        <w:rPr>
          <w:lang w:eastAsia="zh-CN"/>
        </w:rPr>
        <w:t>资料集。</w:t>
      </w:r>
      <w:hyperlink w:anchor="footnote-8693-8">
        <w:r>
          <w:rPr>
            <w:vertAlign w:val="superscript"/>
            <w:lang w:eastAsia="zh-CN"/>
          </w:rPr>
          <w:t>8</w:t>
        </w:r>
      </w:hyperlink>
    </w:p>
    <w:p w:rsidR="0016322B" w:rsidRDefault="00432300">
      <w:pPr>
        <w:pStyle w:val="BodyText"/>
        <w:rPr>
          <w:lang w:eastAsia="zh-CN"/>
        </w:rPr>
      </w:pPr>
      <w:r>
        <w:rPr>
          <w:lang w:eastAsia="zh-CN"/>
        </w:rPr>
        <w:t xml:space="preserve">5. </w:t>
      </w:r>
      <w:r>
        <w:rPr>
          <w:lang w:eastAsia="zh-CN"/>
        </w:rPr>
        <w:t>交易所于</w:t>
      </w:r>
      <w:r>
        <w:rPr>
          <w:lang w:eastAsia="zh-CN"/>
        </w:rPr>
        <w:t>2022</w:t>
      </w:r>
      <w:r>
        <w:rPr>
          <w:lang w:eastAsia="zh-CN"/>
        </w:rPr>
        <w:t>年第四季落实推行</w:t>
      </w:r>
      <w:r>
        <w:rPr>
          <w:lang w:eastAsia="zh-CN"/>
        </w:rPr>
        <w:t>FINI</w:t>
      </w:r>
    </w:p>
    <w:p w:rsidR="0016322B" w:rsidRDefault="00432300">
      <w:pPr>
        <w:pStyle w:val="BodyText"/>
        <w:rPr>
          <w:lang w:eastAsia="zh-CN"/>
        </w:rPr>
      </w:pPr>
      <w:r>
        <w:rPr>
          <w:lang w:eastAsia="zh-CN"/>
        </w:rPr>
        <w:t>顺应市场强烈支持，香港交易所决定在本《总结》所载加以修订及厘清后落实推行</w:t>
      </w:r>
      <w:r>
        <w:rPr>
          <w:lang w:eastAsia="zh-CN"/>
        </w:rPr>
        <w:t xml:space="preserve"> FINI</w:t>
      </w:r>
      <w:r>
        <w:rPr>
          <w:lang w:eastAsia="zh-CN"/>
        </w:rPr>
        <w:t>。</w:t>
      </w:r>
      <w:r>
        <w:rPr>
          <w:lang w:eastAsia="zh-CN"/>
        </w:rPr>
        <w:t xml:space="preserve">FINI </w:t>
      </w:r>
      <w:r>
        <w:rPr>
          <w:lang w:eastAsia="zh-CN"/>
        </w:rPr>
        <w:t>将分阶段实施，大体上包括系统开发及测试以及市场准备方面的安排。市场准备工作可进一步细分为试点群组测试、市场测试、注册开户上线以及市场预演。</w:t>
      </w:r>
      <w:r>
        <w:rPr>
          <w:lang w:eastAsia="zh-CN"/>
        </w:rPr>
        <w:t xml:space="preserve">FINI </w:t>
      </w:r>
      <w:r>
        <w:rPr>
          <w:lang w:eastAsia="zh-CN"/>
        </w:rPr>
        <w:t>平台的开发工作已经开始，</w:t>
      </w:r>
      <w:r>
        <w:rPr>
          <w:lang w:eastAsia="zh-CN"/>
        </w:rPr>
        <w:t xml:space="preserve">2021 </w:t>
      </w:r>
      <w:r>
        <w:rPr>
          <w:lang w:eastAsia="zh-CN"/>
        </w:rPr>
        <w:t>年内将继续全力推进。内部测试将于</w:t>
      </w:r>
      <w:r>
        <w:rPr>
          <w:lang w:eastAsia="zh-CN"/>
        </w:rPr>
        <w:t>2022</w:t>
      </w:r>
      <w:r>
        <w:rPr>
          <w:lang w:eastAsia="zh-CN"/>
        </w:rPr>
        <w:t>年上半年进行。</w:t>
      </w:r>
    </w:p>
    <w:p w:rsidR="0016322B" w:rsidRDefault="00432300">
      <w:pPr>
        <w:pStyle w:val="BodyText"/>
        <w:rPr>
          <w:lang w:eastAsia="zh-CN"/>
        </w:rPr>
      </w:pPr>
      <w:r>
        <w:rPr>
          <w:lang w:eastAsia="zh-CN"/>
        </w:rPr>
        <w:t>FINI</w:t>
      </w:r>
      <w:r>
        <w:rPr>
          <w:lang w:eastAsia="zh-CN"/>
        </w:rPr>
        <w:t>法律框架及规则修订</w:t>
      </w:r>
    </w:p>
    <w:p w:rsidR="0016322B" w:rsidRDefault="00432300">
      <w:pPr>
        <w:pStyle w:val="BodyText"/>
        <w:rPr>
          <w:lang w:eastAsia="zh-CN"/>
        </w:rPr>
      </w:pPr>
      <w:r>
        <w:rPr>
          <w:lang w:eastAsia="zh-CN"/>
        </w:rPr>
        <w:t>交易所会准备对《上市规则》（可能须另行谘询市场意见）及现有指引进行必要的修订，并发布新的指引促成落实</w:t>
      </w:r>
      <w:r>
        <w:rPr>
          <w:lang w:eastAsia="zh-CN"/>
        </w:rPr>
        <w:t>FINI</w:t>
      </w:r>
      <w:r>
        <w:rPr>
          <w:lang w:eastAsia="zh-CN"/>
        </w:rPr>
        <w:t>平台。有待进一步的法律意见，香港交易所将会公布适用于《电子交易条例》的具体署名要求。就结算参与者而言，预期《中央结算系统一般规则》及《中央结算系统运作程序规则》</w:t>
      </w:r>
      <w:r>
        <w:rPr>
          <w:lang w:eastAsia="zh-CN"/>
        </w:rPr>
        <w:t xml:space="preserve"> </w:t>
      </w:r>
      <w:r>
        <w:rPr>
          <w:lang w:eastAsia="zh-CN"/>
        </w:rPr>
        <w:t>将因应全新的公开招股结算程序而作相应修订。</w:t>
      </w:r>
    </w:p>
    <w:p w:rsidR="0016322B" w:rsidRDefault="00432300">
      <w:pPr>
        <w:pStyle w:val="BodyText"/>
        <w:rPr>
          <w:lang w:eastAsia="zh-CN"/>
        </w:rPr>
      </w:pPr>
      <w:r>
        <w:rPr>
          <w:lang w:eastAsia="zh-CN"/>
        </w:rPr>
        <w:t>就公开招股发行人而言，有关将合资格证券纳入中央结算系统的条款及细则以及与纳入过程相关的运作程序均将作出修订。</w:t>
      </w:r>
    </w:p>
    <w:p w:rsidR="0016322B" w:rsidRDefault="00432300">
      <w:pPr>
        <w:pStyle w:val="BodyText"/>
        <w:rPr>
          <w:lang w:eastAsia="zh-CN"/>
        </w:rPr>
      </w:pPr>
      <w:r>
        <w:rPr>
          <w:lang w:eastAsia="zh-CN"/>
        </w:rPr>
        <w:t>至于其他</w:t>
      </w:r>
      <w:r>
        <w:rPr>
          <w:lang w:eastAsia="zh-CN"/>
        </w:rPr>
        <w:t>FINI</w:t>
      </w:r>
      <w:r>
        <w:rPr>
          <w:lang w:eastAsia="zh-CN"/>
        </w:rPr>
        <w:t>用户（包括保荐人、股份过户登记处、牵头经纪、分销商及法律顾问），将要向香</w:t>
      </w:r>
      <w:r>
        <w:rPr>
          <w:lang w:eastAsia="zh-CN"/>
        </w:rPr>
        <w:t>港结算递交申请表，申请登入及使用</w:t>
      </w:r>
      <w:r>
        <w:rPr>
          <w:lang w:eastAsia="zh-CN"/>
        </w:rPr>
        <w:t>FINI</w:t>
      </w:r>
      <w:r>
        <w:rPr>
          <w:lang w:eastAsia="zh-CN"/>
        </w:rPr>
        <w:t>的权利并同意</w:t>
      </w:r>
      <w:r>
        <w:rPr>
          <w:lang w:eastAsia="zh-CN"/>
        </w:rPr>
        <w:t>FINI</w:t>
      </w:r>
      <w:r>
        <w:rPr>
          <w:lang w:eastAsia="zh-CN"/>
        </w:rPr>
        <w:t>的有关条款及细则。</w:t>
      </w:r>
    </w:p>
    <w:p w:rsidR="0016322B" w:rsidRDefault="00432300">
      <w:pPr>
        <w:pStyle w:val="BodyText"/>
        <w:rPr>
          <w:lang w:eastAsia="zh-CN"/>
        </w:rPr>
      </w:pPr>
      <w:r>
        <w:rPr>
          <w:lang w:eastAsia="zh-CN"/>
        </w:rPr>
        <w:t>交易所期望获得市场各界均广泛支持</w:t>
      </w:r>
      <w:r>
        <w:rPr>
          <w:lang w:eastAsia="zh-CN"/>
        </w:rPr>
        <w:t>FINI</w:t>
      </w:r>
      <w:r>
        <w:rPr>
          <w:lang w:eastAsia="zh-CN"/>
        </w:rPr>
        <w:t>改革后，</w:t>
      </w:r>
      <w:r>
        <w:rPr>
          <w:lang w:eastAsia="zh-CN"/>
        </w:rPr>
        <w:t>FINI</w:t>
      </w:r>
      <w:r>
        <w:rPr>
          <w:lang w:eastAsia="zh-CN"/>
        </w:rPr>
        <w:t>透过缩短整体公开招股结算周期来提高香港资本市场的结构竞争力。</w:t>
      </w:r>
      <w:r>
        <w:rPr>
          <w:lang w:eastAsia="zh-CN"/>
        </w:rPr>
        <w:t>FINI</w:t>
      </w:r>
      <w:r>
        <w:rPr>
          <w:lang w:eastAsia="zh-CN"/>
        </w:rPr>
        <w:t>改革能降低市场风险、加快循环「被冻结」资金、减少经纪和终端投资者的借贷成本，提供更实时信息种种好处均可促使投资者在取得更多信息的情况下更积极参与公开招股市场。</w:t>
      </w:r>
    </w:p>
    <w:p w:rsidR="0016322B" w:rsidRDefault="00432300" w:rsidP="00432300">
      <w:pPr>
        <w:pStyle w:val="BodyText"/>
        <w:jc w:val="left"/>
      </w:pPr>
      <w:hyperlink w:anchor="footnote-8693-1-backlink">
        <w:r>
          <w:t>1</w:t>
        </w:r>
      </w:hyperlink>
      <w:r>
        <w:t xml:space="preserve"> </w:t>
      </w:r>
      <w:hyperlink r:id="rId8">
        <w:r>
          <w:t>https://www.hkex.com.hk/-/media/HKEX-Market/Services/Next-Generation-Post-Trade-Programme/Fini/FINI-Conclusions-Paper</w:t>
        </w:r>
        <w:r>
          <w:t>-EN-(Publication).pdf?la=en</w:t>
        </w:r>
      </w:hyperlink>
    </w:p>
    <w:p w:rsidR="0016322B" w:rsidRDefault="00432300" w:rsidP="00432300">
      <w:pPr>
        <w:pStyle w:val="BodyText"/>
        <w:jc w:val="left"/>
      </w:pPr>
      <w:hyperlink w:anchor="footnote-8693-2-backlink">
        <w:r>
          <w:t>2</w:t>
        </w:r>
      </w:hyperlink>
      <w:r>
        <w:t xml:space="preserve"> </w:t>
      </w:r>
      <w:hyperlink r:id="rId9">
        <w:r>
          <w:t>https://www.hkex.com.hk/-/media/H</w:t>
        </w:r>
        <w:r>
          <w:t>KEX-Market/Services/Next-Generation-Post-Trade-Programme/Fini/FINI_Concept-Paper_EN.pdf?la=en</w:t>
        </w:r>
      </w:hyperlink>
    </w:p>
    <w:p w:rsidR="0016322B" w:rsidRDefault="00432300" w:rsidP="00432300">
      <w:pPr>
        <w:pStyle w:val="BodyText"/>
        <w:jc w:val="left"/>
      </w:pPr>
      <w:hyperlink w:anchor="footnote-8693-3-backlink">
        <w:r>
          <w:t>3</w:t>
        </w:r>
      </w:hyperlink>
      <w:r>
        <w:t xml:space="preserve"> </w:t>
      </w:r>
      <w:hyperlink r:id="rId10">
        <w:r>
          <w:t>h</w:t>
        </w:r>
        <w:r>
          <w:t>ttps://www.charltonslaw.com/hkex-consults-on-proposal-to-streamline-ipo-settlement-process/</w:t>
        </w:r>
      </w:hyperlink>
      <w:bookmarkStart w:id="0" w:name="_GoBack"/>
      <w:bookmarkEnd w:id="0"/>
    </w:p>
    <w:p w:rsidR="0016322B" w:rsidRDefault="00432300" w:rsidP="00432300">
      <w:pPr>
        <w:pStyle w:val="BodyText"/>
        <w:jc w:val="left"/>
      </w:pPr>
      <w:hyperlink w:anchor="footnote-8693-4-backlink">
        <w:r>
          <w:t>4</w:t>
        </w:r>
      </w:hyperlink>
      <w:r>
        <w:t xml:space="preserve"> </w:t>
      </w:r>
      <w:hyperlink r:id="rId11">
        <w:r>
          <w:t>https://www.hkex.com.hk/-/media/HKEX-Market/Services/Next-Generation-Post-Trade-Programme/Fini/FINI-Conclusions-Paper-EN-(Publication).pdf?la=en</w:t>
        </w:r>
      </w:hyperlink>
    </w:p>
    <w:p w:rsidR="0016322B" w:rsidRDefault="00432300" w:rsidP="00432300">
      <w:pPr>
        <w:pStyle w:val="BodyText"/>
        <w:jc w:val="left"/>
      </w:pPr>
      <w:hyperlink w:anchor="footnote-8693-5-backlink">
        <w:r>
          <w:t>5</w:t>
        </w:r>
      </w:hyperlink>
      <w:r>
        <w:t xml:space="preserve"> </w:t>
      </w:r>
      <w:hyperlink r:id="rId12">
        <w:r>
          <w:t>https://www.hkex.com.hk/-/media/HKEX-Market/Services/Next-Generation-Post-Trade-Programme/Fini/FINI-Infor</w:t>
        </w:r>
        <w:r>
          <w:t>mation-Pack-EN-(Publication).pdf?la=en</w:t>
        </w:r>
      </w:hyperlink>
    </w:p>
    <w:p w:rsidR="0016322B" w:rsidRDefault="00432300" w:rsidP="00432300">
      <w:pPr>
        <w:pStyle w:val="BodyText"/>
        <w:jc w:val="left"/>
      </w:pPr>
      <w:hyperlink w:anchor="footnote-8693-6-backlink">
        <w:r>
          <w:t>6</w:t>
        </w:r>
      </w:hyperlink>
      <w:r>
        <w:t xml:space="preserve"> </w:t>
      </w:r>
      <w:hyperlink r:id="rId13">
        <w:r>
          <w:t>https://www.hkex.com.hk/-/media/HKEX-Market/Services/Next-Generation-Post-Trade-Programme/Fini/FINI-Conclusions-Paper-EN-(Publication).pdf?la=en</w:t>
        </w:r>
      </w:hyperlink>
    </w:p>
    <w:p w:rsidR="0016322B" w:rsidRDefault="00432300" w:rsidP="00432300">
      <w:pPr>
        <w:pStyle w:val="BodyText"/>
        <w:jc w:val="left"/>
      </w:pPr>
      <w:hyperlink w:anchor="footnote-8693-7-backlink">
        <w:r>
          <w:t>7</w:t>
        </w:r>
      </w:hyperlink>
      <w:r>
        <w:t xml:space="preserve"> </w:t>
      </w:r>
      <w:hyperlink r:id="rId14">
        <w:r>
          <w:t>https://www.hkex.com.hk/-/media/HKEX-Market/Services/Next-Generation-Post-Trade-Programme/Fini/FINI-Information-Pack-EN-(Publication).pdf?la=en</w:t>
        </w:r>
      </w:hyperlink>
    </w:p>
    <w:p w:rsidR="0016322B" w:rsidRDefault="00432300" w:rsidP="00432300">
      <w:pPr>
        <w:pStyle w:val="BodyText"/>
        <w:jc w:val="left"/>
      </w:pPr>
      <w:hyperlink w:anchor="footnote-8693-8-backlink">
        <w:r>
          <w:t>8</w:t>
        </w:r>
      </w:hyperlink>
      <w:r>
        <w:t xml:space="preserve"> </w:t>
      </w:r>
      <w:hyperlink r:id="rId15">
        <w:r>
          <w:t>https://www.hkex.com.hk/-/media/HKEX-Market/Services/</w:t>
        </w:r>
        <w:r>
          <w:t>Next-Generation-Post-Trade-Programme/Fini/FINI-Information-Pack-EN-(Publication).pdf?la=en</w:t>
        </w:r>
      </w:hyperlink>
    </w:p>
    <w:p w:rsidR="0016322B" w:rsidRDefault="00432300">
      <w:pPr>
        <w:pStyle w:val="DisclaimerBold"/>
        <w:rPr>
          <w:lang w:eastAsia="zh-CN"/>
        </w:rPr>
      </w:pPr>
      <w:r>
        <w:rPr>
          <w:lang w:eastAsia="zh-CN"/>
        </w:rPr>
        <w:t>此法讯仅为提供相关资料信息之用，其内容并</w:t>
      </w:r>
    </w:p>
    <w:p w:rsidR="0016322B" w:rsidRDefault="00432300">
      <w:pPr>
        <w:pStyle w:val="Disclaimer"/>
        <w:rPr>
          <w:lang w:eastAsia="zh-CN"/>
        </w:rPr>
      </w:pPr>
      <w:r>
        <w:rPr>
          <w:lang w:eastAsia="zh-CN"/>
        </w:rPr>
        <w:t>不构成法律建议及个案的法律分析。</w:t>
      </w:r>
    </w:p>
    <w:p w:rsidR="0016322B" w:rsidRDefault="00432300">
      <w:pPr>
        <w:pStyle w:val="Disclaimer"/>
        <w:rPr>
          <w:lang w:eastAsia="zh-CN"/>
        </w:rPr>
      </w:pPr>
      <w:r>
        <w:rPr>
          <w:lang w:eastAsia="zh-CN"/>
        </w:rPr>
        <w:t>此法讯的发送并不是为了在易周律师行与用户或浏览者之间建立一种律师与客户之关系。</w:t>
      </w:r>
    </w:p>
    <w:p w:rsidR="0016322B" w:rsidRDefault="00432300">
      <w:pPr>
        <w:pStyle w:val="Disclaimer"/>
        <w:rPr>
          <w:lang w:eastAsia="zh-CN"/>
        </w:rPr>
      </w:pPr>
      <w:r>
        <w:rPr>
          <w:lang w:eastAsia="zh-CN"/>
        </w:rPr>
        <w:lastRenderedPageBreak/>
        <w:t>易周律师行并不对可从互联网获得的任何第三方内容负责。</w:t>
      </w:r>
    </w:p>
    <w:p w:rsidR="0016322B" w:rsidRDefault="00432300">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16322B" w:rsidRDefault="00432300">
      <w:pPr>
        <w:pStyle w:val="BlackStrips"/>
      </w:pPr>
      <w:r>
        <w:t xml:space="preserve">Charltons - </w:t>
      </w:r>
      <w:r>
        <w:t>香港法律</w:t>
      </w:r>
      <w:r>
        <w:t xml:space="preserve"> - 2022</w:t>
      </w:r>
      <w:r>
        <w:t>年</w:t>
      </w:r>
      <w:r>
        <w:t>1</w:t>
      </w:r>
      <w:r>
        <w:t>月</w:t>
      </w:r>
      <w:r>
        <w:t>12</w:t>
      </w:r>
      <w:r>
        <w:t>日</w:t>
      </w:r>
    </w:p>
    <w:sectPr w:rsidR="0016322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2300">
      <w:pPr>
        <w:spacing w:after="0"/>
      </w:pPr>
      <w:r>
        <w:separator/>
      </w:r>
    </w:p>
  </w:endnote>
  <w:endnote w:type="continuationSeparator" w:id="0">
    <w:p w:rsidR="00000000" w:rsidRDefault="00432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DFKai-SB">
    <w:altName w:val="Microsoft YaHei"/>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2B" w:rsidRDefault="00432300">
      <w:r>
        <w:separator/>
      </w:r>
    </w:p>
  </w:footnote>
  <w:footnote w:type="continuationSeparator" w:id="0">
    <w:p w:rsidR="0016322B" w:rsidRDefault="00432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6CC89D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13D0D93"/>
    <w:multiLevelType w:val="multilevel"/>
    <w:tmpl w:val="113D0D9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0CD2DE"/>
    <w:multiLevelType w:val="multilevel"/>
    <w:tmpl w:val="647A26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A2F11F3"/>
    <w:multiLevelType w:val="multilevel"/>
    <w:tmpl w:val="2A2F11F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AE401"/>
    <w:multiLevelType w:val="multilevel"/>
    <w:tmpl w:val="3790E7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71315DCA"/>
    <w:multiLevelType w:val="multilevel"/>
    <w:tmpl w:val="74E4D4D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2"/>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6322B"/>
    <w:rsid w:val="00432300"/>
    <w:rsid w:val="004E29B3"/>
    <w:rsid w:val="00590D07"/>
    <w:rsid w:val="00716EC6"/>
    <w:rsid w:val="00784D58"/>
    <w:rsid w:val="008D6863"/>
    <w:rsid w:val="00B86B75"/>
    <w:rsid w:val="00BC48D5"/>
    <w:rsid w:val="00C36279"/>
    <w:rsid w:val="00E315A3"/>
    <w:rsid w:val="00FA70F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CCAC"/>
  <w15:docId w15:val="{C310E8FC-E0A7-4A47-87B1-96A56AE4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qFormat/>
    <w:rsid w:val="00FA70F6"/>
    <w:rPr>
      <w:rFonts w:ascii="Times New Roman" w:hAnsi="Times New Roma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0F6"/>
    <w:pPr>
      <w:spacing w:after="160" w:line="259" w:lineRule="auto"/>
      <w:ind w:left="720"/>
      <w:contextualSpacing/>
    </w:pPr>
    <w:rPr>
      <w:rFonts w:eastAsiaTheme="minorEastAsia"/>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Services/Next-Generation-Post-Trade-Programme/Fini/FINI-Conclusions-Paper-EN-(Publication).pdf?la=en" TargetMode="External"/><Relationship Id="rId13" Type="http://schemas.openxmlformats.org/officeDocument/2006/relationships/hyperlink" Target="https://www.hkex.com.hk/-/media/HKEX-Market/Services/Next-Generation-Post-Trade-Programme/Fini/FINI-Conclusions-Paper-EN-(Publication).pdf?la=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fini-xiang-gang-jiao-yi-suo-shou-ci-gong-kai-zhao-gu-jie-suan-ping-tai-shi-shi--t2-shou-ci-gong-kai-zhao-gu-jie-suan-kuang-jia" TargetMode="External"/><Relationship Id="rId12" Type="http://schemas.openxmlformats.org/officeDocument/2006/relationships/hyperlink" Target="https://www.hkex.com.hk/-/media/HKEX-Market/Services/Next-Generation-Post-Trade-Programme/Fini/FINI-Conclusions-Paper-EN-(Publication).pdf?la=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Services/Next-Generation-Post-Trade-Programme/Fini/FINI-Conclusions-Paper-EN-(Publication).pdf?la=en" TargetMode="External"/><Relationship Id="rId5" Type="http://schemas.openxmlformats.org/officeDocument/2006/relationships/footnotes" Target="footnotes.xml"/><Relationship Id="rId15" Type="http://schemas.openxmlformats.org/officeDocument/2006/relationships/hyperlink" Target="https://www.hkex.com.hk/-/media/HKEX-Market/Services/Next-Generation-Post-Trade-Programme/Fini/FINI-Conclusions-Paper-EN-(Publication).pdf?la=en" TargetMode="External"/><Relationship Id="rId10" Type="http://schemas.openxmlformats.org/officeDocument/2006/relationships/hyperlink" Target="https://www.charltonslaw.com/hkex-consults-on-proposal-to-streamline-ipo-settlement-process/" TargetMode="External"/><Relationship Id="rId4" Type="http://schemas.openxmlformats.org/officeDocument/2006/relationships/webSettings" Target="webSettings.xml"/><Relationship Id="rId9" Type="http://schemas.openxmlformats.org/officeDocument/2006/relationships/hyperlink" Target="https://www.hkex.com.hk/-/media/HKEX-Market/Services/Next-Generation-Post-Trade-Programme/Fini/FINI_Concept-Paper_EN.pdf?la=en" TargetMode="External"/><Relationship Id="rId14" Type="http://schemas.openxmlformats.org/officeDocument/2006/relationships/hyperlink" Target="https://www.hkex.com.hk/-/media/HKEX-Market/Services/Next-Generation-Post-Trade-Programme/Fini/FINI-Conclusions-Paper-EN-(Publication).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1592</Words>
  <Characters>9081</Characters>
  <Application>Microsoft Office Word</Application>
  <DocSecurity>0</DocSecurity>
  <Lines>75</Lines>
  <Paragraphs>21</Paragraphs>
  <ScaleCrop>false</ScaleCrop>
  <Company>Charltons</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4</cp:revision>
  <dcterms:created xsi:type="dcterms:W3CDTF">2022-01-12T08:34:00Z</dcterms:created>
  <dcterms:modified xsi:type="dcterms:W3CDTF">2022-01-12T08:39:00Z</dcterms:modified>
</cp:coreProperties>
</file>