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56" w:rsidRDefault="00FC4A82">
      <w:pPr>
        <w:pStyle w:val="BlackStrips"/>
      </w:pPr>
      <w:r>
        <w:t xml:space="preserve">Charltons - </w:t>
      </w:r>
      <w:r>
        <w:t>香港法律</w:t>
      </w:r>
      <w:r>
        <w:t xml:space="preserve"> - 2022</w:t>
      </w:r>
      <w:r>
        <w:t>年</w:t>
      </w:r>
      <w:r>
        <w:t>3</w:t>
      </w:r>
      <w:r>
        <w:t>月</w:t>
      </w:r>
      <w:r>
        <w:t>18</w:t>
      </w:r>
      <w:r>
        <w:t>日</w:t>
      </w:r>
    </w:p>
    <w:p w:rsidR="00F42656" w:rsidRDefault="00FC4A82">
      <w:pPr>
        <w:pStyle w:val="ReadOnline"/>
        <w:rPr>
          <w:lang w:eastAsia="zh-CN"/>
        </w:rPr>
      </w:pPr>
      <w:hyperlink r:id="rId7">
        <w:r>
          <w:rPr>
            <w:lang w:eastAsia="zh-CN"/>
          </w:rPr>
          <w:t>online version</w:t>
        </w:r>
      </w:hyperlink>
    </w:p>
    <w:p w:rsidR="00F42656" w:rsidRDefault="00FC4A82">
      <w:pPr>
        <w:pStyle w:val="Title"/>
        <w:rPr>
          <w:lang w:eastAsia="zh-CN"/>
        </w:rPr>
      </w:pPr>
      <w:r>
        <w:rPr>
          <w:lang w:eastAsia="zh-CN"/>
        </w:rPr>
        <w:t>香港证监会针对尽职审查工作缺失对首次公开招股保荐人罚款</w:t>
      </w:r>
    </w:p>
    <w:p w:rsidR="00F42656" w:rsidRDefault="00FC4A82" w:rsidP="00FC4A82">
      <w:pPr>
        <w:pStyle w:val="FirstParagraph"/>
        <w:rPr>
          <w:lang w:eastAsia="zh-CN"/>
        </w:rPr>
      </w:pPr>
      <w:r>
        <w:rPr>
          <w:lang w:eastAsia="zh-CN"/>
        </w:rPr>
        <w:t>2021</w:t>
      </w:r>
      <w:r>
        <w:rPr>
          <w:lang w:eastAsia="zh-CN"/>
        </w:rPr>
        <w:t>年</w:t>
      </w:r>
      <w:r>
        <w:rPr>
          <w:lang w:eastAsia="zh-CN"/>
        </w:rPr>
        <w:t>10</w:t>
      </w:r>
      <w:r>
        <w:rPr>
          <w:lang w:eastAsia="zh-CN"/>
        </w:rPr>
        <w:t>月</w:t>
      </w:r>
      <w:r>
        <w:rPr>
          <w:lang w:eastAsia="zh-CN"/>
        </w:rPr>
        <w:t>11</w:t>
      </w:r>
      <w:r>
        <w:rPr>
          <w:lang w:eastAsia="zh-CN"/>
        </w:rPr>
        <w:t>日，</w:t>
      </w:r>
      <w:r>
        <w:rPr>
          <w:lang w:eastAsia="zh-CN"/>
        </w:rPr>
        <w:t>2</w:t>
      </w:r>
      <w:r>
        <w:rPr>
          <w:lang w:eastAsia="zh-CN"/>
        </w:rPr>
        <w:t>名首次公开招股保荐人</w:t>
      </w:r>
      <w:r>
        <w:rPr>
          <w:lang w:eastAsia="zh-CN"/>
        </w:rPr>
        <w:t>–</w:t>
      </w:r>
      <w:hyperlink r:id="rId8">
        <w:r>
          <w:rPr>
            <w:lang w:eastAsia="zh-CN"/>
          </w:rPr>
          <w:t>丰盛融资有限公司（</w:t>
        </w:r>
        <w:r>
          <w:rPr>
            <w:b/>
            <w:lang w:eastAsia="zh-CN"/>
          </w:rPr>
          <w:t>丰盛融资</w:t>
        </w:r>
        <w:r>
          <w:rPr>
            <w:lang w:eastAsia="zh-CN"/>
          </w:rPr>
          <w:t>）</w:t>
        </w:r>
      </w:hyperlink>
      <w:hyperlink w:anchor="footnote-8693-1">
        <w:r>
          <w:rPr>
            <w:vertAlign w:val="superscript"/>
            <w:lang w:eastAsia="zh-CN"/>
          </w:rPr>
          <w:t>1</w:t>
        </w:r>
      </w:hyperlink>
      <w:r>
        <w:rPr>
          <w:lang w:eastAsia="zh-CN"/>
        </w:rPr>
        <w:t>及</w:t>
      </w:r>
      <w:hyperlink r:id="rId9">
        <w:r>
          <w:rPr>
            <w:lang w:eastAsia="zh-CN"/>
          </w:rPr>
          <w:t>易顺达融资有限公司（</w:t>
        </w:r>
        <w:r>
          <w:rPr>
            <w:b/>
            <w:lang w:eastAsia="zh-CN"/>
          </w:rPr>
          <w:t>易顺达融资</w:t>
        </w:r>
        <w:r>
          <w:rPr>
            <w:lang w:eastAsia="zh-CN"/>
          </w:rPr>
          <w:t>）</w:t>
        </w:r>
      </w:hyperlink>
      <w:hyperlink w:anchor="footnote-8693-2">
        <w:r>
          <w:rPr>
            <w:vertAlign w:val="superscript"/>
            <w:lang w:eastAsia="zh-CN"/>
          </w:rPr>
          <w:t>2</w:t>
        </w:r>
      </w:hyperlink>
      <w:r>
        <w:rPr>
          <w:lang w:eastAsia="zh-CN"/>
        </w:rPr>
        <w:t xml:space="preserve"> –</w:t>
      </w:r>
      <w:r>
        <w:rPr>
          <w:lang w:eastAsia="zh-CN"/>
        </w:rPr>
        <w:t>分别因在各自担任保荐人的一宗（总共</w:t>
      </w:r>
      <w:r>
        <w:rPr>
          <w:lang w:eastAsia="zh-CN"/>
        </w:rPr>
        <w:t>2</w:t>
      </w:r>
      <w:r>
        <w:rPr>
          <w:lang w:eastAsia="zh-CN"/>
        </w:rPr>
        <w:t>宗）香港上市申请中违反其应尽的尽职审查职责而遭香港证券及期货事务监察委员会（</w:t>
      </w:r>
      <w:r>
        <w:rPr>
          <w:b/>
          <w:lang w:eastAsia="zh-CN"/>
        </w:rPr>
        <w:t>证监会</w:t>
      </w:r>
      <w:r>
        <w:rPr>
          <w:lang w:eastAsia="zh-CN"/>
        </w:rPr>
        <w:t>）谴责并罚款。在该</w:t>
      </w:r>
      <w:r>
        <w:rPr>
          <w:lang w:eastAsia="zh-CN"/>
        </w:rPr>
        <w:t>2</w:t>
      </w:r>
      <w:r>
        <w:rPr>
          <w:lang w:eastAsia="zh-CN"/>
        </w:rPr>
        <w:t>宗个案中，保荐人被调查发现没有就第三方付款（证监会指称会引起预警迹象）进行充分的尽职审查</w:t>
      </w:r>
      <w:r>
        <w:rPr>
          <w:lang w:eastAsia="zh-CN"/>
        </w:rPr>
        <w:t>–</w:t>
      </w:r>
      <w:r>
        <w:rPr>
          <w:lang w:eastAsia="zh-CN"/>
        </w:rPr>
        <w:t>丰盛融资个案中分销业务模型下的渠道填塞，</w:t>
      </w:r>
      <w:r>
        <w:rPr>
          <w:lang w:eastAsia="zh-CN"/>
        </w:rPr>
        <w:t>以及易顺达融资个案中的资金的循环流动（可能表明有人企图掩盖有关资金的原始来源并为欺骗或者欺诈计划提供便利）。</w:t>
      </w:r>
    </w:p>
    <w:p w:rsidR="00F42656" w:rsidRDefault="00FC4A82">
      <w:pPr>
        <w:pStyle w:val="BodyText"/>
      </w:pPr>
      <w:r>
        <w:rPr>
          <w:lang w:eastAsia="zh-CN"/>
        </w:rPr>
        <w:t>该两项最近的纪律处分行动提示证监会打击不合格保荐人尽职审查的决心，即使上市申请人不能继续上市且保荐人未能进行充分尽职审查并未致使投资者遭受经济损失。该等决定强调首次公开招股保荐人须根据证监会的</w:t>
      </w:r>
      <w:hyperlink r:id="rId10">
        <w:r>
          <w:rPr>
            <w:lang w:eastAsia="zh-CN"/>
          </w:rPr>
          <w:t>《证券及期货事务监察委员会持牌人或注册人操守准则》</w:t>
        </w:r>
      </w:hyperlink>
      <w:hyperlink w:anchor="footnote-8693-3">
        <w:r>
          <w:rPr>
            <w:vertAlign w:val="superscript"/>
            <w:lang w:eastAsia="zh-CN"/>
          </w:rPr>
          <w:t>3</w:t>
        </w:r>
      </w:hyperlink>
      <w:r>
        <w:rPr>
          <w:lang w:eastAsia="zh-CN"/>
        </w:rPr>
        <w:t>（</w:t>
      </w:r>
      <w:r>
        <w:rPr>
          <w:b/>
          <w:lang w:eastAsia="zh-CN"/>
        </w:rPr>
        <w:t>证监会操守准则</w:t>
      </w:r>
      <w:r>
        <w:rPr>
          <w:lang w:eastAsia="zh-CN"/>
        </w:rPr>
        <w:t>）第</w:t>
      </w:r>
      <w:r>
        <w:rPr>
          <w:lang w:eastAsia="zh-CN"/>
        </w:rPr>
        <w:t>17</w:t>
      </w:r>
      <w:r>
        <w:rPr>
          <w:lang w:eastAsia="zh-CN"/>
        </w:rPr>
        <w:t>段规定对上市申请人进行所有合理尽职审查责任的繁重及广泛的性质。该等决定尤其及时提醒了保荐人主要人员需要注意存</w:t>
      </w:r>
      <w:r>
        <w:rPr>
          <w:lang w:eastAsia="zh-CN"/>
        </w:rPr>
        <w:t>在预警信号并透过参阅上市申请人以外的消息来源进行独立尽职审查以确定相关事实，而非接纳上市申请人代表提供的表面陈述或者文件的。</w:t>
      </w:r>
      <w:r>
        <w:t>两宗个案的要点如下：</w:t>
      </w:r>
    </w:p>
    <w:p w:rsidR="00F42656" w:rsidRDefault="00FC4A82">
      <w:pPr>
        <w:pStyle w:val="Compact"/>
        <w:numPr>
          <w:ilvl w:val="0"/>
          <w:numId w:val="3"/>
        </w:numPr>
        <w:rPr>
          <w:lang w:eastAsia="zh-CN"/>
        </w:rPr>
      </w:pPr>
      <w:r>
        <w:rPr>
          <w:lang w:eastAsia="zh-CN"/>
        </w:rPr>
        <w:t>证券及期货事务上诉审裁处（</w:t>
      </w:r>
      <w:r>
        <w:rPr>
          <w:b/>
          <w:lang w:eastAsia="zh-CN"/>
        </w:rPr>
        <w:t>上诉审裁处</w:t>
      </w:r>
      <w:r>
        <w:rPr>
          <w:lang w:eastAsia="zh-CN"/>
        </w:rPr>
        <w:t>）在确认证监会发现易顺达融资违反保荐人职责过程中证明，存在的多个预警迹象（该案中，广泛使用第三方付款）要求保荐人进行额外的独立尽职审查，以查明表面上可疑的情况的根本原因。</w:t>
      </w:r>
    </w:p>
    <w:p w:rsidR="00F42656" w:rsidRDefault="00FC4A82">
      <w:pPr>
        <w:pStyle w:val="Compact"/>
        <w:numPr>
          <w:ilvl w:val="0"/>
          <w:numId w:val="3"/>
        </w:numPr>
        <w:rPr>
          <w:lang w:eastAsia="zh-CN"/>
        </w:rPr>
      </w:pPr>
      <w:r>
        <w:rPr>
          <w:lang w:eastAsia="zh-CN"/>
        </w:rPr>
        <w:t>上诉审裁处接纳以下情况：保荐人倘若已进行了适当的尽职审查，那么可能会得出结论认为该等第三方付款并不可疑（因为无证据指称该等付款属欺诈或者虚构）或者在相关情况中</w:t>
      </w:r>
      <w:r>
        <w:rPr>
          <w:lang w:eastAsia="zh-CN"/>
        </w:rPr>
        <w:t>属合理。上诉审裁处不能接纳的是保荐人接受上市申请人代表的以下表面陈述：需要对广泛使用间接付款的理由进行独立尽职审查的情况若在上市文件中未给出适当解释，则很可能会增加潜在投资者的担忧。</w:t>
      </w:r>
    </w:p>
    <w:p w:rsidR="00F42656" w:rsidRDefault="00FC4A82">
      <w:pPr>
        <w:pStyle w:val="Compact"/>
        <w:numPr>
          <w:ilvl w:val="0"/>
          <w:numId w:val="3"/>
        </w:numPr>
        <w:rPr>
          <w:lang w:eastAsia="zh-CN"/>
        </w:rPr>
      </w:pPr>
      <w:r>
        <w:rPr>
          <w:lang w:eastAsia="zh-CN"/>
        </w:rPr>
        <w:t>仅核实存在大量的第三方付款方式不构成证监会《操守准则》要求的进行「所有合理尽职审查」。这就是保荐人违反其尽职审查职责的原因。该等潜在的预警迹象促使保荐人深入调查该等付款及其理据，而且这意味着该保荐人须就该上市申请人为何获间接支付事宜会见相关客户及第三方付款人。</w:t>
      </w:r>
    </w:p>
    <w:p w:rsidR="00F42656" w:rsidRDefault="00FC4A82">
      <w:pPr>
        <w:pStyle w:val="Compact"/>
        <w:numPr>
          <w:ilvl w:val="0"/>
          <w:numId w:val="3"/>
        </w:numPr>
        <w:rPr>
          <w:lang w:eastAsia="zh-CN"/>
        </w:rPr>
      </w:pPr>
      <w:r>
        <w:rPr>
          <w:lang w:eastAsia="zh-CN"/>
        </w:rPr>
        <w:t>在丰盛融资个案中，尽管联交所专门质疑该上市申请人向该分销商进行的销</w:t>
      </w:r>
      <w:r>
        <w:rPr>
          <w:lang w:eastAsia="zh-CN"/>
        </w:rPr>
        <w:t>售，但是保荐人没有对上市申请人及负责其大部分销售的分销商之间的关系开展独立查询。</w:t>
      </w:r>
    </w:p>
    <w:p w:rsidR="00F42656" w:rsidRDefault="00FC4A82">
      <w:pPr>
        <w:pStyle w:val="Compact"/>
        <w:numPr>
          <w:ilvl w:val="0"/>
          <w:numId w:val="3"/>
        </w:numPr>
        <w:rPr>
          <w:lang w:eastAsia="zh-CN"/>
        </w:rPr>
      </w:pPr>
      <w:r>
        <w:rPr>
          <w:lang w:eastAsia="zh-CN"/>
        </w:rPr>
        <w:t>丰盛融资没有严谨地评估上市申请人向其提供的付运文件是否可靠，亦没有进行必要的独立尽职审查，尽管有明显迹象显示该等文件并不可靠。</w:t>
      </w:r>
    </w:p>
    <w:p w:rsidR="00F42656" w:rsidRDefault="00FC4A82">
      <w:pPr>
        <w:pStyle w:val="FirstParagraph"/>
        <w:rPr>
          <w:lang w:eastAsia="zh-CN"/>
        </w:rPr>
      </w:pPr>
      <w:r>
        <w:rPr>
          <w:lang w:eastAsia="zh-CN"/>
        </w:rPr>
        <w:t>证监会已明确表示杜绝不合格的保荐人尽职审查工作。最近的这些决定强调保荐人需要严格遵从第</w:t>
      </w:r>
      <w:r>
        <w:rPr>
          <w:lang w:eastAsia="zh-CN"/>
        </w:rPr>
        <w:t>17</w:t>
      </w:r>
      <w:r>
        <w:rPr>
          <w:lang w:eastAsia="zh-CN"/>
        </w:rPr>
        <w:t>段中的规定，即使相关情况事实上并没有（但很可能会）表明该上市申请人或其董事存在欺诈或者失当行为。</w:t>
      </w:r>
    </w:p>
    <w:p w:rsidR="00F42656" w:rsidRDefault="00FC4A82">
      <w:pPr>
        <w:pStyle w:val="BodyText"/>
        <w:rPr>
          <w:lang w:eastAsia="zh-CN"/>
        </w:rPr>
      </w:pPr>
      <w:r>
        <w:rPr>
          <w:lang w:eastAsia="zh-CN"/>
        </w:rPr>
        <w:t>证监会根据《证券及期货条例》第</w:t>
      </w:r>
      <w:r>
        <w:rPr>
          <w:lang w:eastAsia="zh-CN"/>
        </w:rPr>
        <w:t>194</w:t>
      </w:r>
      <w:r>
        <w:rPr>
          <w:lang w:eastAsia="zh-CN"/>
        </w:rPr>
        <w:t>条及第</w:t>
      </w:r>
      <w:r>
        <w:rPr>
          <w:lang w:eastAsia="zh-CN"/>
        </w:rPr>
        <w:t>196</w:t>
      </w:r>
      <w:r>
        <w:rPr>
          <w:lang w:eastAsia="zh-CN"/>
        </w:rPr>
        <w:t>条享有的纪律处分权力</w:t>
      </w:r>
    </w:p>
    <w:p w:rsidR="00F42656" w:rsidRDefault="00FC4A82">
      <w:pPr>
        <w:pStyle w:val="BodyText"/>
      </w:pPr>
      <w:r>
        <w:rPr>
          <w:lang w:eastAsia="zh-CN"/>
        </w:rPr>
        <w:t>证监会是根据《证券及期货条例》第</w:t>
      </w:r>
      <w:r>
        <w:rPr>
          <w:lang w:eastAsia="zh-CN"/>
        </w:rPr>
        <w:t>IX</w:t>
      </w:r>
      <w:r>
        <w:rPr>
          <w:lang w:eastAsia="zh-CN"/>
        </w:rPr>
        <w:t>部赋予证</w:t>
      </w:r>
      <w:r>
        <w:rPr>
          <w:lang w:eastAsia="zh-CN"/>
        </w:rPr>
        <w:t>监会的权力针对丰盛融资及易顺达融资采取的纪律处分行动。其中的第</w:t>
      </w:r>
      <w:r>
        <w:rPr>
          <w:lang w:eastAsia="zh-CN"/>
        </w:rPr>
        <w:t>194</w:t>
      </w:r>
      <w:r>
        <w:rPr>
          <w:lang w:eastAsia="zh-CN"/>
        </w:rPr>
        <w:t>条及第</w:t>
      </w:r>
      <w:r>
        <w:rPr>
          <w:lang w:eastAsia="zh-CN"/>
        </w:rPr>
        <w:t>196</w:t>
      </w:r>
      <w:r>
        <w:rPr>
          <w:lang w:eastAsia="zh-CN"/>
        </w:rPr>
        <w:t>条已成为证监会就保荐人尽职审查缺失用于对该保荐人进行「惩戒」（尚未有更好词语表达）的主要机制。该等条文给予证监会处以罚款及</w:t>
      </w:r>
      <w:r>
        <w:rPr>
          <w:lang w:eastAsia="zh-CN"/>
        </w:rPr>
        <w:t>/</w:t>
      </w:r>
      <w:r>
        <w:rPr>
          <w:lang w:eastAsia="zh-CN"/>
        </w:rPr>
        <w:t>或撤销或暂时</w:t>
      </w:r>
      <w:r>
        <w:rPr>
          <w:lang w:eastAsia="zh-CN"/>
        </w:rPr>
        <w:lastRenderedPageBreak/>
        <w:t>吊销「受规管人员」（即保荐人，保荐人负责人员及持牌代表（如属持牌法团）及行政总裁及注册个人（如属注册机构））牌照或注册的权利。</w:t>
      </w:r>
      <w:r>
        <w:t>证监会在以下情况下会被给予该等权力：</w:t>
      </w:r>
    </w:p>
    <w:p w:rsidR="00F42656" w:rsidRDefault="00FC4A82">
      <w:pPr>
        <w:pStyle w:val="Compact"/>
        <w:numPr>
          <w:ilvl w:val="0"/>
          <w:numId w:val="4"/>
        </w:numPr>
        <w:rPr>
          <w:lang w:eastAsia="zh-CN"/>
        </w:rPr>
      </w:pPr>
      <w:r>
        <w:rPr>
          <w:lang w:eastAsia="zh-CN"/>
        </w:rPr>
        <w:t>受规管人员犯失当行为（即已违反《证券及期货条例》条文，《公司（清盘及杂项条文）条例》，招股说明书条文，或《公司条例》某些条文或者反洗</w:t>
      </w:r>
      <w:r>
        <w:rPr>
          <w:lang w:eastAsia="zh-CN"/>
        </w:rPr>
        <w:t>钱法例）；或</w:t>
      </w:r>
    </w:p>
    <w:p w:rsidR="00F42656" w:rsidRDefault="00FC4A82">
      <w:pPr>
        <w:pStyle w:val="Compact"/>
        <w:numPr>
          <w:ilvl w:val="0"/>
          <w:numId w:val="4"/>
        </w:numPr>
        <w:rPr>
          <w:lang w:eastAsia="zh-CN"/>
        </w:rPr>
      </w:pPr>
      <w:r>
        <w:rPr>
          <w:lang w:eastAsia="zh-CN"/>
        </w:rPr>
        <w:t>证监会认为受规管人员不属适当人员，不能或者不能继续保持持牌或者注册状态。</w:t>
      </w:r>
    </w:p>
    <w:p w:rsidR="00F42656" w:rsidRDefault="00FC4A82">
      <w:pPr>
        <w:pStyle w:val="FirstParagraph"/>
        <w:rPr>
          <w:lang w:eastAsia="zh-CN"/>
        </w:rPr>
      </w:pPr>
      <w:r>
        <w:rPr>
          <w:lang w:eastAsia="zh-CN"/>
        </w:rPr>
        <w:t>证监会能够处以罚款的最高款额为</w:t>
      </w:r>
      <w:r>
        <w:rPr>
          <w:lang w:eastAsia="zh-CN"/>
        </w:rPr>
        <w:t>1000</w:t>
      </w:r>
      <w:r>
        <w:rPr>
          <w:lang w:eastAsia="zh-CN"/>
        </w:rPr>
        <w:t>万港元或者因该失当行为或者致使证监会认为该受规管人员不属适当人士而获得的盈利或者避免的损失款额的</w:t>
      </w:r>
      <w:r>
        <w:rPr>
          <w:lang w:eastAsia="zh-CN"/>
        </w:rPr>
        <w:t>3</w:t>
      </w:r>
      <w:r>
        <w:rPr>
          <w:lang w:eastAsia="zh-CN"/>
        </w:rPr>
        <w:t>倍。</w:t>
      </w:r>
    </w:p>
    <w:p w:rsidR="00F42656" w:rsidRDefault="00FC4A82">
      <w:pPr>
        <w:pStyle w:val="BodyText"/>
        <w:rPr>
          <w:lang w:eastAsia="zh-CN"/>
        </w:rPr>
      </w:pPr>
      <w:r>
        <w:rPr>
          <w:lang w:eastAsia="zh-CN"/>
        </w:rPr>
        <w:t>该等条文已多次被用于处以高额罚款，例如曾对瑞银集团及瑞银证券香港有限公司就其担任</w:t>
      </w:r>
      <w:r>
        <w:rPr>
          <w:lang w:eastAsia="zh-CN"/>
        </w:rPr>
        <w:t>3</w:t>
      </w:r>
      <w:r>
        <w:rPr>
          <w:lang w:eastAsia="zh-CN"/>
        </w:rPr>
        <w:t>宗上市申请（中国森林控股有限公司，天合化工集团有限公司（</w:t>
      </w:r>
      <w:r>
        <w:rPr>
          <w:b/>
          <w:lang w:eastAsia="zh-CN"/>
        </w:rPr>
        <w:t>天合化工</w:t>
      </w:r>
      <w:r>
        <w:rPr>
          <w:lang w:eastAsia="zh-CN"/>
        </w:rPr>
        <w:t>）及中国金属再生资源</w:t>
      </w:r>
      <w:r>
        <w:rPr>
          <w:lang w:eastAsia="zh-CN"/>
        </w:rPr>
        <w:t>(</w:t>
      </w:r>
      <w:r>
        <w:rPr>
          <w:lang w:eastAsia="zh-CN"/>
        </w:rPr>
        <w:t>控股</w:t>
      </w:r>
      <w:r>
        <w:rPr>
          <w:lang w:eastAsia="zh-CN"/>
        </w:rPr>
        <w:t>)</w:t>
      </w:r>
      <w:r>
        <w:rPr>
          <w:lang w:eastAsia="zh-CN"/>
        </w:rPr>
        <w:t>有限公司）中的联合保荐人事宜处以罚款</w:t>
      </w:r>
      <w:r>
        <w:rPr>
          <w:lang w:eastAsia="zh-CN"/>
        </w:rPr>
        <w:t>3.75</w:t>
      </w:r>
      <w:r>
        <w:rPr>
          <w:lang w:eastAsia="zh-CN"/>
        </w:rPr>
        <w:t>亿港元，以及对摩根士丹利亚洲有限公司就其在</w:t>
      </w:r>
      <w:r>
        <w:rPr>
          <w:lang w:eastAsia="zh-CN"/>
        </w:rPr>
        <w:t>2014</w:t>
      </w:r>
      <w:r>
        <w:rPr>
          <w:lang w:eastAsia="zh-CN"/>
        </w:rPr>
        <w:t>年天合化工上市</w:t>
      </w:r>
      <w:r>
        <w:rPr>
          <w:lang w:eastAsia="zh-CN"/>
        </w:rPr>
        <w:t>案中担任联席保荐人事宜处以罚款</w:t>
      </w:r>
      <w:r>
        <w:rPr>
          <w:lang w:eastAsia="zh-CN"/>
        </w:rPr>
        <w:t>2.24</w:t>
      </w:r>
      <w:r>
        <w:rPr>
          <w:lang w:eastAsia="zh-CN"/>
        </w:rPr>
        <w:t>亿港元。迄今为止，证监会仅撤销过一名保荐人的牌照，即兆丰资本亚洲有限公司（</w:t>
      </w:r>
      <w:r>
        <w:rPr>
          <w:b/>
          <w:lang w:eastAsia="zh-CN"/>
        </w:rPr>
        <w:t>兆丰资本</w:t>
      </w:r>
      <w:r>
        <w:rPr>
          <w:lang w:eastAsia="zh-CN"/>
        </w:rPr>
        <w:t>），原因是关于其在</w:t>
      </w:r>
      <w:r>
        <w:rPr>
          <w:lang w:eastAsia="zh-CN"/>
        </w:rPr>
        <w:t>2009</w:t>
      </w:r>
      <w:r>
        <w:rPr>
          <w:lang w:eastAsia="zh-CN"/>
        </w:rPr>
        <w:t>年洪良国际控股有限公司（</w:t>
      </w:r>
      <w:r>
        <w:rPr>
          <w:b/>
          <w:lang w:eastAsia="zh-CN"/>
        </w:rPr>
        <w:t>洪良</w:t>
      </w:r>
      <w:r>
        <w:rPr>
          <w:lang w:eastAsia="zh-CN"/>
        </w:rPr>
        <w:t>）上市案中的保荐人身份。该个案标志着证监会在以下若干方面对保荐人采取执法行动的转折点：</w:t>
      </w:r>
    </w:p>
    <w:p w:rsidR="00F42656" w:rsidRDefault="00FC4A82">
      <w:pPr>
        <w:pStyle w:val="Compact"/>
        <w:numPr>
          <w:ilvl w:val="0"/>
          <w:numId w:val="5"/>
        </w:numPr>
        <w:rPr>
          <w:lang w:eastAsia="zh-CN"/>
        </w:rPr>
      </w:pPr>
      <w:r>
        <w:rPr>
          <w:lang w:eastAsia="zh-CN"/>
        </w:rPr>
        <w:t>该个案中，证监会亦首次采用《证券及期货条例》第</w:t>
      </w:r>
      <w:r>
        <w:rPr>
          <w:lang w:eastAsia="zh-CN"/>
        </w:rPr>
        <w:t>213</w:t>
      </w:r>
      <w:r>
        <w:rPr>
          <w:lang w:eastAsia="zh-CN"/>
        </w:rPr>
        <w:t>条从原讼法庭获取命令以要求上市发行人透过提出</w:t>
      </w:r>
      <w:r>
        <w:rPr>
          <w:lang w:eastAsia="zh-CN"/>
        </w:rPr>
        <w:t>10.3</w:t>
      </w:r>
      <w:r>
        <w:rPr>
          <w:lang w:eastAsia="zh-CN"/>
        </w:rPr>
        <w:t>亿港元的要约从洪良</w:t>
      </w:r>
      <w:r>
        <w:rPr>
          <w:lang w:eastAsia="zh-CN"/>
        </w:rPr>
        <w:t>7,700</w:t>
      </w:r>
      <w:r>
        <w:rPr>
          <w:lang w:eastAsia="zh-CN"/>
        </w:rPr>
        <w:t>名公众股东（包括在首次公开招股中认购洪良股份的投资者以及在二手市场买入洪良股份的投资者）处回购股份以对投资者进行赔偿。</w:t>
      </w:r>
      <w:hyperlink w:anchor="footnote-8693-4">
        <w:r>
          <w:rPr>
            <w:vertAlign w:val="superscript"/>
            <w:lang w:eastAsia="zh-CN"/>
          </w:rPr>
          <w:t>4</w:t>
        </w:r>
      </w:hyperlink>
      <w:r>
        <w:rPr>
          <w:lang w:eastAsia="zh-CN"/>
        </w:rPr>
        <w:t xml:space="preserve"> </w:t>
      </w:r>
      <w:r>
        <w:rPr>
          <w:lang w:eastAsia="zh-CN"/>
        </w:rPr>
        <w:t>该个案中原讼法庭的管辖权来源于洪良就履行第</w:t>
      </w:r>
      <w:r>
        <w:rPr>
          <w:lang w:eastAsia="zh-CN"/>
        </w:rPr>
        <w:t>213</w:t>
      </w:r>
      <w:r>
        <w:rPr>
          <w:lang w:eastAsia="zh-CN"/>
        </w:rPr>
        <w:t>条法律程序方面承认其已违反《证券及期货条例》第</w:t>
      </w:r>
      <w:r>
        <w:rPr>
          <w:lang w:eastAsia="zh-CN"/>
        </w:rPr>
        <w:t>298</w:t>
      </w:r>
      <w:r>
        <w:rPr>
          <w:lang w:eastAsia="zh-CN"/>
        </w:rPr>
        <w:t>条，即披露、授权披露或者牵涉入披露或散发资料（该等资料属虚假或具误导性且相当可能会诱使他人认购或者购买股份）刑事罪行（如相关人员知道或者罔顾该资料属虚假或具误导性）。</w:t>
      </w:r>
    </w:p>
    <w:p w:rsidR="00F42656" w:rsidRDefault="00FC4A82">
      <w:pPr>
        <w:pStyle w:val="Compact"/>
        <w:numPr>
          <w:ilvl w:val="0"/>
          <w:numId w:val="5"/>
        </w:numPr>
        <w:rPr>
          <w:lang w:eastAsia="zh-CN"/>
        </w:rPr>
      </w:pPr>
      <w:r>
        <w:rPr>
          <w:lang w:eastAsia="zh-CN"/>
        </w:rPr>
        <w:t>2012</w:t>
      </w:r>
      <w:r>
        <w:rPr>
          <w:lang w:eastAsia="zh-CN"/>
        </w:rPr>
        <w:t>年</w:t>
      </w:r>
      <w:r>
        <w:rPr>
          <w:lang w:eastAsia="zh-CN"/>
        </w:rPr>
        <w:t>4</w:t>
      </w:r>
      <w:r>
        <w:rPr>
          <w:lang w:eastAsia="zh-CN"/>
        </w:rPr>
        <w:t>月，证监会基于以下原因撤消了兆丰资本的保荐人牌照：</w:t>
      </w:r>
    </w:p>
    <w:p w:rsidR="00F42656" w:rsidRDefault="00FC4A82">
      <w:pPr>
        <w:pStyle w:val="Compact"/>
        <w:numPr>
          <w:ilvl w:val="1"/>
          <w:numId w:val="6"/>
        </w:numPr>
        <w:rPr>
          <w:lang w:eastAsia="zh-CN"/>
        </w:rPr>
      </w:pPr>
      <w:r>
        <w:rPr>
          <w:lang w:eastAsia="zh-CN"/>
        </w:rPr>
        <w:t>尽职审查不足及未达标；</w:t>
      </w:r>
    </w:p>
    <w:p w:rsidR="00F42656" w:rsidRDefault="00FC4A82">
      <w:pPr>
        <w:numPr>
          <w:ilvl w:val="1"/>
          <w:numId w:val="6"/>
        </w:numPr>
        <w:rPr>
          <w:lang w:eastAsia="zh-CN"/>
        </w:rPr>
      </w:pPr>
      <w:r>
        <w:rPr>
          <w:lang w:eastAsia="zh-CN"/>
        </w:rPr>
        <w:t>未能独立及不偏不倚地办事，如兆丰资本允许洪良提出兆丰资本不应直接联络洪良集团</w:t>
      </w:r>
      <w:r>
        <w:rPr>
          <w:lang w:eastAsia="zh-CN"/>
        </w:rPr>
        <w:t>的顾客、供货商和特许经营商进行访谈的要求，反而准许由洪良安排保荐人的访谈及准许洪良代表在场。兆丰资本还接受洪良就有关部分供货商／顾客拒绝与兆丰资本进行面对面的访谈的说法，而且接受由洪良安排与供货商／顾客的电话访谈。证监会认为兆丰资本的这些行动证明了兆丰资本在对顾客、供货商和特许经营商的尽职审查工作中对洪良集团存在「不当依赖」。虽然《上市规则</w:t>
      </w:r>
      <w:r>
        <w:rPr>
          <w:lang w:eastAsia="zh-CN"/>
        </w:rPr>
        <w:t>&lt;</w:t>
      </w:r>
      <w:r>
        <w:rPr>
          <w:lang w:eastAsia="zh-CN"/>
        </w:rPr>
        <w:t>第</w:t>
      </w:r>
      <w:r>
        <w:rPr>
          <w:lang w:eastAsia="zh-CN"/>
        </w:rPr>
        <w:t>21</w:t>
      </w:r>
      <w:r>
        <w:rPr>
          <w:lang w:eastAsia="zh-CN"/>
        </w:rPr>
        <w:t>项应用指引</w:t>
      </w:r>
      <w:r>
        <w:rPr>
          <w:lang w:eastAsia="zh-CN"/>
        </w:rPr>
        <w:t>&gt;</w:t>
      </w:r>
      <w:r>
        <w:rPr>
          <w:lang w:eastAsia="zh-CN"/>
        </w:rPr>
        <w:t>》（保荐人就首次上市申请进行的尽职审查）（当时对预期保荐人尽职审查指引的唯一）中仅订明保荐人对上市申请人的业务表现及业务计划的评估：</w:t>
      </w:r>
    </w:p>
    <w:p w:rsidR="00F42656" w:rsidRDefault="00FC4A82">
      <w:pPr>
        <w:numPr>
          <w:ilvl w:val="1"/>
          <w:numId w:val="1"/>
        </w:numPr>
        <w:rPr>
          <w:lang w:eastAsia="zh-CN"/>
        </w:rPr>
      </w:pPr>
      <w:r>
        <w:rPr>
          <w:i/>
          <w:lang w:eastAsia="zh-CN"/>
        </w:rPr>
        <w:t>「一般包括会见新</w:t>
      </w:r>
      <w:r>
        <w:rPr>
          <w:i/>
          <w:lang w:eastAsia="zh-CN"/>
        </w:rPr>
        <w:t>申请人的高级管理人员，其中又通常会约见新申请人的主要供货商及客户、债权人及银行」（《上市规则</w:t>
      </w:r>
      <w:r>
        <w:rPr>
          <w:i/>
          <w:lang w:eastAsia="zh-CN"/>
        </w:rPr>
        <w:t>&lt;</w:t>
      </w:r>
      <w:r>
        <w:rPr>
          <w:i/>
          <w:lang w:eastAsia="zh-CN"/>
        </w:rPr>
        <w:t>第</w:t>
      </w:r>
      <w:r>
        <w:rPr>
          <w:i/>
          <w:lang w:eastAsia="zh-CN"/>
        </w:rPr>
        <w:t>21</w:t>
      </w:r>
      <w:r>
        <w:rPr>
          <w:i/>
          <w:lang w:eastAsia="zh-CN"/>
        </w:rPr>
        <w:t>项应用指引</w:t>
      </w:r>
      <w:r>
        <w:rPr>
          <w:i/>
          <w:lang w:eastAsia="zh-CN"/>
        </w:rPr>
        <w:t>&gt;</w:t>
      </w:r>
      <w:r>
        <w:rPr>
          <w:i/>
          <w:lang w:eastAsia="zh-CN"/>
        </w:rPr>
        <w:t>》第</w:t>
      </w:r>
      <w:r>
        <w:rPr>
          <w:i/>
          <w:lang w:eastAsia="zh-CN"/>
        </w:rPr>
        <w:t>13(b)</w:t>
      </w:r>
      <w:r>
        <w:rPr>
          <w:i/>
          <w:lang w:eastAsia="zh-CN"/>
        </w:rPr>
        <w:t>段）（着重强调）。</w:t>
      </w:r>
    </w:p>
    <w:p w:rsidR="00F42656" w:rsidRDefault="00FC4A82">
      <w:pPr>
        <w:numPr>
          <w:ilvl w:val="1"/>
          <w:numId w:val="1"/>
        </w:numPr>
        <w:rPr>
          <w:lang w:eastAsia="zh-CN"/>
        </w:rPr>
      </w:pPr>
      <w:r>
        <w:rPr>
          <w:lang w:eastAsia="zh-CN"/>
        </w:rPr>
        <w:t>兆丰资本在</w:t>
      </w:r>
      <w:r>
        <w:rPr>
          <w:lang w:eastAsia="zh-CN"/>
        </w:rPr>
        <w:t>2009</w:t>
      </w:r>
      <w:r>
        <w:rPr>
          <w:lang w:eastAsia="zh-CN"/>
        </w:rPr>
        <w:t>年对洪良进行保荐人尽职审查时，证监会《操守准则》第</w:t>
      </w:r>
      <w:r>
        <w:rPr>
          <w:lang w:eastAsia="zh-CN"/>
        </w:rPr>
        <w:t>16.6(f)</w:t>
      </w:r>
      <w:r>
        <w:rPr>
          <w:lang w:eastAsia="zh-CN"/>
        </w:rPr>
        <w:t>段中关于保荐人访谈惯例</w:t>
      </w:r>
      <w:hyperlink w:anchor="footnote-8693-5">
        <w:r>
          <w:rPr>
            <w:vertAlign w:val="superscript"/>
            <w:lang w:eastAsia="zh-CN"/>
          </w:rPr>
          <w:t>5</w:t>
        </w:r>
      </w:hyperlink>
      <w:r>
        <w:rPr>
          <w:lang w:eastAsia="zh-CN"/>
        </w:rPr>
        <w:t>的规定尚未生效，也未处于获考虑中，之后</w:t>
      </w:r>
      <w:r>
        <w:rPr>
          <w:lang w:eastAsia="zh-CN"/>
        </w:rPr>
        <w:t>2012</w:t>
      </w:r>
      <w:r>
        <w:rPr>
          <w:lang w:eastAsia="zh-CN"/>
        </w:rPr>
        <w:t>年</w:t>
      </w:r>
      <w:r>
        <w:rPr>
          <w:lang w:eastAsia="zh-CN"/>
        </w:rPr>
        <w:t>4</w:t>
      </w:r>
      <w:r>
        <w:rPr>
          <w:lang w:eastAsia="zh-CN"/>
        </w:rPr>
        <w:t>月份当证监会对兆丰资本进行处罚时亦未生效。兆丰资本似乎在</w:t>
      </w:r>
      <w:r>
        <w:rPr>
          <w:lang w:eastAsia="zh-CN"/>
        </w:rPr>
        <w:t>2012</w:t>
      </w:r>
      <w:r>
        <w:rPr>
          <w:lang w:eastAsia="zh-CN"/>
        </w:rPr>
        <w:t>年已经因为未符合保荐人尽职审查标准（尤其是对供应商、客户及分销商进行访谈的相关规定）而被处罚过，这在某种程度上似乎并不公平，因为该等标准仅适用于在</w:t>
      </w:r>
      <w:r>
        <w:rPr>
          <w:lang w:eastAsia="zh-CN"/>
        </w:rPr>
        <w:t>2013</w:t>
      </w:r>
      <w:r>
        <w:rPr>
          <w:lang w:eastAsia="zh-CN"/>
        </w:rPr>
        <w:t>年</w:t>
      </w:r>
      <w:r>
        <w:rPr>
          <w:lang w:eastAsia="zh-CN"/>
        </w:rPr>
        <w:t>10</w:t>
      </w:r>
      <w:r>
        <w:rPr>
          <w:lang w:eastAsia="zh-CN"/>
        </w:rPr>
        <w:t>月</w:t>
      </w:r>
      <w:r>
        <w:rPr>
          <w:lang w:eastAsia="zh-CN"/>
        </w:rPr>
        <w:t>1</w:t>
      </w:r>
      <w:r>
        <w:rPr>
          <w:lang w:eastAsia="zh-CN"/>
        </w:rPr>
        <w:t>日或之后呈递的上市申请且实际上该等标准制定的目的就是防止上市申请人牵涉入保荐人安排及进行对客户及供应商的访谈中（如洪良上市案件中所发生的）。</w:t>
      </w:r>
    </w:p>
    <w:p w:rsidR="00F42656" w:rsidRDefault="00FC4A82">
      <w:pPr>
        <w:pStyle w:val="Compact"/>
        <w:numPr>
          <w:ilvl w:val="1"/>
          <w:numId w:val="6"/>
        </w:numPr>
        <w:rPr>
          <w:lang w:eastAsia="zh-CN"/>
        </w:rPr>
      </w:pPr>
      <w:r>
        <w:rPr>
          <w:lang w:eastAsia="zh-CN"/>
        </w:rPr>
        <w:t>兆丰资本未有就其尽职审查工作的计划及尽职审查工作的诸多范畴备存充分的线索。同样地，拥有并保持</w:t>
      </w:r>
      <w:r>
        <w:rPr>
          <w:lang w:eastAsia="zh-CN"/>
        </w:rPr>
        <w:t>一份尽职审查计划的责任仅于</w:t>
      </w:r>
      <w:r>
        <w:rPr>
          <w:lang w:eastAsia="zh-CN"/>
        </w:rPr>
        <w:t>2013</w:t>
      </w:r>
      <w:r>
        <w:rPr>
          <w:lang w:eastAsia="zh-CN"/>
        </w:rPr>
        <w:t>年</w:t>
      </w:r>
      <w:r>
        <w:rPr>
          <w:lang w:eastAsia="zh-CN"/>
        </w:rPr>
        <w:t>10</w:t>
      </w:r>
      <w:r>
        <w:rPr>
          <w:lang w:eastAsia="zh-CN"/>
        </w:rPr>
        <w:t>月份被引入。</w:t>
      </w:r>
    </w:p>
    <w:p w:rsidR="00F42656" w:rsidRDefault="00FC4A82">
      <w:pPr>
        <w:pStyle w:val="Compact"/>
        <w:numPr>
          <w:ilvl w:val="1"/>
          <w:numId w:val="6"/>
        </w:numPr>
        <w:rPr>
          <w:lang w:eastAsia="zh-CN"/>
        </w:rPr>
      </w:pPr>
      <w:r>
        <w:rPr>
          <w:lang w:eastAsia="zh-CN"/>
        </w:rPr>
        <w:t>兆丰资本的负责人员在对洪良进行的尽职审查工作中未有对初级员工充分监督。</w:t>
      </w:r>
    </w:p>
    <w:p w:rsidR="00F42656" w:rsidRDefault="00FC4A82">
      <w:pPr>
        <w:pStyle w:val="Compact"/>
        <w:numPr>
          <w:ilvl w:val="1"/>
          <w:numId w:val="6"/>
        </w:numPr>
        <w:rPr>
          <w:lang w:eastAsia="zh-CN"/>
        </w:rPr>
      </w:pPr>
      <w:r>
        <w:rPr>
          <w:lang w:eastAsia="zh-CN"/>
        </w:rPr>
        <w:t>违反保荐人承诺及向联交所递交的声明书，该承诺及声明书中确认兆丰资本已经作出合理尽职审查的查询，及相信在洪良的首次公开招股章程内的数据在所有重要事项上均属真实。</w:t>
      </w:r>
    </w:p>
    <w:p w:rsidR="00F42656" w:rsidRDefault="00FC4A82">
      <w:pPr>
        <w:pStyle w:val="FirstParagraph"/>
        <w:rPr>
          <w:lang w:eastAsia="zh-CN"/>
        </w:rPr>
      </w:pPr>
      <w:r>
        <w:rPr>
          <w:lang w:eastAsia="zh-CN"/>
        </w:rPr>
        <w:t>在证监会针对瑞银证券香港有限公司采取的纪律行动（见上文所述）中，证监会部分地暂时吊销了其第</w:t>
      </w:r>
      <w:r>
        <w:rPr>
          <w:lang w:eastAsia="zh-CN"/>
        </w:rPr>
        <w:t>6</w:t>
      </w:r>
      <w:r>
        <w:rPr>
          <w:lang w:eastAsia="zh-CN"/>
        </w:rPr>
        <w:t>类牌照</w:t>
      </w:r>
      <w:r>
        <w:rPr>
          <w:lang w:eastAsia="zh-CN"/>
        </w:rPr>
        <w:t>-</w:t>
      </w:r>
      <w:r>
        <w:rPr>
          <w:lang w:eastAsia="zh-CN"/>
        </w:rPr>
        <w:t>禁止其在</w:t>
      </w:r>
      <w:r>
        <w:rPr>
          <w:lang w:eastAsia="zh-CN"/>
        </w:rPr>
        <w:t>1</w:t>
      </w:r>
      <w:r>
        <w:rPr>
          <w:lang w:eastAsia="zh-CN"/>
        </w:rPr>
        <w:t>年内从事保荐人工作。</w:t>
      </w:r>
    </w:p>
    <w:p w:rsidR="00F42656" w:rsidRDefault="00FC4A82">
      <w:pPr>
        <w:pStyle w:val="BodyText"/>
        <w:rPr>
          <w:lang w:eastAsia="zh-CN"/>
        </w:rPr>
      </w:pPr>
      <w:r>
        <w:rPr>
          <w:lang w:eastAsia="zh-CN"/>
        </w:rPr>
        <w:t>缺乏针对第</w:t>
      </w:r>
      <w:r>
        <w:rPr>
          <w:lang w:eastAsia="zh-CN"/>
        </w:rPr>
        <w:t>194</w:t>
      </w:r>
      <w:r>
        <w:rPr>
          <w:lang w:eastAsia="zh-CN"/>
        </w:rPr>
        <w:t>条及第</w:t>
      </w:r>
      <w:r>
        <w:rPr>
          <w:lang w:eastAsia="zh-CN"/>
        </w:rPr>
        <w:t>196</w:t>
      </w:r>
      <w:r>
        <w:rPr>
          <w:lang w:eastAsia="zh-CN"/>
        </w:rPr>
        <w:t>条纪律处分程序的明确依据</w:t>
      </w:r>
    </w:p>
    <w:p w:rsidR="00F42656" w:rsidRDefault="00FC4A82">
      <w:pPr>
        <w:pStyle w:val="BodyText"/>
        <w:rPr>
          <w:lang w:eastAsia="zh-CN"/>
        </w:rPr>
      </w:pPr>
      <w:r>
        <w:rPr>
          <w:lang w:eastAsia="zh-CN"/>
        </w:rPr>
        <w:t>令人惊讶地是，证监会网站上刊发的关于首次公开招股保荐人的多份《纪律行动声明》（</w:t>
      </w:r>
      <w:hyperlink r:id="rId11">
        <w:r>
          <w:rPr>
            <w:lang w:eastAsia="zh-CN"/>
          </w:rPr>
          <w:t>参阅关于丰盛融资的《纪律行动声明》</w:t>
        </w:r>
      </w:hyperlink>
      <w:hyperlink w:anchor="footnote-8693-6">
        <w:r>
          <w:rPr>
            <w:vertAlign w:val="superscript"/>
            <w:lang w:eastAsia="zh-CN"/>
          </w:rPr>
          <w:t>6</w:t>
        </w:r>
      </w:hyperlink>
      <w:r>
        <w:rPr>
          <w:lang w:eastAsia="zh-CN"/>
        </w:rPr>
        <w:t>作为样例）均仅指出该等行动是依据《证券及期货条例》第</w:t>
      </w:r>
      <w:r>
        <w:rPr>
          <w:lang w:eastAsia="zh-CN"/>
        </w:rPr>
        <w:t>194</w:t>
      </w:r>
      <w:r>
        <w:rPr>
          <w:lang w:eastAsia="zh-CN"/>
        </w:rPr>
        <w:t>条及第</w:t>
      </w:r>
      <w:r>
        <w:rPr>
          <w:lang w:eastAsia="zh-CN"/>
        </w:rPr>
        <w:t>196</w:t>
      </w:r>
      <w:r>
        <w:rPr>
          <w:lang w:eastAsia="zh-CN"/>
        </w:rPr>
        <w:t>条提出的，并未提及根据第</w:t>
      </w:r>
      <w:r>
        <w:rPr>
          <w:lang w:eastAsia="zh-CN"/>
        </w:rPr>
        <w:t>194</w:t>
      </w:r>
      <w:r>
        <w:rPr>
          <w:lang w:eastAsia="zh-CN"/>
        </w:rPr>
        <w:t>(1)</w:t>
      </w:r>
      <w:r>
        <w:rPr>
          <w:lang w:eastAsia="zh-CN"/>
        </w:rPr>
        <w:t>款或第</w:t>
      </w:r>
      <w:r>
        <w:rPr>
          <w:lang w:eastAsia="zh-CN"/>
        </w:rPr>
        <w:t>196(1)</w:t>
      </w:r>
      <w:r>
        <w:rPr>
          <w:lang w:eastAsia="zh-CN"/>
        </w:rPr>
        <w:t>款作出该纪律行动的理据</w:t>
      </w:r>
      <w:r>
        <w:rPr>
          <w:lang w:eastAsia="zh-CN"/>
        </w:rPr>
        <w:t xml:space="preserve"> – </w:t>
      </w:r>
      <w:r>
        <w:rPr>
          <w:lang w:eastAsia="zh-CN"/>
        </w:rPr>
        <w:t>即该保荐人是否违反某项「相关条文」或者被证监会视为不属应获发牌或者注册的「适当人选」。鉴于该类纪律行动声明中强调保荐人未能履行其作为保荐人的职责</w:t>
      </w:r>
      <w:r>
        <w:rPr>
          <w:lang w:eastAsia="zh-CN"/>
        </w:rPr>
        <w:t>-</w:t>
      </w:r>
      <w:r>
        <w:rPr>
          <w:lang w:eastAsia="zh-CN"/>
        </w:rPr>
        <w:t>以及主要突出其未能在某些细节上进行所有合理的尽职审查，可合理推测证监会已将该保荐人视为不属能够从事保荐人工作的「适当人选」。但是，证监会发出的与首次公开招股保荐人相关的所有纪律声明中均未包含这一看似是最基本的声明。假设情况确实如此，那么合乎逻辑的问题是：如果证监会认为保荐人不属「适当人选」，为何不撤销或者至少暂时</w:t>
      </w:r>
      <w:r>
        <w:rPr>
          <w:lang w:eastAsia="zh-CN"/>
        </w:rPr>
        <w:t>吊销其牌照呢？除上文提及的例外情况（兆丰资本及瑞银证券香港有限公司）之外，证监会标准的保荐人「惩罚」方案中不包括撤销或者暂时吊销牌照。相反，正如我们所见到的，证监会「征询意见式」的纪律行动是根据《证券及期货条例》第</w:t>
      </w:r>
      <w:r>
        <w:rPr>
          <w:lang w:eastAsia="zh-CN"/>
        </w:rPr>
        <w:t>194</w:t>
      </w:r>
      <w:r>
        <w:rPr>
          <w:lang w:eastAsia="zh-CN"/>
        </w:rPr>
        <w:t>条或者第</w:t>
      </w:r>
      <w:r>
        <w:rPr>
          <w:lang w:eastAsia="zh-CN"/>
        </w:rPr>
        <w:t>196</w:t>
      </w:r>
      <w:r>
        <w:rPr>
          <w:lang w:eastAsia="zh-CN"/>
        </w:rPr>
        <w:t>条对保荐人征收巨额罚款以及根据《证券及期货条例》第</w:t>
      </w:r>
      <w:r>
        <w:rPr>
          <w:lang w:eastAsia="zh-CN"/>
        </w:rPr>
        <w:t>213</w:t>
      </w:r>
      <w:r>
        <w:rPr>
          <w:lang w:eastAsia="zh-CN"/>
        </w:rPr>
        <w:t>条对发行人及其董事的一项恢复令，旨在补偿公众股东的损失。如今，这已为证监会处置欺骗性或具误导性招股说明书资料提供了一条常用的以及或许相当方便的路径。</w:t>
      </w:r>
    </w:p>
    <w:p w:rsidR="00F42656" w:rsidRDefault="00FC4A82">
      <w:pPr>
        <w:pStyle w:val="BodyText"/>
        <w:rPr>
          <w:lang w:eastAsia="zh-CN"/>
        </w:rPr>
      </w:pPr>
      <w:r>
        <w:rPr>
          <w:lang w:eastAsia="zh-CN"/>
        </w:rPr>
        <w:t>第</w:t>
      </w:r>
      <w:r>
        <w:rPr>
          <w:lang w:eastAsia="zh-CN"/>
        </w:rPr>
        <w:t>194</w:t>
      </w:r>
      <w:r>
        <w:rPr>
          <w:lang w:eastAsia="zh-CN"/>
        </w:rPr>
        <w:t>条及第</w:t>
      </w:r>
      <w:r>
        <w:rPr>
          <w:lang w:eastAsia="zh-CN"/>
        </w:rPr>
        <w:t>196</w:t>
      </w:r>
      <w:r>
        <w:rPr>
          <w:lang w:eastAsia="zh-CN"/>
        </w:rPr>
        <w:t>条法律程序是针对保荐人的纪律法律程序，证监会据其厘定</w:t>
      </w:r>
      <w:r>
        <w:rPr>
          <w:lang w:eastAsia="zh-CN"/>
        </w:rPr>
        <w:t>其是否将该保荐人视为适当人选。市民有权针对证监会的决定向上诉审裁处上诉。在第</w:t>
      </w:r>
      <w:r>
        <w:rPr>
          <w:lang w:eastAsia="zh-CN"/>
        </w:rPr>
        <w:t>213</w:t>
      </w:r>
      <w:r>
        <w:rPr>
          <w:lang w:eastAsia="zh-CN"/>
        </w:rPr>
        <w:t>条法律程序中，证监会向原讼法庭申请发出命令（禁止令（例如防止发行人在香港处置其资产的冻结令）及</w:t>
      </w:r>
      <w:r>
        <w:rPr>
          <w:lang w:eastAsia="zh-CN"/>
        </w:rPr>
        <w:t>/</w:t>
      </w:r>
      <w:r>
        <w:rPr>
          <w:lang w:eastAsia="zh-CN"/>
        </w:rPr>
        <w:t>或补救令（例如赔偿投资者的恢复令）及</w:t>
      </w:r>
      <w:r>
        <w:rPr>
          <w:lang w:eastAsia="zh-CN"/>
        </w:rPr>
        <w:t>/</w:t>
      </w:r>
      <w:r>
        <w:rPr>
          <w:lang w:eastAsia="zh-CN"/>
        </w:rPr>
        <w:t>或损害赔偿令）。如终审法院就老虎亚洲个案作出的裁决中所确认，原讼法庭有作出证监会根据第</w:t>
      </w:r>
      <w:r>
        <w:rPr>
          <w:lang w:eastAsia="zh-CN"/>
        </w:rPr>
        <w:t>213</w:t>
      </w:r>
      <w:r>
        <w:rPr>
          <w:lang w:eastAsia="zh-CN"/>
        </w:rPr>
        <w:t>条寻求的命令的管辖权，尽管刑事法庭或者市场失当行为审裁处之前并未发现被告违反了《证券及期货条例》第</w:t>
      </w:r>
      <w:r>
        <w:rPr>
          <w:lang w:eastAsia="zh-CN"/>
        </w:rPr>
        <w:t>XIII</w:t>
      </w:r>
      <w:r>
        <w:rPr>
          <w:lang w:eastAsia="zh-CN"/>
        </w:rPr>
        <w:t>部或第</w:t>
      </w:r>
      <w:r>
        <w:rPr>
          <w:lang w:eastAsia="zh-CN"/>
        </w:rPr>
        <w:t>XIV</w:t>
      </w:r>
      <w:r>
        <w:rPr>
          <w:lang w:eastAsia="zh-CN"/>
        </w:rPr>
        <w:t>部下刑事或民事市场失当行为条文或者《公司（清盘及杂项条文）条例》中招股说明书责任条文（</w:t>
      </w:r>
      <w:r>
        <w:rPr>
          <w:lang w:eastAsia="zh-CN"/>
        </w:rPr>
        <w:t>针对香港公司的第</w:t>
      </w:r>
      <w:r>
        <w:rPr>
          <w:lang w:eastAsia="zh-CN"/>
        </w:rPr>
        <w:t>40</w:t>
      </w:r>
      <w:r>
        <w:rPr>
          <w:lang w:eastAsia="zh-CN"/>
        </w:rPr>
        <w:t>条及第</w:t>
      </w:r>
      <w:r>
        <w:rPr>
          <w:lang w:eastAsia="zh-CN"/>
        </w:rPr>
        <w:t>40A</w:t>
      </w:r>
      <w:r>
        <w:rPr>
          <w:lang w:eastAsia="zh-CN"/>
        </w:rPr>
        <w:t>条以及针对在香港以外注册成立的公司的第</w:t>
      </w:r>
      <w:r>
        <w:rPr>
          <w:lang w:eastAsia="zh-CN"/>
        </w:rPr>
        <w:t>342E</w:t>
      </w:r>
      <w:r>
        <w:rPr>
          <w:lang w:eastAsia="zh-CN"/>
        </w:rPr>
        <w:t>条及第</w:t>
      </w:r>
      <w:r>
        <w:rPr>
          <w:lang w:eastAsia="zh-CN"/>
        </w:rPr>
        <w:t>342F</w:t>
      </w:r>
      <w:r>
        <w:rPr>
          <w:lang w:eastAsia="zh-CN"/>
        </w:rPr>
        <w:t>条）。而且，第</w:t>
      </w:r>
      <w:r>
        <w:rPr>
          <w:lang w:eastAsia="zh-CN"/>
        </w:rPr>
        <w:t>213</w:t>
      </w:r>
      <w:r>
        <w:rPr>
          <w:lang w:eastAsia="zh-CN"/>
        </w:rPr>
        <w:t>条法律程序属民事诉讼程序，这意味着即使法院正在厘定是否有违反《证券及期货条例》（例如第</w:t>
      </w:r>
      <w:r>
        <w:rPr>
          <w:lang w:eastAsia="zh-CN"/>
        </w:rPr>
        <w:t>298</w:t>
      </w:r>
      <w:r>
        <w:rPr>
          <w:lang w:eastAsia="zh-CN"/>
        </w:rPr>
        <w:t>条或第</w:t>
      </w:r>
      <w:r>
        <w:rPr>
          <w:lang w:eastAsia="zh-CN"/>
        </w:rPr>
        <w:t>384</w:t>
      </w:r>
      <w:r>
        <w:rPr>
          <w:lang w:eastAsia="zh-CN"/>
        </w:rPr>
        <w:t>条）或者《公司（清盘及杂项条文）条例》（第</w:t>
      </w:r>
      <w:r>
        <w:rPr>
          <w:lang w:eastAsia="zh-CN"/>
        </w:rPr>
        <w:t>40A</w:t>
      </w:r>
      <w:r>
        <w:rPr>
          <w:lang w:eastAsia="zh-CN"/>
        </w:rPr>
        <w:t>条或第</w:t>
      </w:r>
      <w:r>
        <w:rPr>
          <w:lang w:eastAsia="zh-CN"/>
        </w:rPr>
        <w:t>342E</w:t>
      </w:r>
      <w:r>
        <w:rPr>
          <w:lang w:eastAsia="zh-CN"/>
        </w:rPr>
        <w:t>条）刑事条文，仍适用较低的民事举证责任。</w:t>
      </w:r>
    </w:p>
    <w:p w:rsidR="00F42656" w:rsidRDefault="00FC4A82">
      <w:pPr>
        <w:pStyle w:val="BodyText"/>
        <w:rPr>
          <w:lang w:eastAsia="zh-CN"/>
        </w:rPr>
      </w:pPr>
      <w:r>
        <w:rPr>
          <w:lang w:eastAsia="zh-CN"/>
        </w:rPr>
        <w:t>总之，与根据《公司（清盘及杂项条文）条例》中的招股说明书责任条文或者《证券及期货条例》第</w:t>
      </w:r>
      <w:r>
        <w:rPr>
          <w:lang w:eastAsia="zh-CN"/>
        </w:rPr>
        <w:t>XIII</w:t>
      </w:r>
      <w:r>
        <w:rPr>
          <w:lang w:eastAsia="zh-CN"/>
        </w:rPr>
        <w:t>部或第</w:t>
      </w:r>
      <w:r>
        <w:rPr>
          <w:lang w:eastAsia="zh-CN"/>
        </w:rPr>
        <w:t>XIV</w:t>
      </w:r>
      <w:r>
        <w:rPr>
          <w:lang w:eastAsia="zh-CN"/>
        </w:rPr>
        <w:t>部下的市场失当行为制度提起刑事或者民事诉讼程序的方法相比较，可以发现第</w:t>
      </w:r>
      <w:r>
        <w:rPr>
          <w:lang w:eastAsia="zh-CN"/>
        </w:rPr>
        <w:t>194/196</w:t>
      </w:r>
      <w:r>
        <w:rPr>
          <w:lang w:eastAsia="zh-CN"/>
        </w:rPr>
        <w:t>条规定的纪律行动以及第</w:t>
      </w:r>
      <w:r>
        <w:rPr>
          <w:lang w:eastAsia="zh-CN"/>
        </w:rPr>
        <w:t>213</w:t>
      </w:r>
      <w:r>
        <w:rPr>
          <w:lang w:eastAsia="zh-CN"/>
        </w:rPr>
        <w:t>条的发行人法律程序计划会为证监会惩罚保荐人及为投资者获得赔偿提供了一个相当便利及快捷的方法。修订《公司（清盘及杂项条文）条例》中的法定责任条文以澄清「授权发行招股说明书人员」范畴并处理相关刑事条文缺乏犯罪意图规定问题的建议（已有两场证监会公开谘询围绕其展开）已失败。市场失当行为审裁处针对发行人及保荐人提起的法律程序已经开始但是（与第</w:t>
      </w:r>
      <w:r>
        <w:rPr>
          <w:lang w:eastAsia="zh-CN"/>
        </w:rPr>
        <w:t>194</w:t>
      </w:r>
      <w:r>
        <w:rPr>
          <w:lang w:eastAsia="zh-CN"/>
        </w:rPr>
        <w:t>条或者第</w:t>
      </w:r>
      <w:r>
        <w:rPr>
          <w:lang w:eastAsia="zh-CN"/>
        </w:rPr>
        <w:t>196</w:t>
      </w:r>
      <w:r>
        <w:rPr>
          <w:lang w:eastAsia="zh-CN"/>
        </w:rPr>
        <w:t>条中的纪律处分程序以及原讼法庭第</w:t>
      </w:r>
      <w:r>
        <w:rPr>
          <w:lang w:eastAsia="zh-CN"/>
        </w:rPr>
        <w:t>213</w:t>
      </w:r>
      <w:r>
        <w:rPr>
          <w:lang w:eastAsia="zh-CN"/>
        </w:rPr>
        <w:t>条中的获取命令相比）进度缓慢且相当繁琐。</w:t>
      </w:r>
    </w:p>
    <w:p w:rsidR="00F42656" w:rsidRDefault="00FC4A82">
      <w:pPr>
        <w:pStyle w:val="BodyText"/>
        <w:rPr>
          <w:lang w:eastAsia="zh-CN"/>
        </w:rPr>
      </w:pPr>
      <w:r>
        <w:rPr>
          <w:lang w:eastAsia="zh-CN"/>
        </w:rPr>
        <w:t>丰盛融资因应违反保荐人尽职审查职责遭证监会谴责及罚</w:t>
      </w:r>
      <w:r>
        <w:rPr>
          <w:lang w:eastAsia="zh-CN"/>
        </w:rPr>
        <w:t>款</w:t>
      </w:r>
    </w:p>
    <w:p w:rsidR="00F42656" w:rsidRDefault="00FC4A82">
      <w:pPr>
        <w:pStyle w:val="BodyText"/>
        <w:rPr>
          <w:lang w:eastAsia="zh-CN"/>
        </w:rPr>
      </w:pPr>
      <w:r>
        <w:rPr>
          <w:lang w:eastAsia="zh-CN"/>
        </w:rPr>
        <w:t>证监会依据《证券及期货条例》第</w:t>
      </w:r>
      <w:r>
        <w:rPr>
          <w:lang w:eastAsia="zh-CN"/>
        </w:rPr>
        <w:t>194</w:t>
      </w:r>
      <w:r>
        <w:rPr>
          <w:lang w:eastAsia="zh-CN"/>
        </w:rPr>
        <w:t>条作出纪律处分程序</w:t>
      </w:r>
    </w:p>
    <w:p w:rsidR="00F42656" w:rsidRDefault="00FC4A82">
      <w:pPr>
        <w:pStyle w:val="BodyText"/>
        <w:rPr>
          <w:lang w:eastAsia="zh-CN"/>
        </w:rPr>
      </w:pPr>
      <w:r>
        <w:rPr>
          <w:lang w:eastAsia="zh-CN"/>
        </w:rPr>
        <w:t>2021</w:t>
      </w:r>
      <w:r>
        <w:rPr>
          <w:lang w:eastAsia="zh-CN"/>
        </w:rPr>
        <w:t>年</w:t>
      </w:r>
      <w:r>
        <w:rPr>
          <w:lang w:eastAsia="zh-CN"/>
        </w:rPr>
        <w:t>10</w:t>
      </w:r>
      <w:r>
        <w:rPr>
          <w:lang w:eastAsia="zh-CN"/>
        </w:rPr>
        <w:t>月</w:t>
      </w:r>
      <w:r>
        <w:rPr>
          <w:lang w:eastAsia="zh-CN"/>
        </w:rPr>
        <w:t>18</w:t>
      </w:r>
      <w:r>
        <w:rPr>
          <w:lang w:eastAsia="zh-CN"/>
        </w:rPr>
        <w:t>日，</w:t>
      </w:r>
      <w:hyperlink r:id="rId12">
        <w:r>
          <w:rPr>
            <w:lang w:eastAsia="zh-CN"/>
          </w:rPr>
          <w:t>证监会依据《证券及期货条例》第</w:t>
        </w:r>
        <w:r>
          <w:rPr>
            <w:lang w:eastAsia="zh-CN"/>
          </w:rPr>
          <w:t>194</w:t>
        </w:r>
        <w:r>
          <w:rPr>
            <w:lang w:eastAsia="zh-CN"/>
          </w:rPr>
          <w:t>条对丰盛融资作出谴责，并处以罚款</w:t>
        </w:r>
        <w:r>
          <w:rPr>
            <w:lang w:eastAsia="zh-CN"/>
          </w:rPr>
          <w:t>550</w:t>
        </w:r>
        <w:r>
          <w:rPr>
            <w:lang w:eastAsia="zh-CN"/>
          </w:rPr>
          <w:t>万港元</w:t>
        </w:r>
      </w:hyperlink>
      <w:hyperlink w:anchor="footnote-8693-7">
        <w:r>
          <w:rPr>
            <w:vertAlign w:val="superscript"/>
            <w:lang w:eastAsia="zh-CN"/>
          </w:rPr>
          <w:t>7</w:t>
        </w:r>
      </w:hyperlink>
      <w:r>
        <w:rPr>
          <w:lang w:eastAsia="zh-CN"/>
        </w:rPr>
        <w:t>，原因是</w:t>
      </w:r>
      <w:r>
        <w:rPr>
          <w:lang w:eastAsia="zh-CN"/>
        </w:rPr>
        <w:t>2016</w:t>
      </w:r>
      <w:r>
        <w:rPr>
          <w:lang w:eastAsia="zh-CN"/>
        </w:rPr>
        <w:t>年至</w:t>
      </w:r>
      <w:r>
        <w:rPr>
          <w:lang w:eastAsia="zh-CN"/>
        </w:rPr>
        <w:t>2017</w:t>
      </w:r>
      <w:r>
        <w:rPr>
          <w:lang w:eastAsia="zh-CN"/>
        </w:rPr>
        <w:t>年期间丰盛融资在</w:t>
      </w:r>
      <w:r>
        <w:rPr>
          <w:lang w:eastAsia="zh-CN"/>
        </w:rPr>
        <w:t>可姿伊国际有限公司（</w:t>
      </w:r>
      <w:r>
        <w:rPr>
          <w:b/>
          <w:lang w:eastAsia="zh-CN"/>
        </w:rPr>
        <w:t>可姿伊</w:t>
      </w:r>
      <w:r>
        <w:rPr>
          <w:lang w:eastAsia="zh-CN"/>
        </w:rPr>
        <w:t>）于香港联合交易所有限公司（</w:t>
      </w:r>
      <w:r>
        <w:rPr>
          <w:b/>
          <w:lang w:eastAsia="zh-CN"/>
        </w:rPr>
        <w:t>联交所</w:t>
      </w:r>
      <w:r>
        <w:rPr>
          <w:lang w:eastAsia="zh-CN"/>
        </w:rPr>
        <w:t>）创业板的上市申请中，没有履行其作为保荐人的职责。该纪律行动声明的</w:t>
      </w:r>
      <w:hyperlink r:id="rId13">
        <w:r>
          <w:rPr>
            <w:lang w:eastAsia="zh-CN"/>
          </w:rPr>
          <w:t>副本</w:t>
        </w:r>
      </w:hyperlink>
      <w:r>
        <w:rPr>
          <w:lang w:eastAsia="zh-CN"/>
        </w:rPr>
        <w:t>载列于证监会网页。</w:t>
      </w:r>
      <w:hyperlink w:anchor="footnote-8693-8">
        <w:r>
          <w:rPr>
            <w:vertAlign w:val="superscript"/>
            <w:lang w:eastAsia="zh-CN"/>
          </w:rPr>
          <w:t>8</w:t>
        </w:r>
      </w:hyperlink>
    </w:p>
    <w:p w:rsidR="00F42656" w:rsidRDefault="00FC4A82">
      <w:pPr>
        <w:pStyle w:val="BodyText"/>
        <w:rPr>
          <w:lang w:eastAsia="zh-CN"/>
        </w:rPr>
      </w:pPr>
      <w:r>
        <w:rPr>
          <w:lang w:eastAsia="zh-CN"/>
        </w:rPr>
        <w:t>证监会发现丰盛融资在呈交该上市申请前没有就可姿伊进行所有合理的</w:t>
      </w:r>
      <w:r>
        <w:rPr>
          <w:lang w:eastAsia="zh-CN"/>
        </w:rPr>
        <w:t>尽职审查，违反了证监会《操守准则》。尤其是，丰盛融资作为保荐人没有履行以下职责：</w:t>
      </w:r>
    </w:p>
    <w:p w:rsidR="00F42656" w:rsidRDefault="00FC4A82">
      <w:pPr>
        <w:pStyle w:val="Compact"/>
        <w:numPr>
          <w:ilvl w:val="0"/>
          <w:numId w:val="7"/>
        </w:numPr>
        <w:rPr>
          <w:lang w:eastAsia="zh-CN"/>
        </w:rPr>
      </w:pPr>
      <w:r>
        <w:rPr>
          <w:lang w:eastAsia="zh-CN"/>
        </w:rPr>
        <w:t>就一名主要批发分销商（</w:t>
      </w:r>
      <w:r>
        <w:rPr>
          <w:b/>
          <w:lang w:eastAsia="zh-CN"/>
        </w:rPr>
        <w:t>该分销商</w:t>
      </w:r>
      <w:r>
        <w:rPr>
          <w:lang w:eastAsia="zh-CN"/>
        </w:rPr>
        <w:t>）透过多名第三方向可姿伊作出的多笔现金支付进行充分的尽职审查，及就其尽职审查工作备存妥善的纪录；</w:t>
      </w:r>
    </w:p>
    <w:p w:rsidR="00F42656" w:rsidRDefault="00FC4A82">
      <w:pPr>
        <w:pStyle w:val="Compact"/>
        <w:numPr>
          <w:ilvl w:val="0"/>
          <w:numId w:val="7"/>
        </w:numPr>
        <w:rPr>
          <w:lang w:eastAsia="zh-CN"/>
        </w:rPr>
      </w:pPr>
      <w:r>
        <w:rPr>
          <w:lang w:eastAsia="zh-CN"/>
        </w:rPr>
        <w:t>确定该分销商及其有联系者的背景和独立性；及</w:t>
      </w:r>
    </w:p>
    <w:p w:rsidR="00F42656" w:rsidRDefault="00FC4A82">
      <w:pPr>
        <w:pStyle w:val="Compact"/>
        <w:numPr>
          <w:ilvl w:val="0"/>
          <w:numId w:val="7"/>
        </w:numPr>
        <w:rPr>
          <w:lang w:eastAsia="zh-CN"/>
        </w:rPr>
      </w:pPr>
      <w:r>
        <w:rPr>
          <w:lang w:eastAsia="zh-CN"/>
        </w:rPr>
        <w:t>评估可姿伊向该分销商进行的销售是否合理。</w:t>
      </w:r>
    </w:p>
    <w:p w:rsidR="00F42656" w:rsidRDefault="00FC4A82">
      <w:pPr>
        <w:pStyle w:val="FirstParagraph"/>
        <w:rPr>
          <w:lang w:eastAsia="zh-CN"/>
        </w:rPr>
      </w:pPr>
      <w:r>
        <w:rPr>
          <w:lang w:eastAsia="zh-CN"/>
        </w:rPr>
        <w:t>此外，证监会发现丰盛融资在依赖可姿伊向丰盛融资提供的付运文件作为其尽职审查的一部分前，并未严谨地评估该等文件是否可靠。</w:t>
      </w:r>
    </w:p>
    <w:p w:rsidR="00F42656" w:rsidRDefault="00FC4A82">
      <w:pPr>
        <w:pStyle w:val="BodyText"/>
        <w:rPr>
          <w:lang w:eastAsia="zh-CN"/>
        </w:rPr>
      </w:pPr>
      <w:r>
        <w:rPr>
          <w:lang w:eastAsia="zh-CN"/>
        </w:rPr>
        <w:t>同时，证监会暂时吊销了邓澔暐（</w:t>
      </w:r>
      <w:r>
        <w:rPr>
          <w:b/>
          <w:lang w:eastAsia="zh-CN"/>
        </w:rPr>
        <w:t>邓</w:t>
      </w:r>
      <w:r>
        <w:rPr>
          <w:lang w:eastAsia="zh-CN"/>
        </w:rPr>
        <w:t>）的证监会牌照，为期</w:t>
      </w:r>
      <w:r>
        <w:rPr>
          <w:lang w:eastAsia="zh-CN"/>
        </w:rPr>
        <w:t>17</w:t>
      </w:r>
      <w:r>
        <w:rPr>
          <w:lang w:eastAsia="zh-CN"/>
        </w:rPr>
        <w:t>个月，由</w:t>
      </w:r>
      <w:r>
        <w:rPr>
          <w:lang w:eastAsia="zh-CN"/>
        </w:rPr>
        <w:t>2021</w:t>
      </w:r>
      <w:r>
        <w:rPr>
          <w:lang w:eastAsia="zh-CN"/>
        </w:rPr>
        <w:t>年</w:t>
      </w:r>
      <w:r>
        <w:rPr>
          <w:lang w:eastAsia="zh-CN"/>
        </w:rPr>
        <w:t>10</w:t>
      </w:r>
      <w:r>
        <w:rPr>
          <w:lang w:eastAsia="zh-CN"/>
        </w:rPr>
        <w:t>月</w:t>
      </w:r>
      <w:r>
        <w:rPr>
          <w:lang w:eastAsia="zh-CN"/>
        </w:rPr>
        <w:t>15</w:t>
      </w:r>
      <w:r>
        <w:rPr>
          <w:lang w:eastAsia="zh-CN"/>
        </w:rPr>
        <w:t>日起至</w:t>
      </w:r>
      <w:r>
        <w:rPr>
          <w:lang w:eastAsia="zh-CN"/>
        </w:rPr>
        <w:t>202</w:t>
      </w:r>
      <w:r>
        <w:rPr>
          <w:lang w:eastAsia="zh-CN"/>
        </w:rPr>
        <w:t>3</w:t>
      </w:r>
      <w:r>
        <w:rPr>
          <w:lang w:eastAsia="zh-CN"/>
        </w:rPr>
        <w:t>年</w:t>
      </w:r>
      <w:r>
        <w:rPr>
          <w:lang w:eastAsia="zh-CN"/>
        </w:rPr>
        <w:t>3</w:t>
      </w:r>
      <w:r>
        <w:rPr>
          <w:lang w:eastAsia="zh-CN"/>
        </w:rPr>
        <w:t>月</w:t>
      </w:r>
      <w:r>
        <w:rPr>
          <w:lang w:eastAsia="zh-CN"/>
        </w:rPr>
        <w:t>14</w:t>
      </w:r>
      <w:r>
        <w:rPr>
          <w:lang w:eastAsia="zh-CN"/>
        </w:rPr>
        <w:t>日止，原因是他作为丰盛融资的负责人员兼保荐人主要人员，没有履行其对可姿伊上市申请的监督职责。</w:t>
      </w:r>
    </w:p>
    <w:p w:rsidR="00F42656" w:rsidRDefault="00FC4A82">
      <w:pPr>
        <w:pStyle w:val="BodyText"/>
        <w:rPr>
          <w:lang w:eastAsia="zh-CN"/>
        </w:rPr>
      </w:pPr>
      <w:r>
        <w:rPr>
          <w:lang w:eastAsia="zh-CN"/>
        </w:rPr>
        <w:t>可姿伊的联交所上市申请</w:t>
      </w:r>
    </w:p>
    <w:p w:rsidR="00F42656" w:rsidRDefault="00FC4A82">
      <w:pPr>
        <w:pStyle w:val="BodyText"/>
        <w:rPr>
          <w:lang w:eastAsia="zh-CN"/>
        </w:rPr>
      </w:pPr>
      <w:r>
        <w:rPr>
          <w:lang w:eastAsia="zh-CN"/>
        </w:rPr>
        <w:t>可姿伊连同其附属公司从事设计、营销、零售及分销其自有品牌</w:t>
      </w:r>
      <w:r>
        <w:rPr>
          <w:lang w:eastAsia="zh-CN"/>
        </w:rPr>
        <w:t>“COCCI”</w:t>
      </w:r>
      <w:r>
        <w:rPr>
          <w:lang w:eastAsia="zh-CN"/>
        </w:rPr>
        <w:t>的女士服装产品，透过其零售店和特许经营商、在线零售网站及批发分销商销售女士服装。</w:t>
      </w:r>
    </w:p>
    <w:p w:rsidR="00F42656" w:rsidRDefault="00FC4A82">
      <w:pPr>
        <w:pStyle w:val="BodyText"/>
        <w:rPr>
          <w:lang w:eastAsia="zh-CN"/>
        </w:rPr>
      </w:pPr>
      <w:r>
        <w:rPr>
          <w:lang w:eastAsia="zh-CN"/>
        </w:rPr>
        <w:t>可姿伊</w:t>
      </w:r>
      <w:r>
        <w:rPr>
          <w:lang w:eastAsia="zh-CN"/>
        </w:rPr>
        <w:t>2015</w:t>
      </w:r>
      <w:r>
        <w:rPr>
          <w:lang w:eastAsia="zh-CN"/>
        </w:rPr>
        <w:t>年收益几乎是</w:t>
      </w:r>
      <w:r>
        <w:rPr>
          <w:lang w:eastAsia="zh-CN"/>
        </w:rPr>
        <w:t>2014</w:t>
      </w:r>
      <w:r>
        <w:rPr>
          <w:lang w:eastAsia="zh-CN"/>
        </w:rPr>
        <w:t>年收益的双倍，主要是因为其向该分销商折价出售过季产品，然后该分销商又将可姿伊的产品主要转销予沙地阿拉伯。向该分销商的销售约占可姿伊</w:t>
      </w:r>
      <w:r>
        <w:rPr>
          <w:lang w:eastAsia="zh-CN"/>
        </w:rPr>
        <w:t>2015</w:t>
      </w:r>
      <w:r>
        <w:rPr>
          <w:lang w:eastAsia="zh-CN"/>
        </w:rPr>
        <w:t>年度总收益的</w:t>
      </w:r>
      <w:r>
        <w:rPr>
          <w:lang w:eastAsia="zh-CN"/>
        </w:rPr>
        <w:t>50%</w:t>
      </w:r>
      <w:r>
        <w:rPr>
          <w:lang w:eastAsia="zh-CN"/>
        </w:rPr>
        <w:t>，及</w:t>
      </w:r>
      <w:r>
        <w:rPr>
          <w:lang w:eastAsia="zh-CN"/>
        </w:rPr>
        <w:t>2016</w:t>
      </w:r>
      <w:r>
        <w:rPr>
          <w:lang w:eastAsia="zh-CN"/>
        </w:rPr>
        <w:t>年前</w:t>
      </w:r>
      <w:r>
        <w:rPr>
          <w:lang w:eastAsia="zh-CN"/>
        </w:rPr>
        <w:t>4</w:t>
      </w:r>
      <w:r>
        <w:rPr>
          <w:lang w:eastAsia="zh-CN"/>
        </w:rPr>
        <w:t>个月总收益的</w:t>
      </w:r>
      <w:r>
        <w:rPr>
          <w:lang w:eastAsia="zh-CN"/>
        </w:rPr>
        <w:t>23%</w:t>
      </w:r>
      <w:r>
        <w:rPr>
          <w:lang w:eastAsia="zh-CN"/>
        </w:rPr>
        <w:t>。</w:t>
      </w:r>
    </w:p>
    <w:p w:rsidR="00F42656" w:rsidRDefault="00FC4A82">
      <w:pPr>
        <w:pStyle w:val="BodyText"/>
        <w:rPr>
          <w:lang w:eastAsia="zh-CN"/>
        </w:rPr>
      </w:pPr>
      <w:r>
        <w:rPr>
          <w:lang w:eastAsia="zh-CN"/>
        </w:rPr>
        <w:t>可姿伊于</w:t>
      </w:r>
      <w:r>
        <w:rPr>
          <w:lang w:eastAsia="zh-CN"/>
        </w:rPr>
        <w:t>2016</w:t>
      </w:r>
      <w:r>
        <w:rPr>
          <w:lang w:eastAsia="zh-CN"/>
        </w:rPr>
        <w:t>年</w:t>
      </w:r>
      <w:r>
        <w:rPr>
          <w:lang w:eastAsia="zh-CN"/>
        </w:rPr>
        <w:t>1</w:t>
      </w:r>
      <w:r>
        <w:rPr>
          <w:lang w:eastAsia="zh-CN"/>
        </w:rPr>
        <w:t>月委任丰盛融资担任其独家保荐人，其首次上市申请于</w:t>
      </w:r>
      <w:r>
        <w:rPr>
          <w:lang w:eastAsia="zh-CN"/>
        </w:rPr>
        <w:t>2016</w:t>
      </w:r>
      <w:r>
        <w:rPr>
          <w:lang w:eastAsia="zh-CN"/>
        </w:rPr>
        <w:t>年</w:t>
      </w:r>
      <w:r>
        <w:rPr>
          <w:lang w:eastAsia="zh-CN"/>
        </w:rPr>
        <w:t>9</w:t>
      </w:r>
      <w:r>
        <w:rPr>
          <w:lang w:eastAsia="zh-CN"/>
        </w:rPr>
        <w:t>月呈递。</w:t>
      </w:r>
      <w:r>
        <w:rPr>
          <w:lang w:eastAsia="zh-CN"/>
        </w:rPr>
        <w:t>2016</w:t>
      </w:r>
      <w:r>
        <w:rPr>
          <w:lang w:eastAsia="zh-CN"/>
        </w:rPr>
        <w:t>年</w:t>
      </w:r>
      <w:r>
        <w:rPr>
          <w:lang w:eastAsia="zh-CN"/>
        </w:rPr>
        <w:t>10</w:t>
      </w:r>
      <w:r>
        <w:rPr>
          <w:lang w:eastAsia="zh-CN"/>
        </w:rPr>
        <w:t>月至</w:t>
      </w:r>
      <w:r>
        <w:rPr>
          <w:lang w:eastAsia="zh-CN"/>
        </w:rPr>
        <w:t>2017</w:t>
      </w:r>
      <w:r>
        <w:rPr>
          <w:lang w:eastAsia="zh-CN"/>
        </w:rPr>
        <w:t>年</w:t>
      </w:r>
      <w:r>
        <w:rPr>
          <w:lang w:eastAsia="zh-CN"/>
        </w:rPr>
        <w:t>3</w:t>
      </w:r>
      <w:r>
        <w:rPr>
          <w:lang w:eastAsia="zh-CN"/>
        </w:rPr>
        <w:t>月期间，证监会及联交所对可姿伊的批发业务及其他事项给予了评论。鉴于首次上市申请已过去超过</w:t>
      </w:r>
      <w:r>
        <w:rPr>
          <w:lang w:eastAsia="zh-CN"/>
        </w:rPr>
        <w:t>6</w:t>
      </w:r>
      <w:r>
        <w:rPr>
          <w:lang w:eastAsia="zh-CN"/>
        </w:rPr>
        <w:t>个月，可姿伊于</w:t>
      </w:r>
      <w:r>
        <w:rPr>
          <w:lang w:eastAsia="zh-CN"/>
        </w:rPr>
        <w:t>2017</w:t>
      </w:r>
      <w:r>
        <w:rPr>
          <w:lang w:eastAsia="zh-CN"/>
        </w:rPr>
        <w:t>年</w:t>
      </w:r>
      <w:r>
        <w:rPr>
          <w:lang w:eastAsia="zh-CN"/>
        </w:rPr>
        <w:t>4</w:t>
      </w:r>
      <w:r>
        <w:rPr>
          <w:lang w:eastAsia="zh-CN"/>
        </w:rPr>
        <w:t>月重新呈递了一份上市申请，并由丰盛融资继续担任其独家保荐人。证监会及联交所在该第二份上市申请呈递之后进一步给出了意见：监管机构认为经修订的招股说明书仍然未能就可姿伊批发业务的多个方面进行解释并提供充足资料。丰盛融资未对该等评论给予回应，第二次上市申请于</w:t>
      </w:r>
      <w:r>
        <w:rPr>
          <w:lang w:eastAsia="zh-CN"/>
        </w:rPr>
        <w:t>2017</w:t>
      </w:r>
      <w:r>
        <w:rPr>
          <w:lang w:eastAsia="zh-CN"/>
        </w:rPr>
        <w:t>年</w:t>
      </w:r>
      <w:r>
        <w:rPr>
          <w:lang w:eastAsia="zh-CN"/>
        </w:rPr>
        <w:t>10</w:t>
      </w:r>
      <w:r>
        <w:rPr>
          <w:lang w:eastAsia="zh-CN"/>
        </w:rPr>
        <w:t>月失效。</w:t>
      </w:r>
    </w:p>
    <w:p w:rsidR="00F42656" w:rsidRDefault="00FC4A82">
      <w:pPr>
        <w:pStyle w:val="BodyText"/>
        <w:rPr>
          <w:lang w:eastAsia="zh-CN"/>
        </w:rPr>
      </w:pPr>
      <w:r>
        <w:rPr>
          <w:lang w:eastAsia="zh-CN"/>
        </w:rPr>
        <w:t>保</w:t>
      </w:r>
      <w:r>
        <w:rPr>
          <w:lang w:eastAsia="zh-CN"/>
        </w:rPr>
        <w:t>荐人没有对可疑现金交收进行充分的尽职审查</w:t>
      </w:r>
    </w:p>
    <w:p w:rsidR="00F42656" w:rsidRDefault="00FC4A82">
      <w:pPr>
        <w:pStyle w:val="BodyText"/>
        <w:rPr>
          <w:lang w:eastAsia="zh-CN"/>
        </w:rPr>
      </w:pPr>
      <w:r>
        <w:rPr>
          <w:lang w:eastAsia="zh-CN"/>
        </w:rPr>
        <w:t>2016</w:t>
      </w:r>
      <w:r>
        <w:rPr>
          <w:lang w:eastAsia="zh-CN"/>
        </w:rPr>
        <w:t>年</w:t>
      </w:r>
      <w:r>
        <w:rPr>
          <w:lang w:eastAsia="zh-CN"/>
        </w:rPr>
        <w:t>3</w:t>
      </w:r>
      <w:r>
        <w:rPr>
          <w:lang w:eastAsia="zh-CN"/>
        </w:rPr>
        <w:t>月至</w:t>
      </w:r>
      <w:r>
        <w:rPr>
          <w:lang w:eastAsia="zh-CN"/>
        </w:rPr>
        <w:t>6</w:t>
      </w:r>
      <w:r>
        <w:rPr>
          <w:lang w:eastAsia="zh-CN"/>
        </w:rPr>
        <w:t>月期间，有</w:t>
      </w:r>
      <w:r>
        <w:rPr>
          <w:lang w:eastAsia="zh-CN"/>
        </w:rPr>
        <w:t>5</w:t>
      </w:r>
      <w:r>
        <w:rPr>
          <w:lang w:eastAsia="zh-CN"/>
        </w:rPr>
        <w:t>家第三方向可姿伊大陆银行账户支付了</w:t>
      </w:r>
      <w:r>
        <w:rPr>
          <w:lang w:eastAsia="zh-CN"/>
        </w:rPr>
        <w:t>24</w:t>
      </w:r>
      <w:r>
        <w:rPr>
          <w:lang w:eastAsia="zh-CN"/>
        </w:rPr>
        <w:t>笔款项（合共超人民币</w:t>
      </w:r>
      <w:r>
        <w:rPr>
          <w:lang w:eastAsia="zh-CN"/>
        </w:rPr>
        <w:t>970</w:t>
      </w:r>
      <w:r>
        <w:rPr>
          <w:lang w:eastAsia="zh-CN"/>
        </w:rPr>
        <w:t>万元）以结清该分销商欠付可姿伊在大陆主要运营分支机构（</w:t>
      </w:r>
      <w:r>
        <w:rPr>
          <w:b/>
          <w:lang w:eastAsia="zh-CN"/>
        </w:rPr>
        <w:t>大陆分支机构</w:t>
      </w:r>
      <w:r>
        <w:rPr>
          <w:lang w:eastAsia="zh-CN"/>
        </w:rPr>
        <w:t>）的款项。丰盛融资已从可姿伊董事处知悉该分销商的唯一股东及董事（</w:t>
      </w:r>
      <w:r>
        <w:rPr>
          <w:b/>
          <w:lang w:eastAsia="zh-CN"/>
        </w:rPr>
        <w:t>A</w:t>
      </w:r>
      <w:r>
        <w:rPr>
          <w:b/>
          <w:lang w:eastAsia="zh-CN"/>
        </w:rPr>
        <w:t>女士</w:t>
      </w:r>
      <w:r>
        <w:rPr>
          <w:lang w:eastAsia="zh-CN"/>
        </w:rPr>
        <w:t>）透过与可姿伊主席之前选择的一家或者多家第三方会见（在</w:t>
      </w:r>
      <w:r>
        <w:rPr>
          <w:lang w:eastAsia="zh-CN"/>
        </w:rPr>
        <w:t>A</w:t>
      </w:r>
      <w:r>
        <w:rPr>
          <w:lang w:eastAsia="zh-CN"/>
        </w:rPr>
        <w:t>女士及可姿伊主席或该第三方安排的地点）及向其交付现金款项的方式代表该分销商向该大陆分支机构支付现金（港元）。之后该第三方在将该现金款项转换成人民币及亲自将现金运往大陆并存入该大陆分支机</w:t>
      </w:r>
      <w:r>
        <w:rPr>
          <w:lang w:eastAsia="zh-CN"/>
        </w:rPr>
        <w:t>构的银行账户中。这一安排获得了采纳，原因是该大陆分支机构在香港没有香港银行账户能够让</w:t>
      </w:r>
      <w:r>
        <w:rPr>
          <w:lang w:eastAsia="zh-CN"/>
        </w:rPr>
        <w:t>A</w:t>
      </w:r>
      <w:r>
        <w:rPr>
          <w:lang w:eastAsia="zh-CN"/>
        </w:rPr>
        <w:t>女士直接存入现金，且该分销商直接向该大陆分支机构付款须受中国外汇管治条例的约束。</w:t>
      </w:r>
    </w:p>
    <w:p w:rsidR="00F42656" w:rsidRDefault="00FC4A82">
      <w:pPr>
        <w:pStyle w:val="BodyText"/>
        <w:rPr>
          <w:lang w:eastAsia="zh-CN"/>
        </w:rPr>
      </w:pPr>
      <w:r>
        <w:rPr>
          <w:lang w:eastAsia="zh-CN"/>
        </w:rPr>
        <w:t>证监会认为客户可能透过第三方付款来掩饰资金来源，便于进行欺诈计划，因此应视之为一项预警迹象。本个案中尤其如此，因为其中一名第三方付款人是可姿伊主要供货商的雇员。证监会认为丰盛融资没有严谨评估第三方付款的背后原因，没有进行独立的尽职审查以确定可姿伊在该事项上申述的真实及完整，违反了其根据证监会《操守准则》规定应承担的保荐人尽职审查职责。该保荐人</w:t>
      </w:r>
      <w:r>
        <w:rPr>
          <w:lang w:eastAsia="zh-CN"/>
        </w:rPr>
        <w:t>亦没有备存任何纪录以显示其进行的尽职审查，包括其声称曾与可姿伊的董事及申报会计师讨论第三方付款。</w:t>
      </w:r>
    </w:p>
    <w:p w:rsidR="00F42656" w:rsidRDefault="00FC4A82">
      <w:pPr>
        <w:pStyle w:val="BodyText"/>
        <w:rPr>
          <w:lang w:eastAsia="zh-CN"/>
        </w:rPr>
      </w:pPr>
      <w:r>
        <w:rPr>
          <w:lang w:eastAsia="zh-CN"/>
        </w:rPr>
        <w:t>保荐人没有确定该分销商及其有联系者的背景和独立性</w:t>
      </w:r>
    </w:p>
    <w:p w:rsidR="00F42656" w:rsidRDefault="00FC4A82">
      <w:pPr>
        <w:pStyle w:val="BodyText"/>
        <w:rPr>
          <w:lang w:eastAsia="zh-CN"/>
        </w:rPr>
      </w:pPr>
      <w:r>
        <w:rPr>
          <w:lang w:eastAsia="zh-CN"/>
        </w:rPr>
        <w:t>丰盛融资知悉该分销商的业务活动是由</w:t>
      </w:r>
      <w:r>
        <w:rPr>
          <w:lang w:eastAsia="zh-CN"/>
        </w:rPr>
        <w:t>A</w:t>
      </w:r>
      <w:r>
        <w:rPr>
          <w:lang w:eastAsia="zh-CN"/>
        </w:rPr>
        <w:t>女士及她的珠宝公司的员工进行。同时，有数据显示该珠宝公司与可姿伊之间有关连，例如：</w:t>
      </w:r>
      <w:r>
        <w:rPr>
          <w:lang w:eastAsia="zh-CN"/>
        </w:rPr>
        <w:t xml:space="preserve">(i) </w:t>
      </w:r>
      <w:r>
        <w:rPr>
          <w:lang w:eastAsia="zh-CN"/>
        </w:rPr>
        <w:t>该珠宝公司的一名共同拥有人是一家由可姿伊一名股东全资拥有的公司；及</w:t>
      </w:r>
      <w:r>
        <w:rPr>
          <w:lang w:eastAsia="zh-CN"/>
        </w:rPr>
        <w:t xml:space="preserve">(ii) </w:t>
      </w:r>
      <w:r>
        <w:rPr>
          <w:lang w:eastAsia="zh-CN"/>
        </w:rPr>
        <w:t>该珠宝公司的一名董事亦是可姿伊主要供货商的董事，以及某家属可姿伊特许经营商且为可姿伊某些自营零售店担任管理代理商的公司的董事兼唯一股东。</w:t>
      </w:r>
    </w:p>
    <w:p w:rsidR="00F42656" w:rsidRDefault="00FC4A82">
      <w:pPr>
        <w:pStyle w:val="BodyText"/>
        <w:rPr>
          <w:lang w:eastAsia="zh-CN"/>
        </w:rPr>
      </w:pPr>
      <w:r>
        <w:rPr>
          <w:lang w:eastAsia="zh-CN"/>
        </w:rPr>
        <w:t>但是，该保荐人并未履行证监会《操守准则》要求其承担的尽职审查职责。其没有就此进行任何进一步的尽职审查，以确定该珠宝公司的共有人及董事在该分销商的业务活动中的参与程度，亦未核实该分销商或</w:t>
      </w:r>
      <w:r>
        <w:rPr>
          <w:lang w:eastAsia="zh-CN"/>
        </w:rPr>
        <w:t>A</w:t>
      </w:r>
      <w:r>
        <w:rPr>
          <w:lang w:eastAsia="zh-CN"/>
        </w:rPr>
        <w:t>女士是否独立于可姿伊及其供货商。</w:t>
      </w:r>
    </w:p>
    <w:p w:rsidR="00F42656" w:rsidRDefault="00FC4A82">
      <w:pPr>
        <w:pStyle w:val="BodyText"/>
        <w:rPr>
          <w:lang w:eastAsia="zh-CN"/>
        </w:rPr>
      </w:pPr>
      <w:r>
        <w:rPr>
          <w:lang w:eastAsia="zh-CN"/>
        </w:rPr>
        <w:t>保荐人没有评估可姿伊向该分销商进行的销售是否合理</w:t>
      </w:r>
    </w:p>
    <w:p w:rsidR="00F42656" w:rsidRDefault="00FC4A82">
      <w:pPr>
        <w:pStyle w:val="BodyText"/>
        <w:rPr>
          <w:lang w:eastAsia="zh-CN"/>
        </w:rPr>
      </w:pPr>
      <w:r>
        <w:rPr>
          <w:lang w:eastAsia="zh-CN"/>
        </w:rPr>
        <w:t>证监会认为，鉴于可姿伊向该分销商（其随后又售予沙地阿拉伯的客户）的产品销售令其于</w:t>
      </w:r>
      <w:r>
        <w:rPr>
          <w:lang w:eastAsia="zh-CN"/>
        </w:rPr>
        <w:t>2015</w:t>
      </w:r>
      <w:r>
        <w:rPr>
          <w:lang w:eastAsia="zh-CN"/>
        </w:rPr>
        <w:t>年的收益大幅上升，丰盛融资有必要进行充分的尽职审查，以厘定有关销售是否合理。</w:t>
      </w:r>
    </w:p>
    <w:p w:rsidR="00F42656" w:rsidRDefault="00FC4A82">
      <w:pPr>
        <w:pStyle w:val="BodyText"/>
        <w:rPr>
          <w:lang w:eastAsia="zh-CN"/>
        </w:rPr>
      </w:pPr>
      <w:r>
        <w:rPr>
          <w:lang w:eastAsia="zh-CN"/>
        </w:rPr>
        <w:t>丰盛融资在呈交上市申请前，就可姿伊产品于沙地阿拉伯的销售只进行了极为有限的尽</w:t>
      </w:r>
      <w:r>
        <w:rPr>
          <w:lang w:eastAsia="zh-CN"/>
        </w:rPr>
        <w:t>职审查。即使丰盛融资曾经出席可姿伊申报会计师与该分销商的一名沙地阿拉伯主要客户之间的电话访谈，但丰盛融资没有寻求取得任何客观数据以核实该客户所提供的资料，也没有就该客户的背景及其于沙地阿拉伯的业务规模进行任何独立调查。</w:t>
      </w:r>
    </w:p>
    <w:p w:rsidR="00F42656" w:rsidRDefault="00FC4A82">
      <w:pPr>
        <w:pStyle w:val="BodyText"/>
        <w:rPr>
          <w:lang w:eastAsia="zh-CN"/>
        </w:rPr>
      </w:pPr>
      <w:r>
        <w:rPr>
          <w:lang w:eastAsia="zh-CN"/>
        </w:rPr>
        <w:t>证监会及联交所于收到呈交的首次上市申请后给出了意见，之后丰盛融资作出额外的尽职审查，例如与该沙地阿拉伯客户进行访谈，及到访其于沙地阿拉伯的零售店。</w:t>
      </w:r>
    </w:p>
    <w:p w:rsidR="00F42656" w:rsidRDefault="00FC4A82">
      <w:pPr>
        <w:pStyle w:val="BodyText"/>
        <w:rPr>
          <w:lang w:eastAsia="zh-CN"/>
        </w:rPr>
      </w:pPr>
      <w:r>
        <w:rPr>
          <w:lang w:eastAsia="zh-CN"/>
        </w:rPr>
        <w:t>证监会在其作出的《纪律行动声明》中提述了关于「分销业务模式</w:t>
      </w:r>
      <w:r>
        <w:rPr>
          <w:lang w:eastAsia="zh-CN"/>
        </w:rPr>
        <w:t>-</w:t>
      </w:r>
      <w:r>
        <w:rPr>
          <w:lang w:eastAsia="zh-CN"/>
        </w:rPr>
        <w:t>风险及上市文件披露」的</w:t>
      </w:r>
      <w:hyperlink r:id="rId14">
        <w:r>
          <w:rPr>
            <w:lang w:eastAsia="zh-CN"/>
          </w:rPr>
          <w:t>联交所指引信</w:t>
        </w:r>
        <w:r>
          <w:rPr>
            <w:lang w:eastAsia="zh-CN"/>
          </w:rPr>
          <w:t>GL36-12</w:t>
        </w:r>
        <w:r>
          <w:rPr>
            <w:lang w:eastAsia="zh-CN"/>
          </w:rPr>
          <w:t>（</w:t>
        </w:r>
        <w:r>
          <w:rPr>
            <w:lang w:eastAsia="zh-CN"/>
          </w:rPr>
          <w:t>2012</w:t>
        </w:r>
        <w:r>
          <w:rPr>
            <w:lang w:eastAsia="zh-CN"/>
          </w:rPr>
          <w:t>年</w:t>
        </w:r>
        <w:r>
          <w:rPr>
            <w:lang w:eastAsia="zh-CN"/>
          </w:rPr>
          <w:t>5</w:t>
        </w:r>
        <w:r>
          <w:rPr>
            <w:lang w:eastAsia="zh-CN"/>
          </w:rPr>
          <w:t>月）</w:t>
        </w:r>
      </w:hyperlink>
      <w:hyperlink w:anchor="footnote-8693-9">
        <w:r>
          <w:rPr>
            <w:vertAlign w:val="superscript"/>
            <w:lang w:eastAsia="zh-CN"/>
          </w:rPr>
          <w:t>9</w:t>
        </w:r>
      </w:hyperlink>
      <w:r>
        <w:rPr>
          <w:lang w:eastAsia="zh-CN"/>
        </w:rPr>
        <w:t>，联交所在该指引信中表示保荐人应要就相关业绩记录期内记录的向分销商进行的销售的公平合理性进行充分的尽职审查。指引信</w:t>
      </w:r>
      <w:r>
        <w:rPr>
          <w:lang w:eastAsia="zh-CN"/>
        </w:rPr>
        <w:t>GL36-12</w:t>
      </w:r>
      <w:r>
        <w:rPr>
          <w:lang w:eastAsia="zh-CN"/>
        </w:rPr>
        <w:t>还强调分销业务模式中渠道囤塞的风险，表示：</w:t>
      </w:r>
    </w:p>
    <w:p w:rsidR="00F42656" w:rsidRDefault="00FC4A82">
      <w:pPr>
        <w:pStyle w:val="BodyText"/>
        <w:rPr>
          <w:lang w:eastAsia="zh-CN"/>
        </w:rPr>
      </w:pPr>
      <w:r>
        <w:rPr>
          <w:i/>
          <w:lang w:eastAsia="zh-CN"/>
        </w:rPr>
        <w:t>「虽然相关业绩记录期间内销量的急剧增长可能意味着业务充满活力，但是也存在人为推高销量的风险，因为最终终端用户需求的实际增长是非可持续的。」</w:t>
      </w:r>
    </w:p>
    <w:p w:rsidR="00F42656" w:rsidRDefault="00FC4A82">
      <w:pPr>
        <w:pStyle w:val="BodyText"/>
        <w:rPr>
          <w:lang w:eastAsia="zh-CN"/>
        </w:rPr>
      </w:pPr>
      <w:r>
        <w:rPr>
          <w:lang w:eastAsia="zh-CN"/>
        </w:rPr>
        <w:t>值得关注的是，该指引信（现文件名称为《涉及分销业务模式时有关保荐人所须作尽职审查及上市文件披露的指引》）于</w:t>
      </w:r>
      <w:r>
        <w:rPr>
          <w:lang w:eastAsia="zh-CN"/>
        </w:rPr>
        <w:t>2020</w:t>
      </w:r>
      <w:r>
        <w:rPr>
          <w:lang w:eastAsia="zh-CN"/>
        </w:rPr>
        <w:t>年</w:t>
      </w:r>
      <w:r>
        <w:rPr>
          <w:lang w:eastAsia="zh-CN"/>
        </w:rPr>
        <w:t>2</w:t>
      </w:r>
      <w:r>
        <w:rPr>
          <w:lang w:eastAsia="zh-CN"/>
        </w:rPr>
        <w:t>月修订，那之后这些陈述均被删除。</w:t>
      </w:r>
    </w:p>
    <w:p w:rsidR="00F42656" w:rsidRDefault="00FC4A82">
      <w:pPr>
        <w:pStyle w:val="BodyText"/>
        <w:rPr>
          <w:lang w:eastAsia="zh-CN"/>
        </w:rPr>
      </w:pPr>
      <w:r>
        <w:rPr>
          <w:lang w:eastAsia="zh-CN"/>
        </w:rPr>
        <w:t>保荐人没有严谨地评估可姿伊提供的付运文件是否可靠</w:t>
      </w:r>
    </w:p>
    <w:p w:rsidR="00F42656" w:rsidRDefault="00FC4A82">
      <w:pPr>
        <w:pStyle w:val="BodyText"/>
        <w:rPr>
          <w:lang w:eastAsia="zh-CN"/>
        </w:rPr>
      </w:pPr>
      <w:r>
        <w:rPr>
          <w:lang w:eastAsia="zh-CN"/>
        </w:rPr>
        <w:t>可姿伊向丰盛融资提供了</w:t>
      </w:r>
      <w:r>
        <w:rPr>
          <w:lang w:eastAsia="zh-CN"/>
        </w:rPr>
        <w:t>25</w:t>
      </w:r>
      <w:r>
        <w:rPr>
          <w:lang w:eastAsia="zh-CN"/>
        </w:rPr>
        <w:t>套有关该分销商向其沙地阿拉伯客户运送可姿伊产品的付运文件。证监会发现丰盛融资未进行以下事项，违反了其尽职审查职责：</w:t>
      </w:r>
      <w:r>
        <w:rPr>
          <w:lang w:eastAsia="zh-CN"/>
        </w:rPr>
        <w:t xml:space="preserve">(i) </w:t>
      </w:r>
      <w:r>
        <w:rPr>
          <w:lang w:eastAsia="zh-CN"/>
        </w:rPr>
        <w:t>在依赖这些付运文件进</w:t>
      </w:r>
      <w:r>
        <w:rPr>
          <w:lang w:eastAsia="zh-CN"/>
        </w:rPr>
        <w:t>行尽职审查前，没有严谨地评估其可靠程度及</w:t>
      </w:r>
      <w:r>
        <w:rPr>
          <w:lang w:eastAsia="zh-CN"/>
        </w:rPr>
        <w:t>(ii)</w:t>
      </w:r>
      <w:r>
        <w:rPr>
          <w:lang w:eastAsia="zh-CN"/>
        </w:rPr>
        <w:t>也未能识别出显示该等付运文件未必可靠的预警迹象。例如，所有</w:t>
      </w:r>
      <w:r>
        <w:rPr>
          <w:lang w:eastAsia="zh-CN"/>
        </w:rPr>
        <w:t>25</w:t>
      </w:r>
      <w:r>
        <w:rPr>
          <w:lang w:eastAsia="zh-CN"/>
        </w:rPr>
        <w:t>套提单的货柜识别标签均为</w:t>
      </w:r>
      <w:r>
        <w:rPr>
          <w:lang w:eastAsia="zh-CN"/>
        </w:rPr>
        <w:t>“ABCD/111111/TBA”</w:t>
      </w:r>
      <w:r>
        <w:rPr>
          <w:lang w:eastAsia="zh-CN"/>
        </w:rPr>
        <w:t>，但是大部分提单上的日期与可从公开来源找到的有关船只的航行时间表不相符。</w:t>
      </w:r>
    </w:p>
    <w:p w:rsidR="00F42656" w:rsidRDefault="00FC4A82">
      <w:pPr>
        <w:pStyle w:val="BodyText"/>
        <w:rPr>
          <w:lang w:eastAsia="zh-CN"/>
        </w:rPr>
      </w:pPr>
      <w:r>
        <w:rPr>
          <w:lang w:eastAsia="zh-CN"/>
        </w:rPr>
        <w:t>证监会纪律行动</w:t>
      </w:r>
    </w:p>
    <w:p w:rsidR="00F42656" w:rsidRDefault="00FC4A82">
      <w:pPr>
        <w:pStyle w:val="BodyText"/>
        <w:rPr>
          <w:lang w:eastAsia="zh-CN"/>
        </w:rPr>
      </w:pPr>
      <w:r>
        <w:rPr>
          <w:lang w:eastAsia="zh-CN"/>
        </w:rPr>
        <w:t>证监会在其《纪律行动声明》中认为丰盛融资违反了以下规定：</w:t>
      </w:r>
    </w:p>
    <w:p w:rsidR="00F42656" w:rsidRDefault="00FC4A82">
      <w:pPr>
        <w:pStyle w:val="Compact"/>
        <w:numPr>
          <w:ilvl w:val="0"/>
          <w:numId w:val="8"/>
        </w:numPr>
        <w:rPr>
          <w:lang w:eastAsia="zh-CN"/>
        </w:rPr>
      </w:pPr>
      <w:r>
        <w:rPr>
          <w:b/>
          <w:i/>
          <w:lang w:eastAsia="zh-CN"/>
        </w:rPr>
        <w:t>证监会《操守准则》第2</w:t>
      </w:r>
      <w:r>
        <w:rPr>
          <w:b/>
          <w:i/>
          <w:lang w:eastAsia="zh-CN"/>
        </w:rPr>
        <w:t>项一般原则（勤勉尽责）及证监会《企业融资顾问操守准则》第</w:t>
      </w:r>
      <w:r>
        <w:rPr>
          <w:b/>
          <w:i/>
          <w:lang w:eastAsia="zh-CN"/>
        </w:rPr>
        <w:t xml:space="preserve"> 5.1 </w:t>
      </w:r>
      <w:r>
        <w:rPr>
          <w:b/>
          <w:i/>
          <w:lang w:eastAsia="zh-CN"/>
        </w:rPr>
        <w:t>段（适当技能及审慎行事）</w:t>
      </w:r>
      <w:r>
        <w:rPr>
          <w:lang w:eastAsia="zh-CN"/>
        </w:rPr>
        <w:t xml:space="preserve">- </w:t>
      </w:r>
      <w:r>
        <w:rPr>
          <w:lang w:eastAsia="zh-CN"/>
        </w:rPr>
        <w:t>没有具备适当的技能及小心审慎和勤勉尽责地行事，也没有遵守适当的市场操守准则，</w:t>
      </w:r>
      <w:r>
        <w:rPr>
          <w:lang w:eastAsia="zh-CN"/>
        </w:rPr>
        <w:t>以维护客户的最佳利益及确保市场廉洁稳健；</w:t>
      </w:r>
    </w:p>
    <w:p w:rsidR="00F42656" w:rsidRDefault="00FC4A82">
      <w:pPr>
        <w:pStyle w:val="Compact"/>
        <w:numPr>
          <w:ilvl w:val="0"/>
          <w:numId w:val="8"/>
        </w:numPr>
        <w:rPr>
          <w:lang w:eastAsia="zh-CN"/>
        </w:rPr>
      </w:pPr>
      <w:r>
        <w:rPr>
          <w:b/>
          <w:i/>
          <w:lang w:eastAsia="zh-CN"/>
        </w:rPr>
        <w:t>证监会《操守准则》第</w:t>
      </w:r>
      <w:r>
        <w:rPr>
          <w:b/>
          <w:i/>
          <w:lang w:eastAsia="zh-CN"/>
        </w:rPr>
        <w:t>17.2(b)</w:t>
      </w:r>
      <w:r>
        <w:rPr>
          <w:b/>
          <w:i/>
          <w:lang w:eastAsia="zh-CN"/>
        </w:rPr>
        <w:t>及</w:t>
      </w:r>
      <w:r>
        <w:rPr>
          <w:b/>
          <w:i/>
          <w:lang w:eastAsia="zh-CN"/>
        </w:rPr>
        <w:t>17.4(a)</w:t>
      </w:r>
      <w:r>
        <w:rPr>
          <w:b/>
          <w:i/>
          <w:lang w:eastAsia="zh-CN"/>
        </w:rPr>
        <w:t>段（合理尽职审查）</w:t>
      </w:r>
      <w:r>
        <w:rPr>
          <w:lang w:eastAsia="zh-CN"/>
        </w:rPr>
        <w:t xml:space="preserve">- </w:t>
      </w:r>
      <w:r>
        <w:rPr>
          <w:lang w:eastAsia="zh-CN"/>
        </w:rPr>
        <w:t>没有在呈交上市申请前，完成对可姿伊的所有合理尽职审查；</w:t>
      </w:r>
    </w:p>
    <w:p w:rsidR="00F42656" w:rsidRDefault="00FC4A82">
      <w:pPr>
        <w:pStyle w:val="Compact"/>
        <w:numPr>
          <w:ilvl w:val="0"/>
          <w:numId w:val="8"/>
        </w:numPr>
        <w:rPr>
          <w:lang w:eastAsia="zh-CN"/>
        </w:rPr>
      </w:pPr>
      <w:r>
        <w:rPr>
          <w:b/>
          <w:i/>
          <w:lang w:eastAsia="zh-CN"/>
        </w:rPr>
        <w:t>证监会《操守准则》第</w:t>
      </w:r>
      <w:r>
        <w:rPr>
          <w:b/>
          <w:i/>
          <w:lang w:eastAsia="zh-CN"/>
        </w:rPr>
        <w:t>17.6(a)</w:t>
      </w:r>
      <w:r>
        <w:rPr>
          <w:b/>
          <w:i/>
          <w:lang w:eastAsia="zh-CN"/>
        </w:rPr>
        <w:t>段（合理判断）</w:t>
      </w:r>
      <w:r>
        <w:rPr>
          <w:lang w:eastAsia="zh-CN"/>
        </w:rPr>
        <w:t xml:space="preserve">- </w:t>
      </w:r>
      <w:r>
        <w:rPr>
          <w:lang w:eastAsia="zh-CN"/>
        </w:rPr>
        <w:t>没有在顾及所有相关事实及情况后，对需就可姿伊进行的尽职审查工作的性质及范围，作出合理判断；</w:t>
      </w:r>
    </w:p>
    <w:p w:rsidR="00F42656" w:rsidRDefault="00FC4A82">
      <w:pPr>
        <w:pStyle w:val="Compact"/>
        <w:numPr>
          <w:ilvl w:val="0"/>
          <w:numId w:val="8"/>
        </w:numPr>
        <w:rPr>
          <w:lang w:eastAsia="zh-CN"/>
        </w:rPr>
      </w:pPr>
      <w:r>
        <w:rPr>
          <w:b/>
          <w:i/>
          <w:lang w:eastAsia="zh-CN"/>
        </w:rPr>
        <w:t>证监会《操守准则》第</w:t>
      </w:r>
      <w:r>
        <w:rPr>
          <w:b/>
          <w:i/>
          <w:lang w:eastAsia="zh-CN"/>
        </w:rPr>
        <w:t>17.6(b)</w:t>
      </w:r>
      <w:r>
        <w:rPr>
          <w:b/>
          <w:i/>
          <w:lang w:eastAsia="zh-CN"/>
        </w:rPr>
        <w:t>段（专业的怀疑态度）及《联交所创业板上市规则第</w:t>
      </w:r>
      <w:r>
        <w:rPr>
          <w:b/>
          <w:i/>
          <w:lang w:eastAsia="zh-CN"/>
        </w:rPr>
        <w:t xml:space="preserve"> 2 </w:t>
      </w:r>
      <w:r>
        <w:rPr>
          <w:b/>
          <w:i/>
          <w:lang w:eastAsia="zh-CN"/>
        </w:rPr>
        <w:t>项应用指引》第</w:t>
      </w:r>
      <w:r>
        <w:rPr>
          <w:b/>
          <w:i/>
          <w:lang w:eastAsia="zh-CN"/>
        </w:rPr>
        <w:t>2</w:t>
      </w:r>
      <w:r>
        <w:rPr>
          <w:b/>
          <w:i/>
          <w:lang w:eastAsia="zh-CN"/>
        </w:rPr>
        <w:t>段</w:t>
      </w:r>
      <w:r>
        <w:rPr>
          <w:lang w:eastAsia="zh-CN"/>
        </w:rPr>
        <w:t>-</w:t>
      </w:r>
      <w:r>
        <w:rPr>
          <w:lang w:eastAsia="zh-CN"/>
        </w:rPr>
        <w:t>没有抱着专业的怀疑态度，审查可姿伊所提供的数据的准确性，也没有特别留意一些有矛盾的或</w:t>
      </w:r>
      <w:r>
        <w:rPr>
          <w:lang w:eastAsia="zh-CN"/>
        </w:rPr>
        <w:t>显示该等数据未必可靠的资料；</w:t>
      </w:r>
    </w:p>
    <w:p w:rsidR="00F42656" w:rsidRDefault="00FC4A82">
      <w:pPr>
        <w:pStyle w:val="Compact"/>
        <w:numPr>
          <w:ilvl w:val="0"/>
          <w:numId w:val="8"/>
        </w:numPr>
        <w:rPr>
          <w:lang w:eastAsia="zh-CN"/>
        </w:rPr>
      </w:pPr>
      <w:r>
        <w:rPr>
          <w:b/>
          <w:i/>
          <w:lang w:eastAsia="zh-CN"/>
        </w:rPr>
        <w:t>证监会《操守准则》第</w:t>
      </w:r>
      <w:r>
        <w:rPr>
          <w:b/>
          <w:i/>
          <w:lang w:eastAsia="zh-CN"/>
        </w:rPr>
        <w:t>17.6(c)</w:t>
      </w:r>
      <w:r>
        <w:rPr>
          <w:b/>
          <w:i/>
          <w:lang w:eastAsia="zh-CN"/>
        </w:rPr>
        <w:t>段（适当的核实）</w:t>
      </w:r>
      <w:r>
        <w:rPr>
          <w:lang w:eastAsia="zh-CN"/>
        </w:rPr>
        <w:t>-</w:t>
      </w:r>
      <w:r>
        <w:rPr>
          <w:lang w:eastAsia="zh-CN"/>
        </w:rPr>
        <w:t>丰盛融资没有在得悉有任何情况可能导致其获提供的数据受到质疑，或显示有潜在问题或风险后，进行额外的尽职审查，以确定可姿伊所提供数据的真实及完整；</w:t>
      </w:r>
    </w:p>
    <w:p w:rsidR="00F42656" w:rsidRDefault="00FC4A82">
      <w:pPr>
        <w:pStyle w:val="Compact"/>
        <w:numPr>
          <w:ilvl w:val="0"/>
          <w:numId w:val="8"/>
        </w:numPr>
        <w:rPr>
          <w:lang w:eastAsia="zh-CN"/>
        </w:rPr>
      </w:pPr>
      <w:r>
        <w:rPr>
          <w:b/>
          <w:i/>
          <w:lang w:eastAsia="zh-CN"/>
        </w:rPr>
        <w:t>证监会《操守准则》第</w:t>
      </w:r>
      <w:r>
        <w:rPr>
          <w:b/>
          <w:i/>
          <w:lang w:eastAsia="zh-CN"/>
        </w:rPr>
        <w:t>17.6(e)</w:t>
      </w:r>
      <w:r>
        <w:rPr>
          <w:b/>
          <w:i/>
          <w:lang w:eastAsia="zh-CN"/>
        </w:rPr>
        <w:t>段（独立的尽职审查步骤）</w:t>
      </w:r>
      <w:r>
        <w:rPr>
          <w:lang w:eastAsia="zh-CN"/>
        </w:rPr>
        <w:t>-</w:t>
      </w:r>
      <w:r>
        <w:rPr>
          <w:lang w:eastAsia="zh-CN"/>
        </w:rPr>
        <w:t>没有采取独立的尽职审查步骤，以直接询问上市申请人内部或外间具备有关知识的人士，及就重大事项以独立方式从上市申请人以外的来源取得数据；及</w:t>
      </w:r>
    </w:p>
    <w:p w:rsidR="00F42656" w:rsidRDefault="00FC4A82">
      <w:pPr>
        <w:pStyle w:val="Compact"/>
        <w:numPr>
          <w:ilvl w:val="0"/>
          <w:numId w:val="8"/>
        </w:numPr>
        <w:rPr>
          <w:lang w:eastAsia="zh-CN"/>
        </w:rPr>
      </w:pPr>
      <w:r>
        <w:rPr>
          <w:b/>
          <w:i/>
          <w:lang w:eastAsia="zh-CN"/>
        </w:rPr>
        <w:t>证监会《操守准则》第</w:t>
      </w:r>
      <w:r>
        <w:rPr>
          <w:b/>
          <w:i/>
          <w:lang w:eastAsia="zh-CN"/>
        </w:rPr>
        <w:t>17.2(e)</w:t>
      </w:r>
      <w:r>
        <w:rPr>
          <w:b/>
          <w:i/>
          <w:lang w:eastAsia="zh-CN"/>
        </w:rPr>
        <w:t>及17.10</w:t>
      </w:r>
      <w:r>
        <w:rPr>
          <w:b/>
          <w:i/>
          <w:lang w:eastAsia="zh-CN"/>
        </w:rPr>
        <w:t>段（妥善纪录）</w:t>
      </w:r>
      <w:r>
        <w:rPr>
          <w:lang w:eastAsia="zh-CN"/>
        </w:rPr>
        <w:t>-</w:t>
      </w:r>
      <w:r>
        <w:rPr>
          <w:lang w:eastAsia="zh-CN"/>
        </w:rPr>
        <w:t>没有就对该上市申请进</w:t>
      </w:r>
      <w:r>
        <w:rPr>
          <w:lang w:eastAsia="zh-CN"/>
        </w:rPr>
        <w:t>行的尽职审查（连同其结果）备存妥善的纪录，藉以向证监会显示其已遵守证监会《操守准则》。</w:t>
      </w:r>
    </w:p>
    <w:p w:rsidR="00F42656" w:rsidRDefault="00FC4A82">
      <w:pPr>
        <w:pStyle w:val="FirstParagraph"/>
        <w:rPr>
          <w:lang w:eastAsia="zh-CN"/>
        </w:rPr>
      </w:pPr>
      <w:r>
        <w:rPr>
          <w:lang w:eastAsia="zh-CN"/>
        </w:rPr>
        <w:t>证监会认为，丰盛融资未承担其保荐人尽职审查职责可归因于邓没有履行其作为丰盛融资的保荐人主要人员、负责人员及高级管理人员的职责所致。尤其是，邓没有：</w:t>
      </w:r>
      <w:r>
        <w:rPr>
          <w:lang w:eastAsia="zh-CN"/>
        </w:rPr>
        <w:t>(a)</w:t>
      </w:r>
      <w:r>
        <w:rPr>
          <w:lang w:eastAsia="zh-CN"/>
        </w:rPr>
        <w:t>以适当的技能、小心审慎和勤勉尽责的态度处理该上市申请；</w:t>
      </w:r>
      <w:r>
        <w:rPr>
          <w:lang w:eastAsia="zh-CN"/>
        </w:rPr>
        <w:t>(b)</w:t>
      </w:r>
      <w:r>
        <w:rPr>
          <w:lang w:eastAsia="zh-CN"/>
        </w:rPr>
        <w:t>勤勉尽责地监督交易团队执行丰盛融资就该上市申请进行的保荐人工作；及</w:t>
      </w:r>
      <w:r>
        <w:rPr>
          <w:lang w:eastAsia="zh-CN"/>
        </w:rPr>
        <w:t>(c)</w:t>
      </w:r>
      <w:r>
        <w:rPr>
          <w:lang w:eastAsia="zh-CN"/>
        </w:rPr>
        <w:t>确保丰盛融资维持适当的操守标准。</w:t>
      </w:r>
    </w:p>
    <w:p w:rsidR="00F42656" w:rsidRDefault="00FC4A82">
      <w:pPr>
        <w:pStyle w:val="BodyText"/>
        <w:rPr>
          <w:lang w:eastAsia="zh-CN"/>
        </w:rPr>
      </w:pPr>
      <w:r>
        <w:rPr>
          <w:lang w:eastAsia="zh-CN"/>
        </w:rPr>
        <w:t>证监会在达致对丰盛融资罚款</w:t>
      </w:r>
      <w:r>
        <w:rPr>
          <w:lang w:eastAsia="zh-CN"/>
        </w:rPr>
        <w:t>550</w:t>
      </w:r>
      <w:r>
        <w:rPr>
          <w:lang w:eastAsia="zh-CN"/>
        </w:rPr>
        <w:t>万港元及暂时吊销邓牌照</w:t>
      </w:r>
      <w:r>
        <w:rPr>
          <w:lang w:eastAsia="zh-CN"/>
        </w:rPr>
        <w:t>17</w:t>
      </w:r>
      <w:r>
        <w:rPr>
          <w:lang w:eastAsia="zh-CN"/>
        </w:rPr>
        <w:t>个月的决定时，已考虑到：</w:t>
      </w:r>
      <w:r>
        <w:rPr>
          <w:lang w:eastAsia="zh-CN"/>
        </w:rPr>
        <w:t>(a)</w:t>
      </w:r>
      <w:r>
        <w:rPr>
          <w:lang w:eastAsia="zh-CN"/>
        </w:rPr>
        <w:t>若保荐人的尽职审查</w:t>
      </w:r>
      <w:r>
        <w:rPr>
          <w:lang w:eastAsia="zh-CN"/>
        </w:rPr>
        <w:t>工作逊于标准，便可能导致事实上并不适合上市的公司获得上市地位；</w:t>
      </w:r>
      <w:r>
        <w:rPr>
          <w:lang w:eastAsia="zh-CN"/>
        </w:rPr>
        <w:t>(b)</w:t>
      </w:r>
      <w:r>
        <w:rPr>
          <w:lang w:eastAsia="zh-CN"/>
        </w:rPr>
        <w:t>由于该上市申请已失效，故并无对投资大众造成损害；</w:t>
      </w:r>
      <w:r>
        <w:rPr>
          <w:lang w:eastAsia="zh-CN"/>
        </w:rPr>
        <w:t>(c)</w:t>
      </w:r>
      <w:r>
        <w:rPr>
          <w:lang w:eastAsia="zh-CN"/>
        </w:rPr>
        <w:t>证监会过往向丰盛融资发出的两封合规意见函，理应令其提高警觉，知道有需要改善其尽职审查工作；</w:t>
      </w:r>
      <w:r>
        <w:rPr>
          <w:lang w:eastAsia="zh-CN"/>
        </w:rPr>
        <w:t>(d)</w:t>
      </w:r>
      <w:r>
        <w:rPr>
          <w:lang w:eastAsia="zh-CN"/>
        </w:rPr>
        <w:t>丰盛融资过往并无遭受证监会纪律处分的纪录；</w:t>
      </w:r>
      <w:r>
        <w:rPr>
          <w:lang w:eastAsia="zh-CN"/>
        </w:rPr>
        <w:t>(e)</w:t>
      </w:r>
      <w:r>
        <w:rPr>
          <w:lang w:eastAsia="zh-CN"/>
        </w:rPr>
        <w:t>丰盛融资的财务状况；及</w:t>
      </w:r>
      <w:r>
        <w:rPr>
          <w:lang w:eastAsia="zh-CN"/>
        </w:rPr>
        <w:t>(f)</w:t>
      </w:r>
      <w:r>
        <w:rPr>
          <w:lang w:eastAsia="zh-CN"/>
        </w:rPr>
        <w:t>丰盛融资及邓与证监会的合作。</w:t>
      </w:r>
    </w:p>
    <w:p w:rsidR="00F42656" w:rsidRDefault="00FC4A82">
      <w:pPr>
        <w:pStyle w:val="BodyText"/>
        <w:rPr>
          <w:lang w:eastAsia="zh-CN"/>
        </w:rPr>
      </w:pPr>
      <w:r>
        <w:rPr>
          <w:lang w:eastAsia="zh-CN"/>
        </w:rPr>
        <w:t>上诉审裁处确认证监会就保荐人尽职审查缺失对易顺达融资有限公司作出谴责及罚款的决定</w:t>
      </w:r>
    </w:p>
    <w:p w:rsidR="00F42656" w:rsidRDefault="00FC4A82">
      <w:pPr>
        <w:pStyle w:val="BodyText"/>
        <w:rPr>
          <w:lang w:eastAsia="zh-CN"/>
        </w:rPr>
      </w:pPr>
      <w:r>
        <w:rPr>
          <w:lang w:eastAsia="zh-CN"/>
        </w:rPr>
        <w:t>2021</w:t>
      </w:r>
      <w:r>
        <w:rPr>
          <w:lang w:eastAsia="zh-CN"/>
        </w:rPr>
        <w:t>年</w:t>
      </w:r>
      <w:r>
        <w:rPr>
          <w:lang w:eastAsia="zh-CN"/>
        </w:rPr>
        <w:t>10</w:t>
      </w:r>
      <w:r>
        <w:rPr>
          <w:lang w:eastAsia="zh-CN"/>
        </w:rPr>
        <w:t>月</w:t>
      </w:r>
      <w:r>
        <w:rPr>
          <w:lang w:eastAsia="zh-CN"/>
        </w:rPr>
        <w:t>19</w:t>
      </w:r>
      <w:r>
        <w:rPr>
          <w:lang w:eastAsia="zh-CN"/>
        </w:rPr>
        <w:t>日，证监会因易顺达融资于</w:t>
      </w:r>
      <w:r>
        <w:rPr>
          <w:lang w:eastAsia="zh-CN"/>
        </w:rPr>
        <w:t>2017</w:t>
      </w:r>
      <w:r>
        <w:rPr>
          <w:lang w:eastAsia="zh-CN"/>
        </w:rPr>
        <w:t>年担任御峰集团控股有限公司（</w:t>
      </w:r>
      <w:r>
        <w:rPr>
          <w:b/>
          <w:lang w:eastAsia="zh-CN"/>
        </w:rPr>
        <w:t>御峰集团</w:t>
      </w:r>
      <w:r>
        <w:rPr>
          <w:lang w:eastAsia="zh-CN"/>
        </w:rPr>
        <w:t>）的上市申请保荐人</w:t>
      </w:r>
      <w:r>
        <w:rPr>
          <w:lang w:eastAsia="zh-CN"/>
        </w:rPr>
        <w:t>期间未有履行其保荐人尽职审查职责，对该公司</w:t>
      </w:r>
      <w:hyperlink r:id="rId15">
        <w:r>
          <w:rPr>
            <w:lang w:eastAsia="zh-CN"/>
          </w:rPr>
          <w:t>作出谴责及罚款</w:t>
        </w:r>
        <w:r>
          <w:rPr>
            <w:lang w:eastAsia="zh-CN"/>
          </w:rPr>
          <w:t>300</w:t>
        </w:r>
        <w:r>
          <w:rPr>
            <w:lang w:eastAsia="zh-CN"/>
          </w:rPr>
          <w:t>万元</w:t>
        </w:r>
      </w:hyperlink>
      <w:r>
        <w:rPr>
          <w:lang w:eastAsia="zh-CN"/>
        </w:rPr>
        <w:t>。</w:t>
      </w:r>
      <w:hyperlink w:anchor="footnote-8693-10">
        <w:r>
          <w:rPr>
            <w:vertAlign w:val="superscript"/>
            <w:lang w:eastAsia="zh-CN"/>
          </w:rPr>
          <w:t>10</w:t>
        </w:r>
      </w:hyperlink>
      <w:r>
        <w:rPr>
          <w:lang w:eastAsia="zh-CN"/>
        </w:rPr>
        <w:t xml:space="preserve"> </w:t>
      </w:r>
      <w:r>
        <w:rPr>
          <w:lang w:eastAsia="zh-CN"/>
        </w:rPr>
        <w:t>证监会是在证券及期货事务上诉审裁处（</w:t>
      </w:r>
      <w:r>
        <w:rPr>
          <w:b/>
          <w:lang w:eastAsia="zh-CN"/>
        </w:rPr>
        <w:t>上诉审裁处</w:t>
      </w:r>
      <w:r>
        <w:rPr>
          <w:lang w:eastAsia="zh-CN"/>
        </w:rPr>
        <w:t>）复核其制裁易顺达融资的最初决定后，采取上述</w:t>
      </w:r>
      <w:hyperlink r:id="rId16">
        <w:r>
          <w:rPr>
            <w:lang w:eastAsia="zh-CN"/>
          </w:rPr>
          <w:t>纪律行动</w:t>
        </w:r>
      </w:hyperlink>
      <w:r>
        <w:rPr>
          <w:lang w:eastAsia="zh-CN"/>
        </w:rPr>
        <w:t>。</w:t>
      </w:r>
      <w:hyperlink w:anchor="footnote-8693-11">
        <w:r>
          <w:rPr>
            <w:vertAlign w:val="superscript"/>
            <w:lang w:eastAsia="zh-CN"/>
          </w:rPr>
          <w:t>11</w:t>
        </w:r>
      </w:hyperlink>
      <w:r>
        <w:rPr>
          <w:lang w:eastAsia="zh-CN"/>
        </w:rPr>
        <w:t xml:space="preserve"> </w:t>
      </w:r>
      <w:r>
        <w:rPr>
          <w:lang w:eastAsia="zh-CN"/>
        </w:rPr>
        <w:t>上诉审裁处维持证监会制裁易顺达融资的最初决定，但将最初罚款款额由</w:t>
      </w:r>
      <w:r>
        <w:rPr>
          <w:lang w:eastAsia="zh-CN"/>
        </w:rPr>
        <w:t>450</w:t>
      </w:r>
      <w:r>
        <w:rPr>
          <w:lang w:eastAsia="zh-CN"/>
        </w:rPr>
        <w:t>万港元下调至</w:t>
      </w:r>
      <w:r>
        <w:rPr>
          <w:lang w:eastAsia="zh-CN"/>
        </w:rPr>
        <w:t>300</w:t>
      </w:r>
      <w:r>
        <w:rPr>
          <w:lang w:eastAsia="zh-CN"/>
        </w:rPr>
        <w:t>万港元。</w:t>
      </w:r>
    </w:p>
    <w:p w:rsidR="00F42656" w:rsidRDefault="00FC4A82">
      <w:pPr>
        <w:pStyle w:val="BodyText"/>
        <w:rPr>
          <w:lang w:eastAsia="zh-CN"/>
        </w:rPr>
      </w:pPr>
      <w:r>
        <w:rPr>
          <w:lang w:eastAsia="zh-CN"/>
        </w:rPr>
        <w:t>御峰集团申请在联交所主板市场上市</w:t>
      </w:r>
    </w:p>
    <w:p w:rsidR="00F42656" w:rsidRDefault="00FC4A82">
      <w:pPr>
        <w:pStyle w:val="BodyText"/>
        <w:rPr>
          <w:lang w:eastAsia="zh-CN"/>
        </w:rPr>
      </w:pPr>
      <w:r>
        <w:rPr>
          <w:lang w:eastAsia="zh-CN"/>
        </w:rPr>
        <w:t>御峰集团从事商业地产咨询服务业务，主要业务运营以大陆的珠江三角洲为中心。</w:t>
      </w:r>
      <w:r>
        <w:rPr>
          <w:lang w:eastAsia="zh-CN"/>
        </w:rPr>
        <w:t>其主要收入来自项目咨询服务，</w:t>
      </w:r>
      <w:r>
        <w:rPr>
          <w:lang w:eastAsia="zh-CN"/>
        </w:rPr>
        <w:t>2016</w:t>
      </w:r>
      <w:r>
        <w:rPr>
          <w:lang w:eastAsia="zh-CN"/>
        </w:rPr>
        <w:t>年前</w:t>
      </w:r>
      <w:r>
        <w:rPr>
          <w:lang w:eastAsia="zh-CN"/>
        </w:rPr>
        <w:t>5</w:t>
      </w:r>
      <w:r>
        <w:rPr>
          <w:lang w:eastAsia="zh-CN"/>
        </w:rPr>
        <w:t>名客户为其带来的营收占其当年收入约</w:t>
      </w:r>
      <w:r>
        <w:rPr>
          <w:lang w:eastAsia="zh-CN"/>
        </w:rPr>
        <w:t>76%</w:t>
      </w:r>
      <w:r>
        <w:rPr>
          <w:lang w:eastAsia="zh-CN"/>
        </w:rPr>
        <w:t>。相比之下，其常规的一项收入来源房地产管理服务创收占其</w:t>
      </w:r>
      <w:r>
        <w:rPr>
          <w:lang w:eastAsia="zh-CN"/>
        </w:rPr>
        <w:t>2016</w:t>
      </w:r>
      <w:r>
        <w:rPr>
          <w:lang w:eastAsia="zh-CN"/>
        </w:rPr>
        <w:t>年收入的</w:t>
      </w:r>
      <w:r>
        <w:rPr>
          <w:lang w:eastAsia="zh-CN"/>
        </w:rPr>
        <w:t>1.1%</w:t>
      </w:r>
      <w:r>
        <w:rPr>
          <w:lang w:eastAsia="zh-CN"/>
        </w:rPr>
        <w:t>。叶域先生（</w:t>
      </w:r>
      <w:r>
        <w:rPr>
          <w:b/>
          <w:lang w:eastAsia="zh-CN"/>
        </w:rPr>
        <w:t>Aric Yip</w:t>
      </w:r>
      <w:r>
        <w:rPr>
          <w:lang w:eastAsia="zh-CN"/>
        </w:rPr>
        <w:t>）是御峰集团的创立者，董事会主席，常务董事及控股股东。</w:t>
      </w:r>
    </w:p>
    <w:p w:rsidR="00F42656" w:rsidRDefault="00FC4A82">
      <w:pPr>
        <w:pStyle w:val="BodyText"/>
        <w:rPr>
          <w:lang w:eastAsia="zh-CN"/>
        </w:rPr>
      </w:pPr>
      <w:r>
        <w:rPr>
          <w:lang w:eastAsia="zh-CN"/>
        </w:rPr>
        <w:t>2016</w:t>
      </w:r>
      <w:r>
        <w:rPr>
          <w:lang w:eastAsia="zh-CN"/>
        </w:rPr>
        <w:t>年</w:t>
      </w:r>
      <w:r>
        <w:rPr>
          <w:lang w:eastAsia="zh-CN"/>
        </w:rPr>
        <w:t>12</w:t>
      </w:r>
      <w:r>
        <w:rPr>
          <w:lang w:eastAsia="zh-CN"/>
        </w:rPr>
        <w:t>月，寻求在联交所主板上市的御峰集团委任易顺达融资（当时为兆邦基国际融资有限公司）</w:t>
      </w:r>
      <w:hyperlink w:anchor="footnote-8693-12">
        <w:r>
          <w:rPr>
            <w:vertAlign w:val="superscript"/>
            <w:lang w:eastAsia="zh-CN"/>
          </w:rPr>
          <w:t>12</w:t>
        </w:r>
      </w:hyperlink>
      <w:r>
        <w:rPr>
          <w:lang w:eastAsia="zh-CN"/>
        </w:rPr>
        <w:t>担任其独家保荐人。</w:t>
      </w:r>
      <w:r>
        <w:rPr>
          <w:lang w:eastAsia="zh-CN"/>
        </w:rPr>
        <w:t>2017</w:t>
      </w:r>
      <w:r>
        <w:rPr>
          <w:lang w:eastAsia="zh-CN"/>
        </w:rPr>
        <w:t>年</w:t>
      </w:r>
      <w:r>
        <w:rPr>
          <w:lang w:eastAsia="zh-CN"/>
        </w:rPr>
        <w:t>3</w:t>
      </w:r>
      <w:r>
        <w:rPr>
          <w:lang w:eastAsia="zh-CN"/>
        </w:rPr>
        <w:t>月御峰集团的上市申请呈交予联交所。该申请的审批过程引发了对有关财务问题的若干关注事项；尤其是，可能存在资金的循环流动。在与联交所交流的过程中，保荐人不能证明其已经就该等关注事项进行了合理的尽职审查。</w:t>
      </w:r>
    </w:p>
    <w:p w:rsidR="00F42656" w:rsidRDefault="00FC4A82">
      <w:pPr>
        <w:pStyle w:val="BodyText"/>
        <w:rPr>
          <w:lang w:eastAsia="zh-CN"/>
        </w:rPr>
      </w:pPr>
      <w:r>
        <w:rPr>
          <w:lang w:eastAsia="zh-CN"/>
        </w:rPr>
        <w:t>2020</w:t>
      </w:r>
      <w:r>
        <w:rPr>
          <w:lang w:eastAsia="zh-CN"/>
        </w:rPr>
        <w:t>年</w:t>
      </w:r>
      <w:r>
        <w:rPr>
          <w:lang w:eastAsia="zh-CN"/>
        </w:rPr>
        <w:t>1</w:t>
      </w:r>
      <w:r>
        <w:rPr>
          <w:lang w:eastAsia="zh-CN"/>
        </w:rPr>
        <w:t>月（当时上市申请已失效），证监会通知易顺达融资其打算基于以下</w:t>
      </w:r>
      <w:r>
        <w:rPr>
          <w:lang w:eastAsia="zh-CN"/>
        </w:rPr>
        <w:t>3</w:t>
      </w:r>
      <w:r>
        <w:rPr>
          <w:lang w:eastAsia="zh-CN"/>
        </w:rPr>
        <w:t>个主要争论方面因其未能未能履行其作为独家保荐人的合理尽职审查职责对其采取纪律行动：</w:t>
      </w:r>
    </w:p>
    <w:p w:rsidR="00F42656" w:rsidRDefault="00FC4A82" w:rsidP="00FC4A82">
      <w:pPr>
        <w:pStyle w:val="Compact"/>
        <w:numPr>
          <w:ilvl w:val="0"/>
          <w:numId w:val="9"/>
        </w:numPr>
        <w:jc w:val="left"/>
        <w:rPr>
          <w:lang w:eastAsia="zh-CN"/>
        </w:rPr>
      </w:pPr>
      <w:r>
        <w:rPr>
          <w:lang w:eastAsia="zh-CN"/>
        </w:rPr>
        <w:t>申请上市的前</w:t>
      </w:r>
      <w:r>
        <w:rPr>
          <w:lang w:eastAsia="zh-CN"/>
        </w:rPr>
        <w:t>3</w:t>
      </w:r>
      <w:r>
        <w:rPr>
          <w:lang w:eastAsia="zh-CN"/>
        </w:rPr>
        <w:t>年中，御峰集团收到的付款中有相当大比例的支付是由第三方代表债务人作出的。该类第三方付款数量庞大：该</w:t>
      </w:r>
      <w:r>
        <w:rPr>
          <w:lang w:eastAsia="zh-CN"/>
        </w:rPr>
        <w:t>3</w:t>
      </w:r>
      <w:r>
        <w:rPr>
          <w:lang w:eastAsia="zh-CN"/>
        </w:rPr>
        <w:t>年期间的前</w:t>
      </w:r>
      <w:r>
        <w:rPr>
          <w:lang w:eastAsia="zh-CN"/>
        </w:rPr>
        <w:t>2</w:t>
      </w:r>
      <w:r>
        <w:rPr>
          <w:lang w:eastAsia="zh-CN"/>
        </w:rPr>
        <w:t>年中，第三方支付超过御峰集团总收入的</w:t>
      </w:r>
      <w:r>
        <w:rPr>
          <w:lang w:eastAsia="zh-CN"/>
        </w:rPr>
        <w:t>50%</w:t>
      </w:r>
      <w:r>
        <w:rPr>
          <w:lang w:eastAsia="zh-CN"/>
        </w:rPr>
        <w:t>，第三年中约为其总收入的</w:t>
      </w:r>
      <w:r>
        <w:rPr>
          <w:lang w:eastAsia="zh-CN"/>
        </w:rPr>
        <w:t>40%</w:t>
      </w:r>
      <w:r>
        <w:rPr>
          <w:lang w:eastAsia="zh-CN"/>
        </w:rPr>
        <w:t>。由此，该类第三方支付近乎成为最主要的支付方式。证监会认为这一现象属相当不寻常，同时考虑到客户可能透过这一付款方法来掩饰资金最初来源，以便进行欺诈计划，证监会认为该类第三方付款安排须给予说明。然而，有证据显示该保荐人的交易团队仅进行了极为有限的查询。例如，牵涉入该类第三方付款的御峰集团主要客户均未就其为何参与该等安排接受质疑询问。</w:t>
      </w:r>
    </w:p>
    <w:p w:rsidR="00F42656" w:rsidRDefault="00FC4A82" w:rsidP="00FC4A82">
      <w:pPr>
        <w:pStyle w:val="Compact"/>
        <w:numPr>
          <w:ilvl w:val="0"/>
          <w:numId w:val="9"/>
        </w:numPr>
        <w:jc w:val="left"/>
      </w:pPr>
      <w:r>
        <w:rPr>
          <w:lang w:eastAsia="zh-CN"/>
        </w:rPr>
        <w:t>有两宗可疑交易显示存在资金循环流动的可能性。第一，代表一家第三方（</w:t>
      </w:r>
      <w:r>
        <w:rPr>
          <w:lang w:eastAsia="zh-CN"/>
        </w:rPr>
        <w:t>Guangdong Qitian</w:t>
      </w:r>
      <w:r>
        <w:rPr>
          <w:lang w:eastAsia="zh-CN"/>
        </w:rPr>
        <w:t>）行事</w:t>
      </w:r>
      <w:r>
        <w:rPr>
          <w:lang w:eastAsia="zh-CN"/>
        </w:rPr>
        <w:t>的公司代表一名主要客户向御峰集团支付了一笔为数人民币</w:t>
      </w:r>
      <w:r>
        <w:rPr>
          <w:lang w:eastAsia="zh-CN"/>
        </w:rPr>
        <w:t>230</w:t>
      </w:r>
      <w:r>
        <w:rPr>
          <w:lang w:eastAsia="zh-CN"/>
        </w:rPr>
        <w:t xml:space="preserve">万的款项。两日后，御峰集团向Guangdong </w:t>
      </w:r>
      <w:r>
        <w:rPr>
          <w:lang w:eastAsia="zh-CN"/>
        </w:rPr>
        <w:t>Qitian</w:t>
      </w:r>
      <w:r>
        <w:rPr>
          <w:lang w:eastAsia="zh-CN"/>
        </w:rPr>
        <w:t>付人民币</w:t>
      </w:r>
      <w:r>
        <w:rPr>
          <w:lang w:eastAsia="zh-CN"/>
        </w:rPr>
        <w:t>200</w:t>
      </w:r>
      <w:r>
        <w:rPr>
          <w:lang w:eastAsia="zh-CN"/>
        </w:rPr>
        <w:t>万作为</w:t>
      </w:r>
      <w:r>
        <w:rPr>
          <w:lang w:eastAsia="zh-CN"/>
        </w:rPr>
        <w:t>Aric Yip</w:t>
      </w:r>
      <w:r>
        <w:rPr>
          <w:lang w:eastAsia="zh-CN"/>
        </w:rPr>
        <w:t>垫付的私人贷款。第二，御峰集团向一家公司（</w:t>
      </w:r>
      <w:r>
        <w:rPr>
          <w:lang w:eastAsia="zh-CN"/>
        </w:rPr>
        <w:t>Guangzhou Chengzhi</w:t>
      </w:r>
      <w:r>
        <w:rPr>
          <w:lang w:eastAsia="zh-CN"/>
        </w:rPr>
        <w:t>）汇付了人民币</w:t>
      </w:r>
      <w:r>
        <w:rPr>
          <w:lang w:eastAsia="zh-CN"/>
        </w:rPr>
        <w:t>220</w:t>
      </w:r>
      <w:r>
        <w:rPr>
          <w:lang w:eastAsia="zh-CN"/>
        </w:rPr>
        <w:t>万作为</w:t>
      </w:r>
      <w:r>
        <w:rPr>
          <w:lang w:eastAsia="zh-CN"/>
        </w:rPr>
        <w:t>Aric Yip</w:t>
      </w:r>
      <w:r>
        <w:rPr>
          <w:lang w:eastAsia="zh-CN"/>
        </w:rPr>
        <w:t>向其垫付的私人贷款。同日，御峰集团的一名主要客户向御峰集团支付了一笔为数人民币</w:t>
      </w:r>
      <w:r>
        <w:rPr>
          <w:lang w:eastAsia="zh-CN"/>
        </w:rPr>
        <w:t>270</w:t>
      </w:r>
      <w:r>
        <w:rPr>
          <w:lang w:eastAsia="zh-CN"/>
        </w:rPr>
        <w:t>万的款项。</w:t>
      </w:r>
      <w:r>
        <w:t>Guangzhou Chengzhi</w:t>
      </w:r>
      <w:r>
        <w:t>及该主要客户的实益拥有人属同一人。</w:t>
      </w:r>
    </w:p>
    <w:p w:rsidR="00F42656" w:rsidRDefault="00FC4A82" w:rsidP="00FC4A82">
      <w:pPr>
        <w:pStyle w:val="Compact"/>
        <w:numPr>
          <w:ilvl w:val="0"/>
          <w:numId w:val="9"/>
        </w:numPr>
        <w:jc w:val="left"/>
        <w:rPr>
          <w:lang w:eastAsia="zh-CN"/>
        </w:rPr>
      </w:pPr>
      <w:r>
        <w:rPr>
          <w:lang w:eastAsia="zh-CN"/>
        </w:rPr>
        <w:t>在相同期间内，</w:t>
      </w:r>
      <w:r>
        <w:rPr>
          <w:lang w:eastAsia="zh-CN"/>
        </w:rPr>
        <w:t>Aric Yip</w:t>
      </w:r>
      <w:r>
        <w:rPr>
          <w:lang w:eastAsia="zh-CN"/>
        </w:rPr>
        <w:t>与多家「相熟公司」（其中有不少家一直与第三</w:t>
      </w:r>
      <w:r>
        <w:rPr>
          <w:lang w:eastAsia="zh-CN"/>
        </w:rPr>
        <w:t>方付款人有关连）订立了融资安排。有证据证明在截至</w:t>
      </w:r>
      <w:r>
        <w:rPr>
          <w:lang w:eastAsia="zh-CN"/>
        </w:rPr>
        <w:t>2014</w:t>
      </w:r>
      <w:r>
        <w:rPr>
          <w:lang w:eastAsia="zh-CN"/>
        </w:rPr>
        <w:t>年，</w:t>
      </w:r>
      <w:r>
        <w:rPr>
          <w:lang w:eastAsia="zh-CN"/>
        </w:rPr>
        <w:t>2015</w:t>
      </w:r>
      <w:r>
        <w:rPr>
          <w:lang w:eastAsia="zh-CN"/>
        </w:rPr>
        <w:t>年及</w:t>
      </w:r>
      <w:r>
        <w:rPr>
          <w:lang w:eastAsia="zh-CN"/>
        </w:rPr>
        <w:t>2016</w:t>
      </w:r>
      <w:r>
        <w:rPr>
          <w:lang w:eastAsia="zh-CN"/>
        </w:rPr>
        <w:t>年的会计年度中，</w:t>
      </w:r>
      <w:r>
        <w:rPr>
          <w:lang w:eastAsia="zh-CN"/>
        </w:rPr>
        <w:t>Aric Yip</w:t>
      </w:r>
      <w:r>
        <w:rPr>
          <w:lang w:eastAsia="zh-CN"/>
        </w:rPr>
        <w:t>分别提取了</w:t>
      </w:r>
      <w:r>
        <w:rPr>
          <w:lang w:eastAsia="zh-CN"/>
        </w:rPr>
        <w:t>630</w:t>
      </w:r>
      <w:r>
        <w:rPr>
          <w:lang w:eastAsia="zh-CN"/>
        </w:rPr>
        <w:t>万港元，</w:t>
      </w:r>
      <w:r>
        <w:rPr>
          <w:lang w:eastAsia="zh-CN"/>
        </w:rPr>
        <w:t>1650</w:t>
      </w:r>
      <w:r>
        <w:rPr>
          <w:lang w:eastAsia="zh-CN"/>
        </w:rPr>
        <w:t>万港元及</w:t>
      </w:r>
      <w:r>
        <w:rPr>
          <w:lang w:eastAsia="zh-CN"/>
        </w:rPr>
        <w:t>1880</w:t>
      </w:r>
      <w:r>
        <w:rPr>
          <w:lang w:eastAsia="zh-CN"/>
        </w:rPr>
        <w:t>万港元，同时截至</w:t>
      </w:r>
      <w:r>
        <w:rPr>
          <w:lang w:eastAsia="zh-CN"/>
        </w:rPr>
        <w:t>2017</w:t>
      </w:r>
      <w:r>
        <w:rPr>
          <w:lang w:eastAsia="zh-CN"/>
        </w:rPr>
        <w:t>年</w:t>
      </w:r>
      <w:r>
        <w:rPr>
          <w:lang w:eastAsia="zh-CN"/>
        </w:rPr>
        <w:t>1</w:t>
      </w:r>
      <w:r>
        <w:rPr>
          <w:lang w:eastAsia="zh-CN"/>
        </w:rPr>
        <w:t>月</w:t>
      </w:r>
      <w:r>
        <w:rPr>
          <w:lang w:eastAsia="zh-CN"/>
        </w:rPr>
        <w:t>31</w:t>
      </w:r>
      <w:r>
        <w:rPr>
          <w:lang w:eastAsia="zh-CN"/>
        </w:rPr>
        <w:t>日，</w:t>
      </w:r>
      <w:r>
        <w:rPr>
          <w:lang w:eastAsia="zh-CN"/>
        </w:rPr>
        <w:t>Aric Yip</w:t>
      </w:r>
      <w:r>
        <w:rPr>
          <w:lang w:eastAsia="zh-CN"/>
        </w:rPr>
        <w:t>额外提取了</w:t>
      </w:r>
      <w:r>
        <w:rPr>
          <w:lang w:eastAsia="zh-CN"/>
        </w:rPr>
        <w:t>3500</w:t>
      </w:r>
      <w:r>
        <w:rPr>
          <w:lang w:eastAsia="zh-CN"/>
        </w:rPr>
        <w:t>万港元。这些资金用于促成</w:t>
      </w:r>
      <w:r>
        <w:rPr>
          <w:lang w:eastAsia="zh-CN"/>
        </w:rPr>
        <w:t>Aric Yip</w:t>
      </w:r>
      <w:r>
        <w:rPr>
          <w:lang w:eastAsia="zh-CN"/>
        </w:rPr>
        <w:t>与</w:t>
      </w:r>
      <w:r>
        <w:rPr>
          <w:lang w:eastAsia="zh-CN"/>
        </w:rPr>
        <w:t>11</w:t>
      </w:r>
      <w:r>
        <w:rPr>
          <w:lang w:eastAsia="zh-CN"/>
        </w:rPr>
        <w:t>家相熟公司之间的融资安排（显然是用于贷款或者投资）。这些「相熟公司」公司中有一家向御峰集团进行了第三方支付。另一家与属御峰集团客户的一家公司关系密切（该家相熟公司的实益拥有人亦属该客户的实益拥有人）。</w:t>
      </w:r>
    </w:p>
    <w:p w:rsidR="00F42656" w:rsidRDefault="00FC4A82">
      <w:pPr>
        <w:pStyle w:val="FirstParagraph"/>
        <w:rPr>
          <w:lang w:eastAsia="zh-CN"/>
        </w:rPr>
      </w:pPr>
      <w:r>
        <w:rPr>
          <w:lang w:eastAsia="zh-CN"/>
        </w:rPr>
        <w:t>据证监会透露，招股章程草拟本并未</w:t>
      </w:r>
      <w:r>
        <w:rPr>
          <w:lang w:eastAsia="zh-CN"/>
        </w:rPr>
        <w:t>披露任何以上资料，这意味着如该招股章程已获批准，潜在投资者将不会知晓这些事项。因此证监会指称保荐人未能满足针对保荐人的监管规定：尤其是，证监会《操守准则》第</w:t>
      </w:r>
      <w:r>
        <w:rPr>
          <w:lang w:eastAsia="zh-CN"/>
        </w:rPr>
        <w:t>17.2 – 17.7</w:t>
      </w:r>
      <w:r>
        <w:rPr>
          <w:lang w:eastAsia="zh-CN"/>
        </w:rPr>
        <w:t>段及《上市规则</w:t>
      </w:r>
      <w:r>
        <w:rPr>
          <w:lang w:eastAsia="zh-CN"/>
        </w:rPr>
        <w:t>&lt;</w:t>
      </w:r>
      <w:r>
        <w:rPr>
          <w:lang w:eastAsia="zh-CN"/>
        </w:rPr>
        <w:t>第</w:t>
      </w:r>
      <w:r>
        <w:rPr>
          <w:lang w:eastAsia="zh-CN"/>
        </w:rPr>
        <w:t>21</w:t>
      </w:r>
      <w:r>
        <w:rPr>
          <w:lang w:eastAsia="zh-CN"/>
        </w:rPr>
        <w:t>项应用指引</w:t>
      </w:r>
      <w:r>
        <w:rPr>
          <w:lang w:eastAsia="zh-CN"/>
        </w:rPr>
        <w:t>&gt;</w:t>
      </w:r>
      <w:r>
        <w:rPr>
          <w:lang w:eastAsia="zh-CN"/>
        </w:rPr>
        <w:t>》（保荐人就首次上市申请进行的尽职审查）。</w:t>
      </w:r>
    </w:p>
    <w:p w:rsidR="00F42656" w:rsidRDefault="00FC4A82">
      <w:pPr>
        <w:pStyle w:val="BodyText"/>
        <w:rPr>
          <w:lang w:eastAsia="zh-CN"/>
        </w:rPr>
      </w:pPr>
      <w:r>
        <w:rPr>
          <w:lang w:eastAsia="zh-CN"/>
        </w:rPr>
        <w:t>证监会亦认为该保荐人已违反证监会《操守准则》及证监会《企业融资顾问操守准则》的其他条文。</w:t>
      </w:r>
    </w:p>
    <w:p w:rsidR="00F42656" w:rsidRDefault="00FC4A82">
      <w:pPr>
        <w:pStyle w:val="BodyText"/>
        <w:rPr>
          <w:lang w:eastAsia="zh-CN"/>
        </w:rPr>
      </w:pPr>
      <w:r>
        <w:rPr>
          <w:lang w:eastAsia="zh-CN"/>
        </w:rPr>
        <w:t>2020</w:t>
      </w:r>
      <w:r>
        <w:rPr>
          <w:lang w:eastAsia="zh-CN"/>
        </w:rPr>
        <w:t>年</w:t>
      </w:r>
      <w:r>
        <w:rPr>
          <w:lang w:eastAsia="zh-CN"/>
        </w:rPr>
        <w:t>6</w:t>
      </w:r>
      <w:r>
        <w:rPr>
          <w:lang w:eastAsia="zh-CN"/>
        </w:rPr>
        <w:t>月，证监会作出其最终裁定。其发现易顺达融资犯失当行为，不属能继续获证监会发牌的适当人选。</w:t>
      </w:r>
      <w:hyperlink w:anchor="footnote-8693-13">
        <w:r>
          <w:rPr>
            <w:vertAlign w:val="superscript"/>
            <w:lang w:eastAsia="zh-CN"/>
          </w:rPr>
          <w:t>13</w:t>
        </w:r>
      </w:hyperlink>
      <w:r>
        <w:rPr>
          <w:lang w:eastAsia="zh-CN"/>
        </w:rPr>
        <w:t xml:space="preserve"> </w:t>
      </w:r>
      <w:r>
        <w:rPr>
          <w:lang w:eastAsia="zh-CN"/>
        </w:rPr>
        <w:t>其还公开谴责了易顺达融资并根据《证券及期货条例》第</w:t>
      </w:r>
      <w:r>
        <w:rPr>
          <w:lang w:eastAsia="zh-CN"/>
        </w:rPr>
        <w:t>194</w:t>
      </w:r>
      <w:r>
        <w:rPr>
          <w:lang w:eastAsia="zh-CN"/>
        </w:rPr>
        <w:t>条规定对其处以罚款</w:t>
      </w:r>
      <w:r>
        <w:rPr>
          <w:lang w:eastAsia="zh-CN"/>
        </w:rPr>
        <w:t>450</w:t>
      </w:r>
      <w:r>
        <w:rPr>
          <w:lang w:eastAsia="zh-CN"/>
        </w:rPr>
        <w:t>万港元。</w:t>
      </w:r>
    </w:p>
    <w:p w:rsidR="00F42656" w:rsidRDefault="00FC4A82">
      <w:pPr>
        <w:pStyle w:val="BodyText"/>
        <w:rPr>
          <w:lang w:eastAsia="zh-CN"/>
        </w:rPr>
      </w:pPr>
      <w:r>
        <w:rPr>
          <w:lang w:eastAsia="zh-CN"/>
        </w:rPr>
        <w:t>证监会亦因易顺达融资前负责人员，保荐人主要人员兼行政总裁</w:t>
      </w:r>
      <w:hyperlink r:id="rId17">
        <w:r>
          <w:rPr>
            <w:lang w:eastAsia="zh-CN"/>
          </w:rPr>
          <w:t>冼易（男）</w:t>
        </w:r>
      </w:hyperlink>
      <w:hyperlink w:anchor="footnote-8693-14">
        <w:r>
          <w:rPr>
            <w:vertAlign w:val="superscript"/>
            <w:lang w:eastAsia="zh-CN"/>
          </w:rPr>
          <w:t>14</w:t>
        </w:r>
      </w:hyperlink>
      <w:r>
        <w:rPr>
          <w:lang w:eastAsia="zh-CN"/>
        </w:rPr>
        <w:t>违反证监会《操守准则》及《适用于申请或继续以保荐人和合规顾问身分行事的法团及认可财务机构的额外适当人选指引》（</w:t>
      </w:r>
      <w:r>
        <w:rPr>
          <w:b/>
          <w:lang w:eastAsia="zh-CN"/>
        </w:rPr>
        <w:t>保荐人指引</w:t>
      </w:r>
      <w:r>
        <w:rPr>
          <w:lang w:eastAsia="zh-CN"/>
        </w:rPr>
        <w:t>）而禁止他重投业界，为期</w:t>
      </w:r>
      <w:r>
        <w:rPr>
          <w:lang w:eastAsia="zh-CN"/>
        </w:rPr>
        <w:t>20</w:t>
      </w:r>
      <w:r>
        <w:rPr>
          <w:lang w:eastAsia="zh-CN"/>
        </w:rPr>
        <w:t>个月，由</w:t>
      </w:r>
      <w:r>
        <w:rPr>
          <w:lang w:eastAsia="zh-CN"/>
        </w:rPr>
        <w:t xml:space="preserve"> 2020</w:t>
      </w:r>
      <w:r>
        <w:rPr>
          <w:lang w:eastAsia="zh-CN"/>
        </w:rPr>
        <w:t>年</w:t>
      </w:r>
      <w:r>
        <w:rPr>
          <w:lang w:eastAsia="zh-CN"/>
        </w:rPr>
        <w:t>9</w:t>
      </w:r>
      <w:r>
        <w:rPr>
          <w:lang w:eastAsia="zh-CN"/>
        </w:rPr>
        <w:t>月</w:t>
      </w:r>
      <w:r>
        <w:rPr>
          <w:lang w:eastAsia="zh-CN"/>
        </w:rPr>
        <w:t>15</w:t>
      </w:r>
      <w:r>
        <w:rPr>
          <w:lang w:eastAsia="zh-CN"/>
        </w:rPr>
        <w:t>日至</w:t>
      </w:r>
      <w:r>
        <w:rPr>
          <w:lang w:eastAsia="zh-CN"/>
        </w:rPr>
        <w:t xml:space="preserve"> 2022</w:t>
      </w:r>
      <w:r>
        <w:rPr>
          <w:lang w:eastAsia="zh-CN"/>
        </w:rPr>
        <w:t>年</w:t>
      </w:r>
      <w:r>
        <w:rPr>
          <w:lang w:eastAsia="zh-CN"/>
        </w:rPr>
        <w:t>5</w:t>
      </w:r>
      <w:r>
        <w:rPr>
          <w:lang w:eastAsia="zh-CN"/>
        </w:rPr>
        <w:t>月</w:t>
      </w:r>
      <w:r>
        <w:rPr>
          <w:lang w:eastAsia="zh-CN"/>
        </w:rPr>
        <w:t>14</w:t>
      </w:r>
      <w:r>
        <w:rPr>
          <w:lang w:eastAsia="zh-CN"/>
        </w:rPr>
        <w:t>日止。证监会发现，冼没有履行其作为易顺达的保荐人主要人员、负责人员兼高级管理人员的职责，原因是他没有：以适当的技能、小心审慎和勤勉尽责的态度处理这项上市申请；勤勉尽责地监督其下属执行保荐人工作；及确保易顺达融资维持适当的操守标准。</w:t>
      </w:r>
    </w:p>
    <w:p w:rsidR="00F42656" w:rsidRDefault="00FC4A82">
      <w:pPr>
        <w:pStyle w:val="BodyText"/>
        <w:rPr>
          <w:lang w:eastAsia="zh-CN"/>
        </w:rPr>
      </w:pPr>
      <w:r>
        <w:rPr>
          <w:lang w:eastAsia="zh-CN"/>
        </w:rPr>
        <w:t>证监会对保荐人的起诉</w:t>
      </w:r>
    </w:p>
    <w:p w:rsidR="00F42656" w:rsidRDefault="00FC4A82">
      <w:pPr>
        <w:pStyle w:val="BodyText"/>
        <w:rPr>
          <w:lang w:eastAsia="zh-CN"/>
        </w:rPr>
      </w:pPr>
      <w:r>
        <w:rPr>
          <w:lang w:eastAsia="zh-CN"/>
        </w:rPr>
        <w:t>香港证监会担心的是，作为唯一</w:t>
      </w:r>
      <w:r>
        <w:rPr>
          <w:lang w:eastAsia="zh-CN"/>
        </w:rPr>
        <w:t>保荐人的易顺达资本，是否对其面临的财务问题进行了所有合理的尽职调查。香港证监会没有指控第三方付款是虚假的或具有欺诈性的。相反，问题在于是否存在资金循环流动的合理风险，从而要求保荐人在进行尽职审查时进行更深入的调查。证监会表示，在特定情况下，保荐人履行证监会《操守准则》规定的尽职审查义务，要求其更深入地调查第三方付款问题。证监会认为，保荐人必须了解和审慎评估付款的理由，并了解第三方付款人和御峰集团的客户之间的关系。</w:t>
      </w:r>
      <w:r>
        <w:rPr>
          <w:lang w:eastAsia="zh-CN"/>
        </w:rPr>
        <w:t xml:space="preserve"> </w:t>
      </w:r>
      <w:r>
        <w:rPr>
          <w:lang w:eastAsia="zh-CN"/>
        </w:rPr>
        <w:t>香港证监会承认，在进行了此类尽职审查后，易顺达资本可能会得出这样的结论：不存在资金循环流动，或</w:t>
      </w:r>
      <w:r>
        <w:rPr>
          <w:lang w:eastAsia="zh-CN"/>
        </w:rPr>
        <w:t>者这种流动是正当的。但易顺达资本未能进行合理的尽职审查，违反了其作为保荐人的义务。</w:t>
      </w:r>
    </w:p>
    <w:p w:rsidR="00F42656" w:rsidRDefault="00FC4A82">
      <w:pPr>
        <w:pStyle w:val="BodyText"/>
        <w:rPr>
          <w:lang w:eastAsia="zh-CN"/>
        </w:rPr>
      </w:pPr>
      <w:r>
        <w:rPr>
          <w:lang w:eastAsia="zh-CN"/>
        </w:rPr>
        <w:t>香港证监会还坚称，易顺达资本肯定知道，第三方付款及其他关联交易的问题会引起关注，因为招股说明书草拟稿已安排了几段篇幅来处理这一问题。这表明保荐人没有调查引起关注的问题，而仅仅依赖御峰集团代表的几段概括性陈述。基于此，证监会发现该保荐人违反了证监会《操守准则》。</w:t>
      </w:r>
    </w:p>
    <w:p w:rsidR="00F42656" w:rsidRDefault="00FC4A82">
      <w:pPr>
        <w:pStyle w:val="BodyText"/>
        <w:rPr>
          <w:lang w:eastAsia="zh-CN"/>
        </w:rPr>
      </w:pPr>
      <w:r>
        <w:rPr>
          <w:lang w:eastAsia="zh-CN"/>
        </w:rPr>
        <w:t>保荐人上诉至上诉审裁处</w:t>
      </w:r>
    </w:p>
    <w:p w:rsidR="00F42656" w:rsidRDefault="00FC4A82">
      <w:pPr>
        <w:pStyle w:val="BodyText"/>
        <w:rPr>
          <w:lang w:eastAsia="zh-CN"/>
        </w:rPr>
      </w:pPr>
      <w:r>
        <w:rPr>
          <w:lang w:eastAsia="zh-CN"/>
        </w:rPr>
        <w:t>2020</w:t>
      </w:r>
      <w:r>
        <w:rPr>
          <w:lang w:eastAsia="zh-CN"/>
        </w:rPr>
        <w:t>年</w:t>
      </w:r>
      <w:r>
        <w:rPr>
          <w:lang w:eastAsia="zh-CN"/>
        </w:rPr>
        <w:t>7</w:t>
      </w:r>
      <w:r>
        <w:rPr>
          <w:lang w:eastAsia="zh-CN"/>
        </w:rPr>
        <w:t>月，易顺达资本要求对香港证监会的决定进行复核。</w:t>
      </w:r>
    </w:p>
    <w:p w:rsidR="00F42656" w:rsidRDefault="00FC4A82">
      <w:pPr>
        <w:pStyle w:val="BodyText"/>
        <w:rPr>
          <w:lang w:eastAsia="zh-CN"/>
        </w:rPr>
      </w:pPr>
      <w:r>
        <w:rPr>
          <w:lang w:eastAsia="zh-CN"/>
        </w:rPr>
        <w:t>保荐人就证监会对于该公司未能进行所有合理的尽职审查的调查结果提出异议。这种性质的第</w:t>
      </w:r>
      <w:r>
        <w:rPr>
          <w:lang w:eastAsia="zh-CN"/>
        </w:rPr>
        <w:t>三方付款在中国存在。此前在交易所成功上市的多家公司都曾出现过第三方付款的情况，尽管这些情况没有目前这种情况那么广泛。关于第三方付款并非偶然，而是占主导地位的事实，保荐人的律师强调，证监会并没有指控或有任何证据表明第三方付款是虚构或欺诈的。保荐人认为对第三方付款理由的调查无关紧要。由于有人认为第三方付款是为了制造御峰集团的收入高于实际收入的假象，这纯粹是一种猜测，因此不值得进行广泛调查。</w:t>
      </w:r>
    </w:p>
    <w:p w:rsidR="00F42656" w:rsidRDefault="00FC4A82">
      <w:pPr>
        <w:pStyle w:val="BodyText"/>
        <w:rPr>
          <w:lang w:eastAsia="zh-CN"/>
        </w:rPr>
      </w:pPr>
      <w:r>
        <w:rPr>
          <w:lang w:eastAsia="zh-CN"/>
        </w:rPr>
        <w:t>对于这两宗可疑交易，易顺达资本表示，这两宗交易本身没有任何可疑之处，任何涉及精心安排的资金流动计划的迹象纯属猜测。</w:t>
      </w:r>
    </w:p>
    <w:p w:rsidR="00F42656" w:rsidRDefault="00FC4A82">
      <w:pPr>
        <w:pStyle w:val="BodyText"/>
        <w:rPr>
          <w:lang w:eastAsia="zh-CN"/>
        </w:rPr>
      </w:pPr>
      <w:r>
        <w:rPr>
          <w:lang w:eastAsia="zh-CN"/>
        </w:rPr>
        <w:t>至于</w:t>
      </w:r>
      <w:r>
        <w:rPr>
          <w:lang w:eastAsia="zh-CN"/>
        </w:rPr>
        <w:t>A</w:t>
      </w:r>
      <w:r>
        <w:rPr>
          <w:lang w:eastAsia="zh-CN"/>
        </w:rPr>
        <w:t>ric Yip</w:t>
      </w:r>
      <w:r>
        <w:rPr>
          <w:lang w:eastAsia="zh-CN"/>
        </w:rPr>
        <w:t>与</w:t>
      </w:r>
      <w:r>
        <w:rPr>
          <w:lang w:eastAsia="zh-CN"/>
        </w:rPr>
        <w:t>11</w:t>
      </w:r>
      <w:r>
        <w:rPr>
          <w:lang w:eastAsia="zh-CN"/>
        </w:rPr>
        <w:t>家相熟公司之间的融资安排，易顺达资本宣称他们透露了细节，保荐人的尽职审查工作呈交至香港证监会。只要提款恰当地计入公司账目，就不会引起关注。保荐人声称，由于它已查明这些融资安排的真实性和存在性，它不需要进行任何进一步的调查</w:t>
      </w:r>
      <w:r>
        <w:rPr>
          <w:lang w:eastAsia="zh-CN"/>
        </w:rPr>
        <w:t xml:space="preserve"> </w:t>
      </w:r>
      <w:r>
        <w:rPr>
          <w:lang w:eastAsia="zh-CN"/>
        </w:rPr>
        <w:t>。</w:t>
      </w:r>
    </w:p>
    <w:p w:rsidR="00F42656" w:rsidRDefault="00FC4A82">
      <w:pPr>
        <w:pStyle w:val="BodyText"/>
        <w:rPr>
          <w:lang w:eastAsia="zh-CN"/>
        </w:rPr>
      </w:pPr>
      <w:r>
        <w:rPr>
          <w:lang w:eastAsia="zh-CN"/>
        </w:rPr>
        <w:t>上诉审裁处的决定</w:t>
      </w:r>
    </w:p>
    <w:p w:rsidR="00F42656" w:rsidRDefault="00FC4A82">
      <w:pPr>
        <w:pStyle w:val="BodyText"/>
        <w:rPr>
          <w:lang w:eastAsia="zh-CN"/>
        </w:rPr>
      </w:pPr>
      <w:r>
        <w:rPr>
          <w:lang w:eastAsia="zh-CN"/>
        </w:rPr>
        <w:t>上诉审裁处的审议意见</w:t>
      </w:r>
    </w:p>
    <w:p w:rsidR="00F42656" w:rsidRDefault="00FC4A82">
      <w:pPr>
        <w:pStyle w:val="BodyText"/>
        <w:rPr>
          <w:lang w:eastAsia="zh-CN"/>
        </w:rPr>
      </w:pPr>
      <w:r>
        <w:rPr>
          <w:lang w:eastAsia="zh-CN"/>
        </w:rPr>
        <w:t>在提及</w:t>
      </w:r>
      <w:hyperlink r:id="rId18">
        <w:r>
          <w:rPr>
            <w:i/>
            <w:lang w:eastAsia="zh-CN"/>
          </w:rPr>
          <w:t>新鸿基国际有限公司诉证监会一案的裁定</w:t>
        </w:r>
      </w:hyperlink>
      <w:hyperlink w:anchor="footnote-8693-15">
        <w:r>
          <w:rPr>
            <w:vertAlign w:val="superscript"/>
            <w:lang w:eastAsia="zh-CN"/>
          </w:rPr>
          <w:t>15</w:t>
        </w:r>
      </w:hyperlink>
      <w:r>
        <w:rPr>
          <w:lang w:eastAsia="zh-CN"/>
        </w:rPr>
        <w:t>时，上诉审裁处指出，保荐人最重要的义务就是确保向交易所和投资者提供的所有资料普遍都是</w:t>
      </w:r>
      <w:r>
        <w:rPr>
          <w:lang w:eastAsia="zh-CN"/>
        </w:rPr>
        <w:t>“</w:t>
      </w:r>
      <w:r>
        <w:rPr>
          <w:i/>
          <w:lang w:eastAsia="zh-CN"/>
        </w:rPr>
        <w:t>充分、公平和准确地呈现</w:t>
      </w:r>
      <w:r>
        <w:rPr>
          <w:lang w:eastAsia="zh-CN"/>
        </w:rPr>
        <w:t>”</w:t>
      </w:r>
      <w:r>
        <w:rPr>
          <w:lang w:eastAsia="zh-CN"/>
        </w:rPr>
        <w:t>。上诉审裁处重申，保荐人在评估上市申请人代表提出的申述时，必须采取专业怀疑的态度。特别是，如果保荐人意识到申请人提供的资料可能不可靠或表明潜在的问题或风险，保荐人需要对使人怀疑代表陈述的可靠性的资料保持警觉及需要进行额外的尽职审查。在力图核实似乎有问题的资料时，不过分地依赖管理层的陈述，特别是平淡无奇和缺乏细节的陈述，如果未做到以上几点，就不能被认</w:t>
      </w:r>
      <w:r>
        <w:rPr>
          <w:lang w:eastAsia="zh-CN"/>
        </w:rPr>
        <w:t>为是合理的尽职审查。</w:t>
      </w:r>
    </w:p>
    <w:p w:rsidR="00F42656" w:rsidRDefault="00FC4A82">
      <w:pPr>
        <w:pStyle w:val="BodyText"/>
        <w:rPr>
          <w:lang w:eastAsia="zh-CN"/>
        </w:rPr>
      </w:pPr>
      <w:r>
        <w:rPr>
          <w:lang w:eastAsia="zh-CN"/>
        </w:rPr>
        <w:t>上诉审裁处考虑以下几个方面：</w:t>
      </w:r>
    </w:p>
    <w:p w:rsidR="00F42656" w:rsidRDefault="00FC4A82">
      <w:pPr>
        <w:pStyle w:val="Compact"/>
        <w:numPr>
          <w:ilvl w:val="0"/>
          <w:numId w:val="10"/>
        </w:numPr>
        <w:rPr>
          <w:lang w:eastAsia="zh-CN"/>
        </w:rPr>
      </w:pPr>
      <w:r>
        <w:rPr>
          <w:lang w:eastAsia="zh-CN"/>
        </w:rPr>
        <w:t>如果保荐人的交易团队认为第三方付款问题十分重要，可以在招股说明书草拟稿中进行标记，之后它一定应该认为这一问题十分重要，有必要进行适当的核查</w:t>
      </w:r>
      <w:r>
        <w:rPr>
          <w:lang w:eastAsia="zh-CN"/>
        </w:rPr>
        <w:t xml:space="preserve"> </w:t>
      </w:r>
      <w:r>
        <w:rPr>
          <w:lang w:eastAsia="zh-CN"/>
        </w:rPr>
        <w:t>；</w:t>
      </w:r>
    </w:p>
    <w:p w:rsidR="00F42656" w:rsidRDefault="00FC4A82">
      <w:pPr>
        <w:pStyle w:val="Compact"/>
        <w:numPr>
          <w:ilvl w:val="0"/>
          <w:numId w:val="10"/>
        </w:numPr>
        <w:rPr>
          <w:lang w:eastAsia="zh-CN"/>
        </w:rPr>
      </w:pPr>
      <w:r>
        <w:rPr>
          <w:lang w:eastAsia="zh-CN"/>
        </w:rPr>
        <w:t>如果继续进行上市，就会有真正的风险引起市场的关注，因为间接支付形式是主要的支付形式；</w:t>
      </w:r>
    </w:p>
    <w:p w:rsidR="00F42656" w:rsidRDefault="00FC4A82">
      <w:pPr>
        <w:pStyle w:val="Compact"/>
        <w:numPr>
          <w:ilvl w:val="0"/>
          <w:numId w:val="10"/>
        </w:numPr>
        <w:rPr>
          <w:lang w:eastAsia="zh-CN"/>
        </w:rPr>
      </w:pPr>
      <w:r>
        <w:rPr>
          <w:lang w:eastAsia="zh-CN"/>
        </w:rPr>
        <w:t xml:space="preserve">如果将第三方付款与Aric </w:t>
      </w:r>
      <w:r>
        <w:rPr>
          <w:lang w:eastAsia="zh-CN"/>
        </w:rPr>
        <w:t>Yip</w:t>
      </w:r>
      <w:r>
        <w:rPr>
          <w:lang w:eastAsia="zh-CN"/>
        </w:rPr>
        <w:t>支付在商业上的相熟公司的预付款以及这两笔可疑交易结合起来看，可能会出现这样的问题：为什么在没有对第三方付款进行充分和明确解释的情况下，允许上市。</w:t>
      </w:r>
    </w:p>
    <w:p w:rsidR="00F42656" w:rsidRDefault="00FC4A82">
      <w:pPr>
        <w:pStyle w:val="FirstParagraph"/>
        <w:rPr>
          <w:lang w:eastAsia="zh-CN"/>
        </w:rPr>
      </w:pPr>
      <w:r>
        <w:rPr>
          <w:lang w:eastAsia="zh-CN"/>
        </w:rPr>
        <w:t>上诉审裁处指出，招股说明书草拟稿没有提到这样一种</w:t>
      </w:r>
      <w:r>
        <w:rPr>
          <w:lang w:eastAsia="zh-CN"/>
        </w:rPr>
        <w:t>可能性，即广泛的第三方付款可能表明存在某种形式的循环现金流，其目的是制造出比实际情况更高的商业周转率的假象。上诉审裁处感到奇怪的是，尽管这是香港证监会的主要担忧，但它似乎并未引起易顺达资本交易团队的担忧。</w:t>
      </w:r>
    </w:p>
    <w:p w:rsidR="00F42656" w:rsidRDefault="00FC4A82">
      <w:pPr>
        <w:pStyle w:val="BodyText"/>
        <w:rPr>
          <w:lang w:eastAsia="zh-CN"/>
        </w:rPr>
      </w:pPr>
      <w:r>
        <w:rPr>
          <w:lang w:eastAsia="zh-CN"/>
        </w:rPr>
        <w:t>IPO</w:t>
      </w:r>
      <w:r>
        <w:rPr>
          <w:lang w:eastAsia="zh-CN"/>
        </w:rPr>
        <w:t>保荐人未能就第三方付款进行尽职审查</w:t>
      </w:r>
    </w:p>
    <w:p w:rsidR="00F42656" w:rsidRDefault="00FC4A82">
      <w:pPr>
        <w:pStyle w:val="BodyText"/>
        <w:rPr>
          <w:lang w:eastAsia="zh-CN"/>
        </w:rPr>
      </w:pPr>
      <w:r>
        <w:rPr>
          <w:lang w:eastAsia="zh-CN"/>
        </w:rPr>
        <w:t>该保荐人声称，此前曾有在招股说明书中披露收到第三方付款的公司成功在香港交易所上市；然而，上诉审裁处表示，证监会从未说过永远不应该以怀疑的眼光看待第三方付款。相反，香港证监会认为，从表面上看，这种占主导地位的做法显然不只是随机的商业偶然事件。有一种模式是，人们要求其</w:t>
      </w:r>
      <w:r>
        <w:rPr>
          <w:lang w:eastAsia="zh-CN"/>
        </w:rPr>
        <w:t>他人进行第三方付款，这就引发了一个问题，即间接支付的理由。上诉审裁处认为仅仅说明第三方付款的事实是不够的。</w:t>
      </w:r>
      <w:r>
        <w:rPr>
          <w:lang w:eastAsia="zh-CN"/>
        </w:rPr>
        <w:t xml:space="preserve"> </w:t>
      </w:r>
      <w:r>
        <w:rPr>
          <w:lang w:eastAsia="zh-CN"/>
        </w:rPr>
        <w:t>在这种情况下，要进行合理的尽职审查，就需要对间接付款的理由作出解释。</w:t>
      </w:r>
    </w:p>
    <w:p w:rsidR="00F42656" w:rsidRDefault="00FC4A82">
      <w:pPr>
        <w:pStyle w:val="BodyText"/>
        <w:rPr>
          <w:lang w:eastAsia="zh-CN"/>
        </w:rPr>
      </w:pPr>
      <w:r>
        <w:rPr>
          <w:lang w:eastAsia="zh-CN"/>
        </w:rPr>
        <w:t>保荐人还提出，它可以依赖会计师的报告，该报告证实财务报表真实和公正地反映了御峰集团的财务状况。</w:t>
      </w:r>
      <w:r>
        <w:rPr>
          <w:lang w:eastAsia="zh-CN"/>
        </w:rPr>
        <w:t xml:space="preserve"> </w:t>
      </w:r>
      <w:r>
        <w:rPr>
          <w:lang w:eastAsia="zh-CN"/>
        </w:rPr>
        <w:t>然而，上诉审裁处指出，会计师的报告并没有试图解释财务状况是如何产生的，保荐人也不能基于汇报会计师没有发现任何需要对报告进行审查的基础上对该问题置之不理。</w:t>
      </w:r>
    </w:p>
    <w:p w:rsidR="00F42656" w:rsidRDefault="00FC4A82">
      <w:pPr>
        <w:pStyle w:val="BodyText"/>
        <w:rPr>
          <w:lang w:eastAsia="zh-CN"/>
        </w:rPr>
      </w:pPr>
      <w:r>
        <w:rPr>
          <w:lang w:eastAsia="zh-CN"/>
        </w:rPr>
        <w:t>香港证监会获得的证据进一步显示，在</w:t>
      </w:r>
      <w:r>
        <w:rPr>
          <w:lang w:eastAsia="zh-CN"/>
        </w:rPr>
        <w:t>23</w:t>
      </w:r>
      <w:r>
        <w:rPr>
          <w:lang w:eastAsia="zh-CN"/>
        </w:rPr>
        <w:t>家代表</w:t>
      </w:r>
      <w:r>
        <w:rPr>
          <w:lang w:eastAsia="zh-CN"/>
        </w:rPr>
        <w:t>18</w:t>
      </w:r>
      <w:r>
        <w:rPr>
          <w:lang w:eastAsia="zh-CN"/>
        </w:rPr>
        <w:t>名客户付款的第三方支付机构中，易顺达</w:t>
      </w:r>
      <w:r>
        <w:rPr>
          <w:lang w:eastAsia="zh-CN"/>
        </w:rPr>
        <w:t>资本只会见了</w:t>
      </w:r>
      <w:r>
        <w:rPr>
          <w:lang w:eastAsia="zh-CN"/>
        </w:rPr>
        <w:t>7</w:t>
      </w:r>
      <w:r>
        <w:rPr>
          <w:lang w:eastAsia="zh-CN"/>
        </w:rPr>
        <w:t>家。</w:t>
      </w:r>
      <w:r>
        <w:rPr>
          <w:lang w:eastAsia="zh-CN"/>
        </w:rPr>
        <w:t xml:space="preserve"> </w:t>
      </w:r>
      <w:r>
        <w:rPr>
          <w:lang w:eastAsia="zh-CN"/>
        </w:rPr>
        <w:t>虽然它会见了</w:t>
      </w:r>
      <w:r>
        <w:rPr>
          <w:lang w:eastAsia="zh-CN"/>
        </w:rPr>
        <w:t>10</w:t>
      </w:r>
      <w:r>
        <w:rPr>
          <w:lang w:eastAsia="zh-CN"/>
        </w:rPr>
        <w:t>个通过第三方付款的主要客户，但没有一个主要客户被问及第三方付款。七笔第三方付款是根据</w:t>
      </w:r>
      <w:r>
        <w:rPr>
          <w:lang w:eastAsia="zh-CN"/>
        </w:rPr>
        <w:t>“</w:t>
      </w:r>
      <w:r>
        <w:rPr>
          <w:lang w:eastAsia="zh-CN"/>
        </w:rPr>
        <w:t>私人安排</w:t>
      </w:r>
      <w:r>
        <w:rPr>
          <w:lang w:eastAsia="zh-CN"/>
        </w:rPr>
        <w:t>”</w:t>
      </w:r>
      <w:r>
        <w:rPr>
          <w:lang w:eastAsia="zh-CN"/>
        </w:rPr>
        <w:t>进行的，没有任何进一步解释。上诉审裁处说，这留下了一个非常明显的问题，即私人安排的性质及其理由。上诉审裁处感到遗憾的是，保荐人没有提出这些问题。</w:t>
      </w:r>
      <w:r>
        <w:rPr>
          <w:lang w:eastAsia="zh-CN"/>
        </w:rPr>
        <w:t xml:space="preserve"> </w:t>
      </w:r>
      <w:r>
        <w:rPr>
          <w:lang w:eastAsia="zh-CN"/>
        </w:rPr>
        <w:t>香港证监会指出了一些异常现象，表明在</w:t>
      </w:r>
      <w:r>
        <w:rPr>
          <w:lang w:eastAsia="zh-CN"/>
        </w:rPr>
        <w:t>2014</w:t>
      </w:r>
      <w:r>
        <w:rPr>
          <w:lang w:eastAsia="zh-CN"/>
        </w:rPr>
        <w:t>年进行了大量第三方付款的四家公司可能并没有开展真正的业务。这些也值得进一步调查，但保荐人未能进行调查。</w:t>
      </w:r>
    </w:p>
    <w:p w:rsidR="00F42656" w:rsidRDefault="00FC4A82">
      <w:pPr>
        <w:pStyle w:val="BodyText"/>
        <w:rPr>
          <w:lang w:eastAsia="zh-CN"/>
        </w:rPr>
      </w:pPr>
      <w:r>
        <w:rPr>
          <w:lang w:eastAsia="zh-CN"/>
        </w:rPr>
        <w:t>在发现证监会证明易顺达资本缺乏合理的尽职审查后，上诉审裁处的结论是：</w:t>
      </w:r>
    </w:p>
    <w:p w:rsidR="00F42656" w:rsidRDefault="00FC4A82">
      <w:pPr>
        <w:pStyle w:val="Compact"/>
        <w:numPr>
          <w:ilvl w:val="0"/>
          <w:numId w:val="11"/>
        </w:numPr>
        <w:rPr>
          <w:lang w:eastAsia="zh-CN"/>
        </w:rPr>
      </w:pPr>
      <w:r>
        <w:rPr>
          <w:lang w:eastAsia="zh-CN"/>
        </w:rPr>
        <w:t>鉴于在提交上市申</w:t>
      </w:r>
      <w:r>
        <w:rPr>
          <w:lang w:eastAsia="zh-CN"/>
        </w:rPr>
        <w:t>请前的三年里，第三方付款占据了主导地位，而且从表面上看，这是一种极不寻常的做法，其规模似乎远远超出了偶然事件，保荐人的交易团队有义务对第三方付款进行适当的审查，以便做出解释：</w:t>
      </w:r>
    </w:p>
    <w:p w:rsidR="00F42656" w:rsidRDefault="00FC4A82">
      <w:pPr>
        <w:pStyle w:val="Compact"/>
        <w:numPr>
          <w:ilvl w:val="1"/>
          <w:numId w:val="12"/>
        </w:numPr>
        <w:rPr>
          <w:lang w:eastAsia="zh-CN"/>
        </w:rPr>
      </w:pPr>
      <w:r>
        <w:rPr>
          <w:lang w:eastAsia="zh-CN"/>
        </w:rPr>
        <w:t>这种做法是如何产生的；</w:t>
      </w:r>
    </w:p>
    <w:p w:rsidR="00F42656" w:rsidRDefault="00FC4A82">
      <w:pPr>
        <w:pStyle w:val="Compact"/>
        <w:numPr>
          <w:ilvl w:val="1"/>
          <w:numId w:val="12"/>
        </w:numPr>
      </w:pPr>
      <w:r>
        <w:t>为什么盛行了</w:t>
      </w:r>
      <w:r>
        <w:t>3</w:t>
      </w:r>
      <w:r>
        <w:t>年，且</w:t>
      </w:r>
    </w:p>
    <w:p w:rsidR="00F42656" w:rsidRDefault="00FC4A82">
      <w:pPr>
        <w:pStyle w:val="Compact"/>
        <w:numPr>
          <w:ilvl w:val="1"/>
          <w:numId w:val="12"/>
        </w:numPr>
        <w:rPr>
          <w:lang w:eastAsia="zh-CN"/>
        </w:rPr>
      </w:pPr>
      <w:r>
        <w:rPr>
          <w:lang w:eastAsia="zh-CN"/>
        </w:rPr>
        <w:t>为什么这是一种合法的做法，而不是为了给市场留下错误印象而制定的做法；</w:t>
      </w:r>
    </w:p>
    <w:p w:rsidR="00F42656" w:rsidRDefault="00FC4A82">
      <w:pPr>
        <w:pStyle w:val="Compact"/>
        <w:numPr>
          <w:ilvl w:val="0"/>
          <w:numId w:val="11"/>
        </w:numPr>
        <w:rPr>
          <w:lang w:eastAsia="zh-CN"/>
        </w:rPr>
      </w:pPr>
      <w:r>
        <w:rPr>
          <w:lang w:eastAsia="zh-CN"/>
        </w:rPr>
        <w:t>保荐人的尽职审查义务要求对第三方付款行为的合法性进行更深入的调查，特别是考虑到保荐人的交易团队清楚地意识到第三方付款问题将是市场关注的问题，在招股书草拟稿中留出处理该事项的段落；及</w:t>
      </w:r>
    </w:p>
    <w:p w:rsidR="00F42656" w:rsidRDefault="00FC4A82">
      <w:pPr>
        <w:pStyle w:val="Compact"/>
        <w:numPr>
          <w:ilvl w:val="0"/>
          <w:numId w:val="11"/>
        </w:numPr>
        <w:rPr>
          <w:lang w:eastAsia="zh-CN"/>
        </w:rPr>
      </w:pPr>
      <w:r>
        <w:rPr>
          <w:lang w:eastAsia="zh-CN"/>
        </w:rPr>
        <w:t>虽然上诉审裁处对交易团队的诚信没有任何怀疑，但未能更深入地研究第三方付款做法的动态，显然等同于未能进行合理的尽职审查。</w:t>
      </w:r>
    </w:p>
    <w:p w:rsidR="00F42656" w:rsidRDefault="00FC4A82">
      <w:pPr>
        <w:pStyle w:val="FirstParagraph"/>
        <w:rPr>
          <w:lang w:eastAsia="zh-CN"/>
        </w:rPr>
      </w:pPr>
      <w:r>
        <w:rPr>
          <w:lang w:eastAsia="zh-CN"/>
        </w:rPr>
        <w:t>因此，上诉审裁处认为保荐人未能按照证监会《操守准则》的规定，作出合理的尽职审查。</w:t>
      </w:r>
    </w:p>
    <w:p w:rsidR="00F42656" w:rsidRDefault="00FC4A82">
      <w:pPr>
        <w:pStyle w:val="BodyText"/>
        <w:rPr>
          <w:lang w:eastAsia="zh-CN"/>
        </w:rPr>
      </w:pPr>
      <w:r>
        <w:rPr>
          <w:lang w:eastAsia="zh-CN"/>
        </w:rPr>
        <w:t>保荐人没有就两宗可疑交易进行尽职审查</w:t>
      </w:r>
    </w:p>
    <w:p w:rsidR="00F42656" w:rsidRDefault="00FC4A82">
      <w:pPr>
        <w:pStyle w:val="BodyText"/>
        <w:rPr>
          <w:lang w:eastAsia="zh-CN"/>
        </w:rPr>
      </w:pPr>
      <w:r>
        <w:rPr>
          <w:lang w:eastAsia="zh-CN"/>
        </w:rPr>
        <w:t>就两宗可疑交易而言，证监会声称，保荐人并没有就有关交易向客户和第三方付款人进行有效询问，而易顺达资本亦未能审核交易的基础文件。关于可疑的交易，保荐人提出，任何关于资金循环流动的指控纯属猜测。</w:t>
      </w:r>
      <w:r>
        <w:rPr>
          <w:lang w:eastAsia="zh-CN"/>
        </w:rPr>
        <w:t xml:space="preserve"> </w:t>
      </w:r>
      <w:r>
        <w:rPr>
          <w:lang w:eastAsia="zh-CN"/>
        </w:rPr>
        <w:t>此外，就第一宗可疑交易而言，提交报告表明该交易本身没有任何可疑之处，也不需要证监</w:t>
      </w:r>
      <w:r>
        <w:rPr>
          <w:lang w:eastAsia="zh-CN"/>
        </w:rPr>
        <w:t>会建议的尽职审查。</w:t>
      </w:r>
    </w:p>
    <w:p w:rsidR="00F42656" w:rsidRDefault="00FC4A82">
      <w:pPr>
        <w:pStyle w:val="BodyText"/>
        <w:rPr>
          <w:lang w:eastAsia="zh-CN"/>
        </w:rPr>
      </w:pPr>
      <w:r>
        <w:rPr>
          <w:lang w:eastAsia="zh-CN"/>
        </w:rPr>
        <w:t>上诉审裁处认为，鉴于第三方付款的更广泛的背景，这些交易应该得到进一步调查，因此，保荐人没有履行其应有的尽职审查的义务。</w:t>
      </w:r>
    </w:p>
    <w:p w:rsidR="00F42656" w:rsidRDefault="00FC4A82">
      <w:pPr>
        <w:pStyle w:val="BodyText"/>
        <w:rPr>
          <w:lang w:eastAsia="zh-CN"/>
        </w:rPr>
      </w:pPr>
      <w:r>
        <w:rPr>
          <w:lang w:eastAsia="zh-CN"/>
        </w:rPr>
        <w:t>保荐人未能就</w:t>
      </w:r>
      <w:r>
        <w:rPr>
          <w:lang w:eastAsia="zh-CN"/>
        </w:rPr>
        <w:t>Aric Yip</w:t>
      </w:r>
      <w:r>
        <w:rPr>
          <w:lang w:eastAsia="zh-CN"/>
        </w:rPr>
        <w:t>向</w:t>
      </w:r>
      <w:r>
        <w:rPr>
          <w:lang w:eastAsia="zh-CN"/>
        </w:rPr>
        <w:t>‘</w:t>
      </w:r>
      <w:r>
        <w:rPr>
          <w:lang w:eastAsia="zh-CN"/>
        </w:rPr>
        <w:t>相熟公司</w:t>
      </w:r>
      <w:r>
        <w:rPr>
          <w:lang w:eastAsia="zh-CN"/>
        </w:rPr>
        <w:t>’</w:t>
      </w:r>
      <w:r>
        <w:rPr>
          <w:lang w:eastAsia="zh-CN"/>
        </w:rPr>
        <w:t>付款进行尽职审查</w:t>
      </w:r>
    </w:p>
    <w:p w:rsidR="00F42656" w:rsidRDefault="00FC4A82">
      <w:pPr>
        <w:pStyle w:val="BodyText"/>
        <w:rPr>
          <w:lang w:eastAsia="zh-CN"/>
        </w:rPr>
      </w:pPr>
      <w:r>
        <w:rPr>
          <w:lang w:eastAsia="zh-CN"/>
        </w:rPr>
        <w:t xml:space="preserve">有证据表明，在营业记录期间，Aric </w:t>
      </w:r>
      <w:r>
        <w:rPr>
          <w:lang w:eastAsia="zh-CN"/>
        </w:rPr>
        <w:t>Yip</w:t>
      </w:r>
      <w:r>
        <w:rPr>
          <w:lang w:eastAsia="zh-CN"/>
        </w:rPr>
        <w:t>大量提款。这些显然是为了方便</w:t>
      </w:r>
      <w:r>
        <w:rPr>
          <w:lang w:eastAsia="zh-CN"/>
        </w:rPr>
        <w:t>Aric Yip</w:t>
      </w:r>
      <w:r>
        <w:rPr>
          <w:lang w:eastAsia="zh-CN"/>
        </w:rPr>
        <w:t>和他的</w:t>
      </w:r>
      <w:r>
        <w:rPr>
          <w:lang w:eastAsia="zh-CN"/>
        </w:rPr>
        <w:t>‘</w:t>
      </w:r>
      <w:r>
        <w:rPr>
          <w:lang w:eastAsia="zh-CN"/>
        </w:rPr>
        <w:t>相熟公司</w:t>
      </w:r>
      <w:r>
        <w:rPr>
          <w:lang w:eastAsia="zh-CN"/>
        </w:rPr>
        <w:t>’</w:t>
      </w:r>
      <w:r>
        <w:rPr>
          <w:lang w:eastAsia="zh-CN"/>
        </w:rPr>
        <w:t>之间的各种贷款和投资安排。招股说明书草拟稿披露了这些提款，但没有提供有关提款目的的进一步细节。只是在回应监管机构的询问时，这些提款的目的才被披露。香港证监会指出，某些相熟公司是与御峰集团客户有联系的第三方支</w:t>
      </w:r>
      <w:r>
        <w:rPr>
          <w:lang w:eastAsia="zh-CN"/>
        </w:rPr>
        <w:t>付款人或实体，因此，核实交易的真实性质和目的很重要。</w:t>
      </w:r>
    </w:p>
    <w:p w:rsidR="00F42656" w:rsidRDefault="00FC4A82">
      <w:pPr>
        <w:pStyle w:val="BodyText"/>
        <w:rPr>
          <w:lang w:eastAsia="zh-CN"/>
        </w:rPr>
      </w:pPr>
      <w:r>
        <w:rPr>
          <w:lang w:eastAsia="zh-CN"/>
        </w:rPr>
        <w:t>关于尽职调查工作，</w:t>
      </w:r>
      <w:r>
        <w:rPr>
          <w:lang w:eastAsia="zh-CN"/>
        </w:rPr>
        <w:t>11</w:t>
      </w:r>
      <w:r>
        <w:rPr>
          <w:lang w:eastAsia="zh-CN"/>
        </w:rPr>
        <w:t>家相熟公司中有</w:t>
      </w:r>
      <w:r>
        <w:rPr>
          <w:lang w:eastAsia="zh-CN"/>
        </w:rPr>
        <w:t>6</w:t>
      </w:r>
      <w:r>
        <w:rPr>
          <w:lang w:eastAsia="zh-CN"/>
        </w:rPr>
        <w:t>家接受了会见，使保荐人能够确认每笔交易的原因、涉及的金额，以及这些相熟公司独立于御峰集团及其客户的事实。</w:t>
      </w:r>
      <w:r>
        <w:rPr>
          <w:lang w:eastAsia="zh-CN"/>
        </w:rPr>
        <w:t xml:space="preserve"> </w:t>
      </w:r>
      <w:r>
        <w:rPr>
          <w:lang w:eastAsia="zh-CN"/>
        </w:rPr>
        <w:t>然而，接受会见的两家公司表示，获得这些资金是为了</w:t>
      </w:r>
      <w:r>
        <w:rPr>
          <w:lang w:eastAsia="zh-CN"/>
        </w:rPr>
        <w:t>‘</w:t>
      </w:r>
      <w:r>
        <w:rPr>
          <w:lang w:eastAsia="zh-CN"/>
        </w:rPr>
        <w:t>业务需求</w:t>
      </w:r>
      <w:r>
        <w:rPr>
          <w:lang w:eastAsia="zh-CN"/>
        </w:rPr>
        <w:t>’—</w:t>
      </w:r>
      <w:r>
        <w:rPr>
          <w:lang w:eastAsia="zh-CN"/>
        </w:rPr>
        <w:t>实际上什么也没说。</w:t>
      </w:r>
    </w:p>
    <w:p w:rsidR="00F42656" w:rsidRDefault="00FC4A82">
      <w:pPr>
        <w:pStyle w:val="BodyText"/>
        <w:rPr>
          <w:lang w:eastAsia="zh-CN"/>
        </w:rPr>
      </w:pPr>
      <w:r>
        <w:rPr>
          <w:lang w:eastAsia="zh-CN"/>
        </w:rPr>
        <w:t>此外，虽然对十家相熟公司进行了背景调查，但其中两家相熟公司在会见中所述有出入。保荐人认为这些差异微不足道，但香港证监会决定，他们要求采取后续行动，因为这些差异与</w:t>
      </w:r>
      <w:r>
        <w:rPr>
          <w:lang w:eastAsia="zh-CN"/>
        </w:rPr>
        <w:t>‘</w:t>
      </w:r>
      <w:r>
        <w:rPr>
          <w:lang w:eastAsia="zh-CN"/>
        </w:rPr>
        <w:t>融资安排的主要性质</w:t>
      </w:r>
      <w:r>
        <w:rPr>
          <w:lang w:eastAsia="zh-CN"/>
        </w:rPr>
        <w:t>’</w:t>
      </w:r>
      <w:r>
        <w:rPr>
          <w:lang w:eastAsia="zh-CN"/>
        </w:rPr>
        <w:t>有关。</w:t>
      </w:r>
    </w:p>
    <w:p w:rsidR="00F42656" w:rsidRDefault="00FC4A82">
      <w:pPr>
        <w:pStyle w:val="BodyText"/>
        <w:rPr>
          <w:lang w:eastAsia="zh-CN"/>
        </w:rPr>
      </w:pPr>
      <w:r>
        <w:rPr>
          <w:lang w:eastAsia="zh-CN"/>
        </w:rPr>
        <w:t>易顺达资本还表示，只要在公司账目中正确登记</w:t>
      </w:r>
      <w:r>
        <w:rPr>
          <w:lang w:eastAsia="zh-CN"/>
        </w:rPr>
        <w:t>提款，从而保证其真实性，就不应该对</w:t>
      </w:r>
      <w:r>
        <w:rPr>
          <w:lang w:eastAsia="zh-CN"/>
        </w:rPr>
        <w:t>Aric Yip</w:t>
      </w:r>
      <w:r>
        <w:rPr>
          <w:lang w:eastAsia="zh-CN"/>
        </w:rPr>
        <w:t>的融资安排产生任何担忧。上诉审裁处不同意，说如果从全局来看，有合法的理由担心这可能是一个循环的资金流动，那么所有有关事项必须考虑，包括</w:t>
      </w:r>
      <w:r>
        <w:rPr>
          <w:lang w:eastAsia="zh-CN"/>
        </w:rPr>
        <w:t>Aric Yip</w:t>
      </w:r>
      <w:r>
        <w:rPr>
          <w:lang w:eastAsia="zh-CN"/>
        </w:rPr>
        <w:t>与不同的相熟公司之间的重大贷款</w:t>
      </w:r>
      <w:r>
        <w:rPr>
          <w:lang w:eastAsia="zh-CN"/>
        </w:rPr>
        <w:t>/</w:t>
      </w:r>
      <w:r>
        <w:rPr>
          <w:lang w:eastAsia="zh-CN"/>
        </w:rPr>
        <w:t>投资交易，这些相熟公司与有关各方有一些联系。这里要确定的真正问题不是付款是否被记录，而是这种资金流动的影响是什么。</w:t>
      </w:r>
    </w:p>
    <w:p w:rsidR="00F42656" w:rsidRDefault="00FC4A82">
      <w:pPr>
        <w:pStyle w:val="BodyText"/>
        <w:rPr>
          <w:lang w:eastAsia="zh-CN"/>
        </w:rPr>
      </w:pPr>
      <w:r>
        <w:rPr>
          <w:lang w:eastAsia="zh-CN"/>
        </w:rPr>
        <w:t>证监会的调查结果是</w:t>
      </w:r>
      <w:r>
        <w:rPr>
          <w:lang w:eastAsia="zh-CN"/>
        </w:rPr>
        <w:t>(i)</w:t>
      </w:r>
      <w:r>
        <w:rPr>
          <w:lang w:eastAsia="zh-CN"/>
        </w:rPr>
        <w:t>未能取得及审阅有关协议本身及有关银行纪录；</w:t>
      </w:r>
      <w:r>
        <w:rPr>
          <w:lang w:eastAsia="zh-CN"/>
        </w:rPr>
        <w:t>(ii)</w:t>
      </w:r>
      <w:r>
        <w:rPr>
          <w:lang w:eastAsia="zh-CN"/>
        </w:rPr>
        <w:t>未能跟进相熟公司提供的不满意或不正确的回答；</w:t>
      </w:r>
      <w:r>
        <w:rPr>
          <w:lang w:eastAsia="zh-CN"/>
        </w:rPr>
        <w:t>(iii)</w:t>
      </w:r>
      <w:r>
        <w:rPr>
          <w:lang w:eastAsia="zh-CN"/>
        </w:rPr>
        <w:t>在招股说明书草拟稿中没有说明，其中</w:t>
      </w:r>
      <w:r>
        <w:rPr>
          <w:lang w:eastAsia="zh-CN"/>
        </w:rPr>
        <w:t>4</w:t>
      </w:r>
      <w:r>
        <w:rPr>
          <w:lang w:eastAsia="zh-CN"/>
        </w:rPr>
        <w:t>家相熟公司要么是第三方付款人，或与御峰集团的五大客户有关联。</w:t>
      </w:r>
    </w:p>
    <w:p w:rsidR="00F42656" w:rsidRDefault="00FC4A82">
      <w:pPr>
        <w:pStyle w:val="BodyText"/>
        <w:rPr>
          <w:lang w:eastAsia="zh-CN"/>
        </w:rPr>
      </w:pPr>
      <w:r>
        <w:rPr>
          <w:lang w:eastAsia="zh-CN"/>
        </w:rPr>
        <w:t>上诉审裁处认为保荐人未能进行尽职审查。</w:t>
      </w:r>
    </w:p>
    <w:p w:rsidR="00F42656" w:rsidRDefault="00FC4A82">
      <w:pPr>
        <w:pStyle w:val="BodyText"/>
        <w:rPr>
          <w:lang w:eastAsia="zh-CN"/>
        </w:rPr>
      </w:pPr>
      <w:r>
        <w:rPr>
          <w:lang w:eastAsia="zh-CN"/>
        </w:rPr>
        <w:t>上诉审裁处的调查结果</w:t>
      </w:r>
    </w:p>
    <w:p w:rsidR="00F42656" w:rsidRDefault="00FC4A82">
      <w:pPr>
        <w:pStyle w:val="BodyText"/>
        <w:rPr>
          <w:lang w:eastAsia="zh-CN"/>
        </w:rPr>
      </w:pPr>
      <w:r>
        <w:rPr>
          <w:lang w:eastAsia="zh-CN"/>
        </w:rPr>
        <w:t>关于上述三个令人关切的领域，上诉审裁处认为保荐人未能进行合理的尽职审查。</w:t>
      </w:r>
    </w:p>
    <w:p w:rsidR="00F42656" w:rsidRDefault="00FC4A82">
      <w:pPr>
        <w:pStyle w:val="BodyText"/>
        <w:rPr>
          <w:lang w:eastAsia="zh-CN"/>
        </w:rPr>
      </w:pPr>
      <w:r>
        <w:rPr>
          <w:lang w:eastAsia="zh-CN"/>
        </w:rPr>
        <w:t>裁决问题</w:t>
      </w:r>
    </w:p>
    <w:p w:rsidR="00F42656" w:rsidRDefault="00FC4A82">
      <w:pPr>
        <w:pStyle w:val="BodyText"/>
        <w:rPr>
          <w:lang w:eastAsia="zh-CN"/>
        </w:rPr>
      </w:pPr>
      <w:r>
        <w:rPr>
          <w:lang w:eastAsia="zh-CN"/>
        </w:rPr>
        <w:t>对</w:t>
      </w:r>
      <w:r>
        <w:rPr>
          <w:lang w:eastAsia="zh-CN"/>
        </w:rPr>
        <w:t>‘</w:t>
      </w:r>
      <w:r>
        <w:rPr>
          <w:lang w:eastAsia="zh-CN"/>
        </w:rPr>
        <w:t>立桥国际融资有限公司</w:t>
      </w:r>
      <w:r>
        <w:rPr>
          <w:lang w:eastAsia="zh-CN"/>
        </w:rPr>
        <w:t>’</w:t>
      </w:r>
      <w:r>
        <w:rPr>
          <w:lang w:eastAsia="zh-CN"/>
        </w:rPr>
        <w:t>这一名称的异议</w:t>
      </w:r>
    </w:p>
    <w:p w:rsidR="00F42656" w:rsidRDefault="00FC4A82">
      <w:pPr>
        <w:pStyle w:val="BodyText"/>
        <w:rPr>
          <w:lang w:eastAsia="zh-CN"/>
        </w:rPr>
      </w:pPr>
      <w:r>
        <w:rPr>
          <w:lang w:eastAsia="zh-CN"/>
        </w:rPr>
        <w:t>保荐人提出的第一问题就是证监会新闻稿草拟稿引用的其过去的名称</w:t>
      </w:r>
      <w:r>
        <w:rPr>
          <w:lang w:eastAsia="zh-CN"/>
        </w:rPr>
        <w:t>‘</w:t>
      </w:r>
      <w:r>
        <w:rPr>
          <w:lang w:eastAsia="zh-CN"/>
        </w:rPr>
        <w:t>立桥国际融资有限公司</w:t>
      </w:r>
      <w:r>
        <w:rPr>
          <w:lang w:eastAsia="zh-CN"/>
        </w:rPr>
        <w:t>’</w:t>
      </w:r>
      <w:r>
        <w:rPr>
          <w:lang w:eastAsia="zh-CN"/>
        </w:rPr>
        <w:t>保荐人从</w:t>
      </w:r>
      <w:r>
        <w:rPr>
          <w:lang w:eastAsia="zh-CN"/>
        </w:rPr>
        <w:t>2017</w:t>
      </w:r>
      <w:r>
        <w:rPr>
          <w:lang w:eastAsia="zh-CN"/>
        </w:rPr>
        <w:t>年</w:t>
      </w:r>
      <w:r>
        <w:rPr>
          <w:lang w:eastAsia="zh-CN"/>
        </w:rPr>
        <w:t>12</w:t>
      </w:r>
      <w:r>
        <w:rPr>
          <w:lang w:eastAsia="zh-CN"/>
        </w:rPr>
        <w:t>月到</w:t>
      </w:r>
      <w:r>
        <w:rPr>
          <w:lang w:eastAsia="zh-CN"/>
        </w:rPr>
        <w:t>2018</w:t>
      </w:r>
      <w:r>
        <w:rPr>
          <w:lang w:eastAsia="zh-CN"/>
        </w:rPr>
        <w:t>年</w:t>
      </w:r>
      <w:r>
        <w:rPr>
          <w:lang w:eastAsia="zh-CN"/>
        </w:rPr>
        <w:t>8</w:t>
      </w:r>
      <w:r>
        <w:rPr>
          <w:lang w:eastAsia="zh-CN"/>
        </w:rPr>
        <w:t>月一直使用此名称。保荐人反对引用该名称，因为该名称是在受质疑的保荐关系结束后才为人所知的名称，而在证监会聆讯前已弃用。</w:t>
      </w:r>
    </w:p>
    <w:p w:rsidR="00F42656" w:rsidRDefault="00FC4A82">
      <w:pPr>
        <w:pStyle w:val="BodyText"/>
        <w:rPr>
          <w:lang w:eastAsia="zh-CN"/>
        </w:rPr>
      </w:pPr>
      <w:r>
        <w:rPr>
          <w:lang w:eastAsia="zh-CN"/>
        </w:rPr>
        <w:t>上诉审裁处认为，保荐</w:t>
      </w:r>
      <w:r>
        <w:rPr>
          <w:lang w:eastAsia="zh-CN"/>
        </w:rPr>
        <w:t>人的观点是错误的。根据《证券及期货条例》实施的裁决是防御性的，而非惩罚性的，其目的是维护市场的完整性，确保某些危害不再重复发生。只有清楚地确定威胁的来源，才能有效地打击威胁。要使犯罪分子得到充分、准确的识别，就必须将其已知的名称或名称告知市场。</w:t>
      </w:r>
    </w:p>
    <w:p w:rsidR="00F42656" w:rsidRDefault="00FC4A82">
      <w:pPr>
        <w:pStyle w:val="BodyText"/>
        <w:rPr>
          <w:lang w:eastAsia="zh-CN"/>
        </w:rPr>
      </w:pPr>
      <w:r>
        <w:rPr>
          <w:lang w:eastAsia="zh-CN"/>
        </w:rPr>
        <w:t>公开谴责的充分性</w:t>
      </w:r>
    </w:p>
    <w:p w:rsidR="00F42656" w:rsidRDefault="00FC4A82">
      <w:pPr>
        <w:pStyle w:val="BodyText"/>
        <w:rPr>
          <w:lang w:eastAsia="zh-CN"/>
        </w:rPr>
      </w:pPr>
      <w:r>
        <w:rPr>
          <w:lang w:eastAsia="zh-CN"/>
        </w:rPr>
        <w:t>保荐人争辩说，在这种情况下，公开谴责是一种足够的制裁，罚款是没有道理的。该公司表示，这些不当行为并未影响市场，并已采取足够措施解决这些问题，它依赖于其交易团队的专业知识和经验，该团队由一个拥有超过</w:t>
      </w:r>
      <w:r>
        <w:rPr>
          <w:lang w:eastAsia="zh-CN"/>
        </w:rPr>
        <w:t>25</w:t>
      </w:r>
      <w:r>
        <w:rPr>
          <w:lang w:eastAsia="zh-CN"/>
        </w:rPr>
        <w:t>年相关经验的人领导</w:t>
      </w:r>
      <w:r>
        <w:rPr>
          <w:lang w:eastAsia="zh-CN"/>
        </w:rPr>
        <w:t xml:space="preserve"> </w:t>
      </w:r>
      <w:r>
        <w:rPr>
          <w:lang w:eastAsia="zh-CN"/>
        </w:rPr>
        <w:t>。</w:t>
      </w:r>
    </w:p>
    <w:p w:rsidR="00F42656" w:rsidRDefault="00FC4A82">
      <w:pPr>
        <w:pStyle w:val="BodyText"/>
        <w:rPr>
          <w:lang w:eastAsia="zh-CN"/>
        </w:rPr>
      </w:pPr>
      <w:r>
        <w:rPr>
          <w:lang w:eastAsia="zh-CN"/>
        </w:rPr>
        <w:t>上诉审裁处认为，为实现上</w:t>
      </w:r>
      <w:r>
        <w:rPr>
          <w:lang w:eastAsia="zh-CN"/>
        </w:rPr>
        <w:t>市申请，保荐人将组建运营团队，这是必不可少的，但这并不意味着保荐人可以不负责任。上诉审裁处接受保荐人律师的立场，即仅仅公开谴责是否足够取决于上诉审裁处对保荐人的罪责的看法。上诉审裁处认为，首先必须把这一罪责放在上市申请中对保荐人所规定的责任的范围内考虑。正如上诉审裁处在新鸿基国际有限公司诉证监会一案中所述：</w:t>
      </w:r>
      <w:r>
        <w:rPr>
          <w:i/>
          <w:lang w:eastAsia="zh-CN"/>
        </w:rPr>
        <w:t>“</w:t>
      </w:r>
      <w:r>
        <w:rPr>
          <w:i/>
          <w:lang w:eastAsia="zh-CN"/>
        </w:rPr>
        <w:t>我们清楚地看到，坚持要求每一位保荐人进行尽职调查的监管框架，对市场的有序和透明运作至关重要。</w:t>
      </w:r>
      <w:r>
        <w:rPr>
          <w:i/>
          <w:lang w:eastAsia="zh-CN"/>
        </w:rPr>
        <w:t xml:space="preserve">” </w:t>
      </w:r>
      <w:r>
        <w:rPr>
          <w:i/>
          <w:lang w:eastAsia="zh-CN"/>
        </w:rPr>
        <w:t>这就是为什么要强调保荐人的双重义务，这不仅是对客户的义务，同样重要的是对市场诚信的义务。</w:t>
      </w:r>
      <w:r>
        <w:rPr>
          <w:i/>
          <w:lang w:eastAsia="zh-CN"/>
        </w:rPr>
        <w:t>”</w:t>
      </w:r>
    </w:p>
    <w:p w:rsidR="00F42656" w:rsidRDefault="00FC4A82">
      <w:pPr>
        <w:pStyle w:val="BodyText"/>
        <w:rPr>
          <w:lang w:eastAsia="zh-CN"/>
        </w:rPr>
      </w:pPr>
      <w:r>
        <w:rPr>
          <w:lang w:eastAsia="zh-CN"/>
        </w:rPr>
        <w:t>上诉审裁处在新</w:t>
      </w:r>
      <w:r>
        <w:rPr>
          <w:lang w:eastAsia="zh-CN"/>
        </w:rPr>
        <w:t>鸿基国际有限公司诉证监会一案中指出，投资者必须能够根据上市文件中准确及相关的资料，评估在首次公开发行中购买股份的风险。如果他们做不到这一点，那么对市场的信任就会受到损害。如果监管机构没有对资金循环流动问题提出担忧，这种担忧可能已经反映在市场上，并可能导致人们不仅对上市的完整性感到担忧，而且对上市过程本身也感到担忧。</w:t>
      </w:r>
    </w:p>
    <w:p w:rsidR="00F42656" w:rsidRDefault="00FC4A82">
      <w:pPr>
        <w:pStyle w:val="BodyText"/>
        <w:rPr>
          <w:lang w:eastAsia="zh-CN"/>
        </w:rPr>
      </w:pPr>
      <w:r>
        <w:rPr>
          <w:lang w:eastAsia="zh-CN"/>
        </w:rPr>
        <w:t>因此，上诉审裁处认为，上市过程中保荐人有重大罪责，几乎不可避免地的不仅仅是公开谴责。</w:t>
      </w:r>
    </w:p>
    <w:p w:rsidR="00F42656" w:rsidRDefault="00FC4A82">
      <w:pPr>
        <w:pStyle w:val="BodyText"/>
        <w:rPr>
          <w:lang w:eastAsia="zh-CN"/>
        </w:rPr>
      </w:pPr>
      <w:r>
        <w:rPr>
          <w:lang w:eastAsia="zh-CN"/>
        </w:rPr>
        <w:t>罚款</w:t>
      </w:r>
    </w:p>
    <w:p w:rsidR="00F42656" w:rsidRDefault="00FC4A82">
      <w:pPr>
        <w:pStyle w:val="BodyText"/>
        <w:rPr>
          <w:lang w:eastAsia="zh-CN"/>
        </w:rPr>
      </w:pPr>
      <w:r>
        <w:rPr>
          <w:lang w:eastAsia="zh-CN"/>
        </w:rPr>
        <w:t>香港证监会承认易顺达资本之前没有被发现违反任何监管行为，但仍提议对其处以</w:t>
      </w:r>
      <w:r>
        <w:rPr>
          <w:lang w:eastAsia="zh-CN"/>
        </w:rPr>
        <w:t>1450</w:t>
      </w:r>
      <w:r>
        <w:rPr>
          <w:lang w:eastAsia="zh-CN"/>
        </w:rPr>
        <w:t>万港元的罚款。考虑到保</w:t>
      </w:r>
      <w:r>
        <w:rPr>
          <w:lang w:eastAsia="zh-CN"/>
        </w:rPr>
        <w:t>荐人的经济困难情况，证监会最终决定将罚款下调至</w:t>
      </w:r>
      <w:r>
        <w:rPr>
          <w:lang w:eastAsia="zh-CN"/>
        </w:rPr>
        <w:t>450</w:t>
      </w:r>
      <w:r>
        <w:rPr>
          <w:lang w:eastAsia="zh-CN"/>
        </w:rPr>
        <w:t>万港元。保荐人向上诉审裁处提出罚款显然是过多的，因为它有明确的记录，已经停止了它的保荐人业务，并且在当时处于极其糟糕的财政状况。</w:t>
      </w:r>
    </w:p>
    <w:p w:rsidR="00F42656" w:rsidRDefault="00FC4A82">
      <w:pPr>
        <w:pStyle w:val="BodyText"/>
        <w:rPr>
          <w:lang w:eastAsia="zh-CN"/>
        </w:rPr>
      </w:pPr>
      <w:r>
        <w:rPr>
          <w:lang w:eastAsia="zh-CN"/>
        </w:rPr>
        <w:t>易顺达资本还提出，鉴于所收取的保荐人费和罚款数额，它将为所做的工作方面付出重大损失。</w:t>
      </w:r>
      <w:r>
        <w:rPr>
          <w:lang w:eastAsia="zh-CN"/>
        </w:rPr>
        <w:t xml:space="preserve"> </w:t>
      </w:r>
      <w:r>
        <w:rPr>
          <w:lang w:eastAsia="zh-CN"/>
        </w:rPr>
        <w:t>上诉审裁处很难接受这一报请。</w:t>
      </w:r>
      <w:r>
        <w:rPr>
          <w:lang w:eastAsia="zh-CN"/>
        </w:rPr>
        <w:t xml:space="preserve"> </w:t>
      </w:r>
      <w:r>
        <w:rPr>
          <w:lang w:eastAsia="zh-CN"/>
        </w:rPr>
        <w:t>一个保荐人不可能有权为其所进行的工作赚取利润，即使该工作质量已因其自身的过失而受到损害。</w:t>
      </w:r>
    </w:p>
    <w:p w:rsidR="00F42656" w:rsidRDefault="00FC4A82">
      <w:pPr>
        <w:pStyle w:val="BodyText"/>
        <w:rPr>
          <w:lang w:eastAsia="zh-CN"/>
        </w:rPr>
      </w:pPr>
      <w:r>
        <w:rPr>
          <w:lang w:eastAsia="zh-CN"/>
        </w:rPr>
        <w:t>考虑到所有的证据，上诉审裁处总结称易顺达资本根本的过失在于它没有放眼全局；没有认识到主要以第三方支付形式付款（至少从表面上看</w:t>
      </w:r>
      <w:r>
        <w:rPr>
          <w:lang w:eastAsia="zh-CN"/>
        </w:rPr>
        <w:t>）如此不同寻常，以至于引起了人们的担忧。当</w:t>
      </w:r>
      <w:r>
        <w:rPr>
          <w:lang w:eastAsia="zh-CN"/>
        </w:rPr>
        <w:t>Aric Yip</w:t>
      </w:r>
      <w:r>
        <w:rPr>
          <w:lang w:eastAsia="zh-CN"/>
        </w:rPr>
        <w:t>为贷款和</w:t>
      </w:r>
      <w:r>
        <w:rPr>
          <w:lang w:eastAsia="zh-CN"/>
        </w:rPr>
        <w:t>/</w:t>
      </w:r>
      <w:r>
        <w:rPr>
          <w:lang w:eastAsia="zh-CN"/>
        </w:rPr>
        <w:t>或投资而向相熟公司预付的巨额资金被考虑到整体情况时，这种担忧就更加严重了。如果保荐人要履行其双重义务，既要代表上市申请人的利益，又要保护市场的完整性，他们就必须具有完全客观的能力，能够退一步，以市场参与者的眼光来看待问题。</w:t>
      </w:r>
    </w:p>
    <w:p w:rsidR="00F42656" w:rsidRDefault="00FC4A82">
      <w:pPr>
        <w:pStyle w:val="BodyText"/>
        <w:rPr>
          <w:lang w:eastAsia="zh-CN"/>
        </w:rPr>
      </w:pPr>
      <w:r>
        <w:rPr>
          <w:lang w:eastAsia="zh-CN"/>
        </w:rPr>
        <w:t>上诉审裁处承认，第三方付款占主导地位的做法应该被保荐人的交易团队视为一个主要的预警现象，但不明白为什么他们没有重视。然而，其他的过失并不都可以用同样的罪责来衡量。国家上诉审裁处认为，鉴于易顺达资本的财务状况，公开谴责的处罚是适当的，并认为罚款</w:t>
      </w:r>
      <w:r>
        <w:rPr>
          <w:lang w:eastAsia="zh-CN"/>
        </w:rPr>
        <w:t>300</w:t>
      </w:r>
      <w:r>
        <w:rPr>
          <w:lang w:eastAsia="zh-CN"/>
        </w:rPr>
        <w:t>万港元是适当的。</w:t>
      </w:r>
    </w:p>
    <w:p w:rsidR="00F42656" w:rsidRDefault="00FC4A82">
      <w:pPr>
        <w:pStyle w:val="BodyText"/>
        <w:rPr>
          <w:lang w:eastAsia="zh-CN"/>
        </w:rPr>
      </w:pPr>
      <w:r>
        <w:rPr>
          <w:lang w:eastAsia="zh-CN"/>
        </w:rPr>
        <w:t>上诉审裁处对覆核申请的决定</w:t>
      </w:r>
    </w:p>
    <w:p w:rsidR="00F42656" w:rsidRDefault="00FC4A82">
      <w:pPr>
        <w:pStyle w:val="BodyText"/>
        <w:rPr>
          <w:lang w:eastAsia="zh-CN"/>
        </w:rPr>
      </w:pPr>
      <w:r>
        <w:rPr>
          <w:lang w:eastAsia="zh-CN"/>
        </w:rPr>
        <w:t>基于上述理由，证监会将罚款由</w:t>
      </w:r>
      <w:r>
        <w:rPr>
          <w:lang w:eastAsia="zh-CN"/>
        </w:rPr>
        <w:t>450</w:t>
      </w:r>
      <w:r>
        <w:rPr>
          <w:lang w:eastAsia="zh-CN"/>
        </w:rPr>
        <w:t>万港元下调至</w:t>
      </w:r>
      <w:r>
        <w:rPr>
          <w:lang w:eastAsia="zh-CN"/>
        </w:rPr>
        <w:t>300</w:t>
      </w:r>
      <w:r>
        <w:rPr>
          <w:lang w:eastAsia="zh-CN"/>
        </w:rPr>
        <w:t>万港元。</w:t>
      </w:r>
    </w:p>
    <w:p w:rsidR="00F42656" w:rsidRDefault="00FC4A82">
      <w:pPr>
        <w:pStyle w:val="BodyText"/>
        <w:rPr>
          <w:lang w:eastAsia="zh-CN"/>
        </w:rPr>
      </w:pPr>
      <w:r>
        <w:rPr>
          <w:lang w:eastAsia="zh-CN"/>
        </w:rPr>
        <w:t>证监会</w:t>
      </w:r>
      <w:r>
        <w:rPr>
          <w:lang w:eastAsia="zh-CN"/>
        </w:rPr>
        <w:t>2021</w:t>
      </w:r>
      <w:r>
        <w:rPr>
          <w:lang w:eastAsia="zh-CN"/>
        </w:rPr>
        <w:t>年</w:t>
      </w:r>
      <w:r>
        <w:rPr>
          <w:lang w:eastAsia="zh-CN"/>
        </w:rPr>
        <w:t>10</w:t>
      </w:r>
      <w:r>
        <w:rPr>
          <w:lang w:eastAsia="zh-CN"/>
        </w:rPr>
        <w:t>月份的声明</w:t>
      </w:r>
    </w:p>
    <w:p w:rsidR="00F42656" w:rsidRDefault="00FC4A82">
      <w:pPr>
        <w:pStyle w:val="BodyText"/>
        <w:rPr>
          <w:lang w:eastAsia="zh-CN"/>
        </w:rPr>
      </w:pPr>
      <w:r>
        <w:rPr>
          <w:lang w:eastAsia="zh-CN"/>
        </w:rPr>
        <w:t>在证监会决定维持证监会原来的决定后，证监会于</w:t>
      </w:r>
      <w:r>
        <w:rPr>
          <w:lang w:eastAsia="zh-CN"/>
        </w:rPr>
        <w:t>2021</w:t>
      </w:r>
      <w:r>
        <w:rPr>
          <w:lang w:eastAsia="zh-CN"/>
        </w:rPr>
        <w:t>年</w:t>
      </w:r>
      <w:r>
        <w:rPr>
          <w:lang w:eastAsia="zh-CN"/>
        </w:rPr>
        <w:t>10</w:t>
      </w:r>
      <w:r>
        <w:rPr>
          <w:lang w:eastAsia="zh-CN"/>
        </w:rPr>
        <w:t>月</w:t>
      </w:r>
      <w:r>
        <w:rPr>
          <w:lang w:eastAsia="zh-CN"/>
        </w:rPr>
        <w:t>19</w:t>
      </w:r>
      <w:r>
        <w:rPr>
          <w:lang w:eastAsia="zh-CN"/>
        </w:rPr>
        <w:t>日，因易顺达资本未能履行其在御峰集团上市申请中的保荐义务，对</w:t>
      </w:r>
      <w:r>
        <w:rPr>
          <w:lang w:eastAsia="zh-CN"/>
        </w:rPr>
        <w:t>其作出谴责并处以</w:t>
      </w:r>
      <w:r>
        <w:rPr>
          <w:lang w:eastAsia="zh-CN"/>
        </w:rPr>
        <w:t>300</w:t>
      </w:r>
      <w:r>
        <w:rPr>
          <w:lang w:eastAsia="zh-CN"/>
        </w:rPr>
        <w:t>万港元罚款。</w:t>
      </w:r>
    </w:p>
    <w:p w:rsidR="00F42656" w:rsidRDefault="00FC4A82">
      <w:pPr>
        <w:pStyle w:val="BodyText"/>
        <w:rPr>
          <w:lang w:eastAsia="zh-CN"/>
        </w:rPr>
      </w:pPr>
      <w:r>
        <w:rPr>
          <w:lang w:eastAsia="zh-CN"/>
        </w:rPr>
        <w:t>证监会发现，易顺达融资：</w:t>
      </w:r>
      <w:r>
        <w:rPr>
          <w:lang w:eastAsia="zh-CN"/>
        </w:rPr>
        <w:t xml:space="preserve">(i) </w:t>
      </w:r>
      <w:r>
        <w:rPr>
          <w:lang w:eastAsia="zh-CN"/>
        </w:rPr>
        <w:t>在呈交上市申请前没有对御峰集团进行所有合理尽职审查，且</w:t>
      </w:r>
      <w:r>
        <w:rPr>
          <w:lang w:eastAsia="zh-CN"/>
        </w:rPr>
        <w:t>(ii)</w:t>
      </w:r>
      <w:r>
        <w:rPr>
          <w:lang w:eastAsia="zh-CN"/>
        </w:rPr>
        <w:t>没有确保其取得的所有重大资料已载于申请版本内，及有关资料均为准确及大致完整。</w:t>
      </w:r>
    </w:p>
    <w:p w:rsidR="00F42656" w:rsidRDefault="00FC4A82">
      <w:pPr>
        <w:pStyle w:val="BodyText"/>
        <w:rPr>
          <w:lang w:eastAsia="zh-CN"/>
        </w:rPr>
      </w:pPr>
      <w:r>
        <w:rPr>
          <w:lang w:eastAsia="zh-CN"/>
        </w:rPr>
        <w:t>未能进行所有合理的尽职审查</w:t>
      </w:r>
    </w:p>
    <w:p w:rsidR="00F42656" w:rsidRDefault="00FC4A82">
      <w:pPr>
        <w:pStyle w:val="BodyText"/>
        <w:rPr>
          <w:lang w:eastAsia="zh-CN"/>
        </w:rPr>
      </w:pPr>
      <w:r>
        <w:rPr>
          <w:lang w:eastAsia="zh-CN"/>
        </w:rPr>
        <w:t>证监会就有关第三方付款的调查结果如下：</w:t>
      </w:r>
    </w:p>
    <w:p w:rsidR="00F42656" w:rsidRDefault="00FC4A82">
      <w:pPr>
        <w:pStyle w:val="Compact"/>
        <w:numPr>
          <w:ilvl w:val="0"/>
          <w:numId w:val="13"/>
        </w:numPr>
        <w:rPr>
          <w:lang w:eastAsia="zh-CN"/>
        </w:rPr>
      </w:pPr>
      <w:r>
        <w:rPr>
          <w:lang w:eastAsia="zh-CN"/>
        </w:rPr>
        <w:t>保荐人未有向御峰集团客户核实他们与</w:t>
      </w:r>
      <w:r>
        <w:rPr>
          <w:lang w:eastAsia="zh-CN"/>
        </w:rPr>
        <w:t>23</w:t>
      </w:r>
      <w:r>
        <w:rPr>
          <w:lang w:eastAsia="zh-CN"/>
        </w:rPr>
        <w:t>名第三方付款人的关系及作出第三方付款的理由；</w:t>
      </w:r>
    </w:p>
    <w:p w:rsidR="00F42656" w:rsidRDefault="00FC4A82">
      <w:pPr>
        <w:pStyle w:val="Compact"/>
        <w:numPr>
          <w:ilvl w:val="0"/>
          <w:numId w:val="13"/>
        </w:numPr>
        <w:rPr>
          <w:lang w:eastAsia="zh-CN"/>
        </w:rPr>
      </w:pPr>
      <w:r>
        <w:rPr>
          <w:lang w:eastAsia="zh-CN"/>
        </w:rPr>
        <w:t>对于在会见中显示七名第三方付款人中有四名看来不知道作出有关付款的理由，亦未有采取任何跟进行动；</w:t>
      </w:r>
    </w:p>
    <w:p w:rsidR="00F42656" w:rsidRDefault="00FC4A82">
      <w:pPr>
        <w:pStyle w:val="Compact"/>
        <w:numPr>
          <w:ilvl w:val="0"/>
          <w:numId w:val="13"/>
        </w:numPr>
        <w:rPr>
          <w:lang w:eastAsia="zh-CN"/>
        </w:rPr>
      </w:pPr>
      <w:r>
        <w:rPr>
          <w:lang w:eastAsia="zh-CN"/>
        </w:rPr>
        <w:t>保荐人单单依赖御峰集团的申述作为其余第三方付款人支付有关</w:t>
      </w:r>
      <w:r>
        <w:rPr>
          <w:lang w:eastAsia="zh-CN"/>
        </w:rPr>
        <w:t>款项的理由，而未有展开任何独立查询；及</w:t>
      </w:r>
    </w:p>
    <w:p w:rsidR="00F42656" w:rsidRDefault="00FC4A82">
      <w:pPr>
        <w:pStyle w:val="Compact"/>
        <w:numPr>
          <w:ilvl w:val="0"/>
          <w:numId w:val="13"/>
        </w:numPr>
        <w:rPr>
          <w:lang w:eastAsia="zh-CN"/>
        </w:rPr>
      </w:pPr>
      <w:r>
        <w:rPr>
          <w:lang w:eastAsia="zh-CN"/>
        </w:rPr>
        <w:t>没有就多个与第三方付款有关的预警迹象进行适当的跟进查询。</w:t>
      </w:r>
    </w:p>
    <w:p w:rsidR="00F42656" w:rsidRDefault="00FC4A82">
      <w:pPr>
        <w:pStyle w:val="FirstParagraph"/>
        <w:rPr>
          <w:lang w:eastAsia="zh-CN"/>
        </w:rPr>
      </w:pPr>
      <w:r>
        <w:rPr>
          <w:lang w:eastAsia="zh-CN"/>
        </w:rPr>
        <w:t>关于</w:t>
      </w:r>
      <w:r>
        <w:rPr>
          <w:lang w:eastAsia="zh-CN"/>
        </w:rPr>
        <w:t>Aric Yip</w:t>
      </w:r>
      <w:r>
        <w:rPr>
          <w:lang w:eastAsia="zh-CN"/>
        </w:rPr>
        <w:t>与相熟公司之间的融资安排，证监会的调查发现：</w:t>
      </w:r>
    </w:p>
    <w:p w:rsidR="00F42656" w:rsidRDefault="00FC4A82">
      <w:pPr>
        <w:pStyle w:val="Compact"/>
        <w:numPr>
          <w:ilvl w:val="0"/>
          <w:numId w:val="14"/>
        </w:numPr>
        <w:rPr>
          <w:lang w:eastAsia="zh-CN"/>
        </w:rPr>
      </w:pPr>
      <w:r>
        <w:rPr>
          <w:lang w:eastAsia="zh-CN"/>
        </w:rPr>
        <w:t>在提交上市申请前，保荐人未能未有索取并审阅该等融资安排所牵涉的协议及银行交易纪录；</w:t>
      </w:r>
    </w:p>
    <w:p w:rsidR="00F42656" w:rsidRDefault="00FC4A82">
      <w:pPr>
        <w:pStyle w:val="Compact"/>
        <w:numPr>
          <w:ilvl w:val="0"/>
          <w:numId w:val="14"/>
        </w:numPr>
        <w:rPr>
          <w:lang w:eastAsia="zh-CN"/>
        </w:rPr>
      </w:pPr>
      <w:r>
        <w:rPr>
          <w:lang w:eastAsia="zh-CN"/>
        </w:rPr>
        <w:t>在六家相熟公司中，有三家未能解释该等融资安排的理由或目的，但保荐人并无跟进有关事宜；</w:t>
      </w:r>
    </w:p>
    <w:p w:rsidR="00F42656" w:rsidRDefault="00FC4A82">
      <w:pPr>
        <w:pStyle w:val="Compact"/>
        <w:numPr>
          <w:ilvl w:val="0"/>
          <w:numId w:val="14"/>
        </w:numPr>
        <w:rPr>
          <w:lang w:eastAsia="zh-CN"/>
        </w:rPr>
      </w:pPr>
      <w:r>
        <w:rPr>
          <w:lang w:eastAsia="zh-CN"/>
        </w:rPr>
        <w:t>四家相熟公司是第三方付款人，或是与御峰集团客户有关连的实体，但申请版本未有披露这些关系；及</w:t>
      </w:r>
    </w:p>
    <w:p w:rsidR="00F42656" w:rsidRDefault="00FC4A82">
      <w:pPr>
        <w:pStyle w:val="Compact"/>
        <w:numPr>
          <w:ilvl w:val="0"/>
          <w:numId w:val="14"/>
        </w:numPr>
        <w:rPr>
          <w:lang w:eastAsia="zh-CN"/>
        </w:rPr>
      </w:pPr>
      <w:r>
        <w:rPr>
          <w:lang w:eastAsia="zh-CN"/>
        </w:rPr>
        <w:t>三家相熟公司与御峰集团的客户之间存在潜在联系，而保荐人未能采取适当步骤来核实这些关系的</w:t>
      </w:r>
      <w:r>
        <w:rPr>
          <w:lang w:eastAsia="zh-CN"/>
        </w:rPr>
        <w:t>性质。</w:t>
      </w:r>
    </w:p>
    <w:p w:rsidR="00F42656" w:rsidRDefault="00FC4A82">
      <w:pPr>
        <w:pStyle w:val="FirstParagraph"/>
        <w:rPr>
          <w:lang w:eastAsia="zh-CN"/>
        </w:rPr>
      </w:pPr>
      <w:r>
        <w:rPr>
          <w:lang w:eastAsia="zh-CN"/>
        </w:rPr>
        <w:t>香港证监会的调查还显示，发现多宗可疑交易，理应令人质疑御峰集团及／或其主席是否有就部分客户付款提供资助。然而，保荐人对这些可疑交易极少或根本没有进行尽职审查。</w:t>
      </w:r>
    </w:p>
    <w:p w:rsidR="00F42656" w:rsidRDefault="00FC4A82">
      <w:pPr>
        <w:pStyle w:val="BodyText"/>
        <w:rPr>
          <w:lang w:eastAsia="zh-CN"/>
        </w:rPr>
      </w:pPr>
      <w:r>
        <w:rPr>
          <w:lang w:eastAsia="zh-CN"/>
        </w:rPr>
        <w:t>申请版本所披露的资料并不完整</w:t>
      </w:r>
    </w:p>
    <w:p w:rsidR="00F42656" w:rsidRDefault="00FC4A82">
      <w:pPr>
        <w:pStyle w:val="BodyText"/>
        <w:rPr>
          <w:lang w:eastAsia="zh-CN"/>
        </w:rPr>
      </w:pPr>
      <w:r>
        <w:rPr>
          <w:lang w:eastAsia="zh-CN"/>
        </w:rPr>
        <w:t>证监会的调查发现，保荐人未有确保御峰集团的申请版本已披露所有重大资料。</w:t>
      </w:r>
      <w:r>
        <w:rPr>
          <w:lang w:eastAsia="zh-CN"/>
        </w:rPr>
        <w:t xml:space="preserve"> </w:t>
      </w:r>
      <w:r>
        <w:rPr>
          <w:lang w:eastAsia="zh-CN"/>
        </w:rPr>
        <w:t>特别是，它没有披露以下内容：</w:t>
      </w:r>
    </w:p>
    <w:p w:rsidR="00F42656" w:rsidRDefault="00FC4A82">
      <w:pPr>
        <w:pStyle w:val="Compact"/>
        <w:numPr>
          <w:ilvl w:val="0"/>
          <w:numId w:val="15"/>
        </w:numPr>
        <w:rPr>
          <w:lang w:eastAsia="zh-CN"/>
        </w:rPr>
      </w:pPr>
      <w:r>
        <w:rPr>
          <w:lang w:eastAsia="zh-CN"/>
        </w:rPr>
        <w:t>御峰集团客户与其第三方付款人的关系的细节及详情，或作出第三方付款的理由；</w:t>
      </w:r>
    </w:p>
    <w:p w:rsidR="00F42656" w:rsidRDefault="00FC4A82">
      <w:pPr>
        <w:pStyle w:val="Compact"/>
        <w:numPr>
          <w:ilvl w:val="0"/>
          <w:numId w:val="15"/>
        </w:numPr>
        <w:rPr>
          <w:lang w:eastAsia="zh-CN"/>
        </w:rPr>
      </w:pPr>
      <w:r>
        <w:rPr>
          <w:lang w:eastAsia="zh-CN"/>
        </w:rPr>
        <w:t>一名第三方付款人为御峰集团副总经理的配偶；</w:t>
      </w:r>
    </w:p>
    <w:p w:rsidR="00F42656" w:rsidRDefault="00FC4A82">
      <w:pPr>
        <w:pStyle w:val="Compact"/>
        <w:numPr>
          <w:ilvl w:val="0"/>
          <w:numId w:val="15"/>
        </w:numPr>
        <w:rPr>
          <w:lang w:eastAsia="zh-CN"/>
        </w:rPr>
      </w:pPr>
      <w:r>
        <w:rPr>
          <w:lang w:eastAsia="zh-CN"/>
        </w:rPr>
        <w:t>应收一名股东款项</w:t>
      </w:r>
      <w:r>
        <w:rPr>
          <w:lang w:eastAsia="zh-CN"/>
        </w:rPr>
        <w:t>”</w:t>
      </w:r>
      <w:r>
        <w:rPr>
          <w:lang w:eastAsia="zh-CN"/>
        </w:rPr>
        <w:t>大幅增加，主要源于御峰集团主席为促成自己与相熟公司之间的该等融资安排而提取的款项，而当中部分公司是第三方付款人，或是与御峰集团客户有关连的实体；或</w:t>
      </w:r>
    </w:p>
    <w:p w:rsidR="00F42656" w:rsidRDefault="00FC4A82">
      <w:pPr>
        <w:pStyle w:val="Compact"/>
        <w:numPr>
          <w:ilvl w:val="0"/>
          <w:numId w:val="15"/>
        </w:numPr>
      </w:pPr>
      <w:r>
        <w:t>关于可疑交易的解释。</w:t>
      </w:r>
    </w:p>
    <w:p w:rsidR="00F42656" w:rsidRDefault="00FC4A82" w:rsidP="00FC4A82">
      <w:pPr>
        <w:pStyle w:val="FirstParagraph"/>
        <w:jc w:val="left"/>
      </w:pPr>
      <w:hyperlink w:anchor="footnote-8693-1-backlink">
        <w:r>
          <w:t>1</w:t>
        </w:r>
      </w:hyperlink>
      <w:r>
        <w:t xml:space="preserve"> </w:t>
      </w:r>
      <w:hyperlink r:id="rId19">
        <w:r>
          <w:t>https://apps.sfc.hk/edistributionWeb/gateway/TC/news-and-announcements/news/doc?refNo=21PR103</w:t>
        </w:r>
      </w:hyperlink>
    </w:p>
    <w:p w:rsidR="00F42656" w:rsidRDefault="00FC4A82" w:rsidP="00FC4A82">
      <w:pPr>
        <w:pStyle w:val="BodyText"/>
        <w:jc w:val="left"/>
      </w:pPr>
      <w:hyperlink w:anchor="footnote-8693-2-backlink">
        <w:r>
          <w:t>2</w:t>
        </w:r>
      </w:hyperlink>
      <w:r>
        <w:t xml:space="preserve"> </w:t>
      </w:r>
      <w:hyperlink r:id="rId20">
        <w:r>
          <w:t>https://apps.sfc.hk/edistributionWeb/gateway/TC/news-and-announcements/news/enforcement-news/doc?refNo=21PR104</w:t>
        </w:r>
      </w:hyperlink>
    </w:p>
    <w:p w:rsidR="00F42656" w:rsidRDefault="00FC4A82" w:rsidP="00FC4A82">
      <w:pPr>
        <w:pStyle w:val="BodyText"/>
        <w:jc w:val="left"/>
      </w:pPr>
      <w:hyperlink w:anchor="footnote-8693-3-backlink">
        <w:r>
          <w:t>3</w:t>
        </w:r>
      </w:hyperlink>
      <w:r>
        <w:t xml:space="preserve"> </w:t>
      </w:r>
      <w:hyperlink r:id="rId21">
        <w:r>
          <w:t>https://www.sfc.hk/-/media/TC/assets/components/codes/files-current/zh-hant/codes/code-of-conduct-for-pe</w:t>
        </w:r>
        <w:r>
          <w:t>rsons-licensed-by-or-registered-with-the-securities-and-futures-commission/Code_of_conduct-Dec-2020_Chi.pdf</w:t>
        </w:r>
      </w:hyperlink>
    </w:p>
    <w:p w:rsidR="00F42656" w:rsidRDefault="00FC4A82" w:rsidP="00FC4A82">
      <w:pPr>
        <w:pStyle w:val="BodyText"/>
        <w:jc w:val="left"/>
        <w:rPr>
          <w:lang w:eastAsia="zh-CN"/>
        </w:rPr>
      </w:pPr>
      <w:hyperlink w:anchor="footnote-8693-4-backlink">
        <w:r>
          <w:rPr>
            <w:lang w:eastAsia="zh-CN"/>
          </w:rPr>
          <w:t>4</w:t>
        </w:r>
      </w:hyperlink>
      <w:r>
        <w:rPr>
          <w:lang w:eastAsia="zh-CN"/>
        </w:rPr>
        <w:t xml:space="preserve"> </w:t>
      </w:r>
      <w:r>
        <w:rPr>
          <w:lang w:eastAsia="zh-CN"/>
        </w:rPr>
        <w:t>参阅证监会</w:t>
      </w:r>
      <w:hyperlink r:id="rId22">
        <w:r>
          <w:rPr>
            <w:lang w:eastAsia="zh-CN"/>
          </w:rPr>
          <w:t>《洪良因首次公开招股章程内容失实被命令以</w:t>
        </w:r>
        <w:r>
          <w:rPr>
            <w:lang w:eastAsia="zh-CN"/>
          </w:rPr>
          <w:t>10.3</w:t>
        </w:r>
        <w:r>
          <w:rPr>
            <w:lang w:eastAsia="zh-CN"/>
          </w:rPr>
          <w:t>亿港元提出回购建议》</w:t>
        </w:r>
      </w:hyperlink>
      <w:r>
        <w:rPr>
          <w:lang w:eastAsia="zh-CN"/>
        </w:rPr>
        <w:t>（</w:t>
      </w:r>
      <w:r>
        <w:rPr>
          <w:lang w:eastAsia="zh-CN"/>
        </w:rPr>
        <w:t>2012</w:t>
      </w:r>
      <w:r>
        <w:rPr>
          <w:lang w:eastAsia="zh-CN"/>
        </w:rPr>
        <w:t>年</w:t>
      </w:r>
      <w:r>
        <w:rPr>
          <w:lang w:eastAsia="zh-CN"/>
        </w:rPr>
        <w:t>6</w:t>
      </w:r>
      <w:r>
        <w:rPr>
          <w:lang w:eastAsia="zh-CN"/>
        </w:rPr>
        <w:t>月</w:t>
      </w:r>
      <w:r>
        <w:rPr>
          <w:lang w:eastAsia="zh-CN"/>
        </w:rPr>
        <w:t>20</w:t>
      </w:r>
      <w:r>
        <w:rPr>
          <w:lang w:eastAsia="zh-CN"/>
        </w:rPr>
        <w:t>日）</w:t>
      </w:r>
    </w:p>
    <w:p w:rsidR="00F42656" w:rsidRDefault="00FC4A82" w:rsidP="00FC4A82">
      <w:pPr>
        <w:pStyle w:val="BodyText"/>
        <w:jc w:val="left"/>
        <w:rPr>
          <w:lang w:eastAsia="zh-CN"/>
        </w:rPr>
      </w:pPr>
      <w:hyperlink w:anchor="footnote-8693-5-backlink">
        <w:r>
          <w:rPr>
            <w:lang w:eastAsia="zh-CN"/>
          </w:rPr>
          <w:t>5</w:t>
        </w:r>
      </w:hyperlink>
      <w:r>
        <w:rPr>
          <w:lang w:eastAsia="zh-CN"/>
        </w:rPr>
        <w:t xml:space="preserve"> </w:t>
      </w:r>
      <w:r>
        <w:rPr>
          <w:lang w:eastAsia="zh-CN"/>
        </w:rPr>
        <w:t>该等建议仅于</w:t>
      </w:r>
      <w:r>
        <w:rPr>
          <w:lang w:eastAsia="zh-CN"/>
        </w:rPr>
        <w:t>2012</w:t>
      </w:r>
      <w:r>
        <w:rPr>
          <w:lang w:eastAsia="zh-CN"/>
        </w:rPr>
        <w:t>年</w:t>
      </w:r>
      <w:r>
        <w:rPr>
          <w:lang w:eastAsia="zh-CN"/>
        </w:rPr>
        <w:t>5</w:t>
      </w:r>
      <w:r>
        <w:rPr>
          <w:lang w:eastAsia="zh-CN"/>
        </w:rPr>
        <w:t>月份进行过谘询，当时证监会刊发了《有关监管保荐人的咨询文件》，其中包含的若干</w:t>
      </w:r>
      <w:r>
        <w:rPr>
          <w:lang w:eastAsia="zh-CN"/>
        </w:rPr>
        <w:t>建议现构成证监会《操守准则》第</w:t>
      </w:r>
      <w:r>
        <w:rPr>
          <w:lang w:eastAsia="zh-CN"/>
        </w:rPr>
        <w:t>17</w:t>
      </w:r>
      <w:r>
        <w:rPr>
          <w:lang w:eastAsia="zh-CN"/>
        </w:rPr>
        <w:t>段。</w:t>
      </w:r>
    </w:p>
    <w:p w:rsidR="00F42656" w:rsidRDefault="00FC4A82" w:rsidP="00FC4A82">
      <w:pPr>
        <w:pStyle w:val="BodyText"/>
        <w:jc w:val="left"/>
      </w:pPr>
      <w:hyperlink w:anchor="footnote-8693-6-backlink">
        <w:r>
          <w:t>6</w:t>
        </w:r>
      </w:hyperlink>
      <w:r>
        <w:t xml:space="preserve"> </w:t>
      </w:r>
      <w:hyperlink r:id="rId23">
        <w:r>
          <w:t>https://apps.sfc.hk/edistributionWeb/api/news/openAppendix?lang=TC&amp;refNo=21P</w:t>
        </w:r>
        <w:r>
          <w:t>R103&amp;appendix=0</w:t>
        </w:r>
      </w:hyperlink>
    </w:p>
    <w:p w:rsidR="00F42656" w:rsidRDefault="00FC4A82" w:rsidP="00FC4A82">
      <w:pPr>
        <w:pStyle w:val="BodyText"/>
        <w:jc w:val="left"/>
      </w:pPr>
      <w:hyperlink w:anchor="footnote-8693-7-backlink">
        <w:r>
          <w:t>7</w:t>
        </w:r>
      </w:hyperlink>
      <w:r>
        <w:t xml:space="preserve"> </w:t>
      </w:r>
      <w:hyperlink r:id="rId24">
        <w:r>
          <w:t>https://apps.sfc.hk/edistributionWeb/gateway/TC/news-and-announcements/news/do</w:t>
        </w:r>
        <w:r>
          <w:t>c?refNo=21PR103</w:t>
        </w:r>
      </w:hyperlink>
    </w:p>
    <w:p w:rsidR="00F42656" w:rsidRDefault="00FC4A82" w:rsidP="00FC4A82">
      <w:pPr>
        <w:pStyle w:val="BodyText"/>
        <w:jc w:val="left"/>
      </w:pPr>
      <w:hyperlink w:anchor="footnote-8693-8-backlink">
        <w:r>
          <w:t>8</w:t>
        </w:r>
      </w:hyperlink>
      <w:r>
        <w:t xml:space="preserve"> </w:t>
      </w:r>
      <w:hyperlink r:id="rId25">
        <w:r>
          <w:t>https://apps.sfc.hk/edistributionWeb/api/news/openAppendix?lang=TC&amp;refNo=21PR103</w:t>
        </w:r>
        <w:r>
          <w:t>&amp;appendix=0</w:t>
        </w:r>
      </w:hyperlink>
    </w:p>
    <w:p w:rsidR="00F42656" w:rsidRDefault="00FC4A82" w:rsidP="00FC4A82">
      <w:pPr>
        <w:pStyle w:val="BodyText"/>
        <w:jc w:val="left"/>
      </w:pPr>
      <w:hyperlink w:anchor="footnote-8693-9-backlink">
        <w:r>
          <w:t>9</w:t>
        </w:r>
      </w:hyperlink>
      <w:r>
        <w:t xml:space="preserve"> </w:t>
      </w:r>
      <w:hyperlink r:id="rId26">
        <w:r>
          <w:t>https://cn-rules.hkex.com.hk/sites/default/files/net_file_store/HKEXCN_TC_10646_VER</w:t>
        </w:r>
        <w:r>
          <w:t>10174.pdf</w:t>
        </w:r>
      </w:hyperlink>
    </w:p>
    <w:p w:rsidR="00F42656" w:rsidRDefault="00FC4A82" w:rsidP="00FC4A82">
      <w:pPr>
        <w:pStyle w:val="BodyText"/>
        <w:jc w:val="left"/>
      </w:pPr>
      <w:hyperlink w:anchor="footnote-8693-10-backlink">
        <w:r>
          <w:t>10</w:t>
        </w:r>
      </w:hyperlink>
      <w:r>
        <w:t xml:space="preserve"> </w:t>
      </w:r>
      <w:hyperlink r:id="rId27">
        <w:r>
          <w:t>https://apps.sfc.hk/edistributionWeb/gateway/TC/news-and-announce</w:t>
        </w:r>
        <w:r>
          <w:t>ments/news/enforcement-news/doc?refNo=21PR104</w:t>
        </w:r>
      </w:hyperlink>
    </w:p>
    <w:p w:rsidR="00F42656" w:rsidRDefault="00FC4A82" w:rsidP="00FC4A82">
      <w:pPr>
        <w:pStyle w:val="BodyText"/>
        <w:jc w:val="left"/>
      </w:pPr>
      <w:hyperlink w:anchor="footnote-8693-11-backlink">
        <w:r>
          <w:t>11</w:t>
        </w:r>
      </w:hyperlink>
      <w:r>
        <w:t xml:space="preserve"> </w:t>
      </w:r>
      <w:hyperlink r:id="rId28">
        <w:r>
          <w:t>https://www.sfat.gov.hk/files/SFAT4%20-%202020%20-%20Determination%20(19.10.2021)(final).pdf</w:t>
        </w:r>
      </w:hyperlink>
    </w:p>
    <w:p w:rsidR="00F42656" w:rsidRDefault="00FC4A82" w:rsidP="00FC4A82">
      <w:pPr>
        <w:pStyle w:val="BodyText"/>
        <w:jc w:val="left"/>
        <w:rPr>
          <w:lang w:eastAsia="zh-CN"/>
        </w:rPr>
      </w:pPr>
      <w:hyperlink w:anchor="footnote-8693-12-backlink">
        <w:r>
          <w:rPr>
            <w:lang w:eastAsia="zh-CN"/>
          </w:rPr>
          <w:t>12</w:t>
        </w:r>
      </w:hyperlink>
      <w:r>
        <w:rPr>
          <w:lang w:eastAsia="zh-CN"/>
        </w:rPr>
        <w:t xml:space="preserve"> </w:t>
      </w:r>
      <w:r>
        <w:rPr>
          <w:lang w:eastAsia="zh-CN"/>
        </w:rPr>
        <w:t>该公司在</w:t>
      </w:r>
      <w:r>
        <w:rPr>
          <w:lang w:eastAsia="zh-CN"/>
        </w:rPr>
        <w:t>2015</w:t>
      </w:r>
      <w:r>
        <w:rPr>
          <w:lang w:eastAsia="zh-CN"/>
        </w:rPr>
        <w:t>年</w:t>
      </w:r>
      <w:r>
        <w:rPr>
          <w:lang w:eastAsia="zh-CN"/>
        </w:rPr>
        <w:t>11</w:t>
      </w:r>
      <w:r>
        <w:rPr>
          <w:lang w:eastAsia="zh-CN"/>
        </w:rPr>
        <w:t>月至</w:t>
      </w:r>
      <w:r>
        <w:rPr>
          <w:lang w:eastAsia="zh-CN"/>
        </w:rPr>
        <w:t>2017</w:t>
      </w:r>
      <w:r>
        <w:rPr>
          <w:lang w:eastAsia="zh-CN"/>
        </w:rPr>
        <w:t>年</w:t>
      </w:r>
      <w:r>
        <w:rPr>
          <w:lang w:eastAsia="zh-CN"/>
        </w:rPr>
        <w:t>12</w:t>
      </w:r>
      <w:r>
        <w:rPr>
          <w:lang w:eastAsia="zh-CN"/>
        </w:rPr>
        <w:t>月期间称为兆邦基国际融资有限公</w:t>
      </w:r>
      <w:bookmarkStart w:id="0" w:name="_GoBack"/>
      <w:bookmarkEnd w:id="0"/>
      <w:r>
        <w:rPr>
          <w:lang w:eastAsia="zh-CN"/>
        </w:rPr>
        <w:t>司，而在</w:t>
      </w:r>
      <w:r>
        <w:rPr>
          <w:lang w:eastAsia="zh-CN"/>
        </w:rPr>
        <w:t>2017</w:t>
      </w:r>
      <w:r>
        <w:rPr>
          <w:lang w:eastAsia="zh-CN"/>
        </w:rPr>
        <w:t>年</w:t>
      </w:r>
      <w:r>
        <w:rPr>
          <w:lang w:eastAsia="zh-CN"/>
        </w:rPr>
        <w:t>12</w:t>
      </w:r>
      <w:r>
        <w:rPr>
          <w:lang w:eastAsia="zh-CN"/>
        </w:rPr>
        <w:t>月至</w:t>
      </w:r>
      <w:r>
        <w:rPr>
          <w:lang w:eastAsia="zh-CN"/>
        </w:rPr>
        <w:t>2018</w:t>
      </w:r>
      <w:r>
        <w:rPr>
          <w:lang w:eastAsia="zh-CN"/>
        </w:rPr>
        <w:t>年</w:t>
      </w:r>
      <w:r>
        <w:rPr>
          <w:lang w:eastAsia="zh-CN"/>
        </w:rPr>
        <w:t>8</w:t>
      </w:r>
      <w:r>
        <w:rPr>
          <w:lang w:eastAsia="zh-CN"/>
        </w:rPr>
        <w:t>月期间则称为立桥国际融资有限公司。之后再更名为易顺达融资有限公司。</w:t>
      </w:r>
    </w:p>
    <w:p w:rsidR="00F42656" w:rsidRDefault="00FC4A82" w:rsidP="00FC4A82">
      <w:pPr>
        <w:pStyle w:val="BodyText"/>
        <w:jc w:val="left"/>
        <w:rPr>
          <w:lang w:eastAsia="zh-CN"/>
        </w:rPr>
      </w:pPr>
      <w:hyperlink w:anchor="footnote-8693-13-backlink">
        <w:r>
          <w:rPr>
            <w:lang w:eastAsia="zh-CN"/>
          </w:rPr>
          <w:t>13</w:t>
        </w:r>
      </w:hyperlink>
      <w:r>
        <w:rPr>
          <w:lang w:eastAsia="zh-CN"/>
        </w:rPr>
        <w:t xml:space="preserve"> </w:t>
      </w:r>
      <w:r>
        <w:rPr>
          <w:lang w:eastAsia="zh-CN"/>
        </w:rPr>
        <w:t>参阅</w:t>
      </w:r>
      <w:hyperlink r:id="rId29">
        <w:r>
          <w:rPr>
            <w:lang w:eastAsia="zh-CN"/>
          </w:rPr>
          <w:t>上诉审裁处</w:t>
        </w:r>
      </w:hyperlink>
      <w:r>
        <w:rPr>
          <w:lang w:eastAsia="zh-CN"/>
        </w:rPr>
        <w:t>于</w:t>
      </w:r>
      <w:r>
        <w:rPr>
          <w:lang w:eastAsia="zh-CN"/>
        </w:rPr>
        <w:t>2021</w:t>
      </w:r>
      <w:r>
        <w:rPr>
          <w:lang w:eastAsia="zh-CN"/>
        </w:rPr>
        <w:t>年</w:t>
      </w:r>
      <w:r>
        <w:rPr>
          <w:lang w:eastAsia="zh-CN"/>
        </w:rPr>
        <w:t>10</w:t>
      </w:r>
      <w:r>
        <w:rPr>
          <w:lang w:eastAsia="zh-CN"/>
        </w:rPr>
        <w:t>月</w:t>
      </w:r>
      <w:r>
        <w:rPr>
          <w:lang w:eastAsia="zh-CN"/>
        </w:rPr>
        <w:t>19</w:t>
      </w:r>
      <w:r>
        <w:rPr>
          <w:lang w:eastAsia="zh-CN"/>
        </w:rPr>
        <w:t>日作出的裁定第</w:t>
      </w:r>
      <w:r>
        <w:rPr>
          <w:lang w:eastAsia="zh-CN"/>
        </w:rPr>
        <w:t>12</w:t>
      </w:r>
      <w:r>
        <w:rPr>
          <w:lang w:eastAsia="zh-CN"/>
        </w:rPr>
        <w:t>段</w:t>
      </w:r>
    </w:p>
    <w:p w:rsidR="00F42656" w:rsidRDefault="00FC4A82" w:rsidP="00FC4A82">
      <w:pPr>
        <w:pStyle w:val="BodyText"/>
        <w:jc w:val="left"/>
      </w:pPr>
      <w:hyperlink w:anchor="footnote-8693-14-backlink">
        <w:r>
          <w:t>14</w:t>
        </w:r>
      </w:hyperlink>
      <w:r>
        <w:t xml:space="preserve"> </w:t>
      </w:r>
      <w:hyperlink r:id="rId30">
        <w:r>
          <w:t>https://apps.sfc.hk/edistributionWeb/gateway/TC/news-and-announcements/news/doc?refNo=20PR90</w:t>
        </w:r>
      </w:hyperlink>
    </w:p>
    <w:p w:rsidR="00F42656" w:rsidRDefault="00FC4A82" w:rsidP="00FC4A82">
      <w:pPr>
        <w:pStyle w:val="BodyText"/>
        <w:jc w:val="left"/>
        <w:rPr>
          <w:lang w:eastAsia="zh-CN"/>
        </w:rPr>
      </w:pPr>
      <w:hyperlink w:anchor="footnote-8693-15-backlink">
        <w:r>
          <w:rPr>
            <w:lang w:eastAsia="zh-CN"/>
          </w:rPr>
          <w:t>15</w:t>
        </w:r>
      </w:hyperlink>
      <w:r>
        <w:rPr>
          <w:lang w:eastAsia="zh-CN"/>
        </w:rPr>
        <w:t xml:space="preserve"> </w:t>
      </w:r>
      <w:r>
        <w:rPr>
          <w:lang w:eastAsia="zh-CN"/>
        </w:rPr>
        <w:t>申请编号</w:t>
      </w:r>
      <w:r>
        <w:rPr>
          <w:lang w:eastAsia="zh-CN"/>
        </w:rPr>
        <w:t>2013</w:t>
      </w:r>
      <w:r>
        <w:rPr>
          <w:lang w:eastAsia="zh-CN"/>
        </w:rPr>
        <w:t>年第</w:t>
      </w:r>
      <w:r>
        <w:rPr>
          <w:lang w:eastAsia="zh-CN"/>
        </w:rPr>
        <w:t>3</w:t>
      </w:r>
      <w:r>
        <w:rPr>
          <w:lang w:eastAsia="zh-CN"/>
        </w:rPr>
        <w:t>号</w:t>
      </w:r>
      <w:r>
        <w:rPr>
          <w:lang w:eastAsia="zh-CN"/>
        </w:rPr>
        <w:t xml:space="preserve"> </w:t>
      </w:r>
      <w:hyperlink r:id="rId31">
        <w:r>
          <w:rPr>
            <w:lang w:eastAsia="zh-CN"/>
          </w:rPr>
          <w:t>https://www.sfat.gov.hk/files/AN-3-2013-Determination.pdf</w:t>
        </w:r>
      </w:hyperlink>
    </w:p>
    <w:p w:rsidR="00F42656" w:rsidRDefault="00FC4A82">
      <w:pPr>
        <w:pStyle w:val="DisclaimerBold"/>
        <w:rPr>
          <w:lang w:eastAsia="zh-CN"/>
        </w:rPr>
      </w:pPr>
      <w:r>
        <w:rPr>
          <w:lang w:eastAsia="zh-CN"/>
        </w:rPr>
        <w:t>此法讯仅为提供相关资料信息之用，其内容并</w:t>
      </w:r>
    </w:p>
    <w:p w:rsidR="00F42656" w:rsidRDefault="00FC4A82">
      <w:pPr>
        <w:pStyle w:val="Disclaimer"/>
        <w:rPr>
          <w:lang w:eastAsia="zh-CN"/>
        </w:rPr>
      </w:pPr>
      <w:r>
        <w:rPr>
          <w:lang w:eastAsia="zh-CN"/>
        </w:rPr>
        <w:t>不构成法律建议及个案的法律分析。</w:t>
      </w:r>
    </w:p>
    <w:p w:rsidR="00F42656" w:rsidRDefault="00FC4A82">
      <w:pPr>
        <w:pStyle w:val="Disclaimer"/>
        <w:rPr>
          <w:lang w:eastAsia="zh-CN"/>
        </w:rPr>
      </w:pPr>
      <w:r>
        <w:rPr>
          <w:lang w:eastAsia="zh-CN"/>
        </w:rPr>
        <w:t>此法讯的发送并不是为了在易周律师行与用户或浏览者之间建立一种律师与客户之关系。</w:t>
      </w:r>
    </w:p>
    <w:p w:rsidR="00F42656" w:rsidRDefault="00FC4A82">
      <w:pPr>
        <w:pStyle w:val="Disclaimer"/>
        <w:rPr>
          <w:lang w:eastAsia="zh-CN"/>
        </w:rPr>
      </w:pPr>
      <w:r>
        <w:rPr>
          <w:lang w:eastAsia="zh-CN"/>
        </w:rPr>
        <w:t>易周律师行并不对可从互联网获得的任何第三方内容负责。</w:t>
      </w:r>
    </w:p>
    <w:p w:rsidR="00F42656" w:rsidRDefault="00FC4A82">
      <w:pPr>
        <w:pStyle w:val="Disclaimer"/>
        <w:rPr>
          <w:lang w:eastAsia="zh-CN"/>
        </w:rPr>
      </w:pPr>
      <w:r>
        <w:rPr>
          <w:lang w:eastAsia="zh-CN"/>
        </w:rPr>
        <w:t>如你不希望再收到易周法讯，请发送电邮至</w:t>
      </w:r>
      <w:r>
        <w:rPr>
          <w:lang w:eastAsia="zh-CN"/>
        </w:rPr>
        <w:t xml:space="preserve">  </w:t>
      </w:r>
      <w:hyperlink r:id="rId32">
        <w:r>
          <w:rPr>
            <w:lang w:eastAsia="zh-CN"/>
          </w:rPr>
          <w:t>unsubscribe@charltonslaw.com</w:t>
        </w:r>
      </w:hyperlink>
    </w:p>
    <w:p w:rsidR="00F42656" w:rsidRDefault="00FC4A82">
      <w:pPr>
        <w:pStyle w:val="BlackStrips"/>
      </w:pPr>
      <w:r>
        <w:t xml:space="preserve">Charltons - </w:t>
      </w:r>
      <w:r>
        <w:t>香港法律</w:t>
      </w:r>
      <w:r>
        <w:t xml:space="preserve"> - 2022</w:t>
      </w:r>
      <w:r>
        <w:t>年</w:t>
      </w:r>
      <w:r>
        <w:t>3</w:t>
      </w:r>
      <w:r>
        <w:t>月</w:t>
      </w:r>
      <w:r>
        <w:t>18</w:t>
      </w:r>
      <w:r>
        <w:t>日</w:t>
      </w:r>
    </w:p>
    <w:sectPr w:rsidR="00F4265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4A82">
      <w:pPr>
        <w:spacing w:after="0"/>
      </w:pPr>
      <w:r>
        <w:separator/>
      </w:r>
    </w:p>
  </w:endnote>
  <w:endnote w:type="continuationSeparator" w:id="0">
    <w:p w:rsidR="00000000" w:rsidRDefault="00FC4A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56" w:rsidRDefault="00FC4A82">
      <w:r>
        <w:separator/>
      </w:r>
    </w:p>
  </w:footnote>
  <w:footnote w:type="continuationSeparator" w:id="0">
    <w:p w:rsidR="00F42656" w:rsidRDefault="00FC4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8370DE6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75CECCB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0589E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7D62AFB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1315DCA"/>
    <w:multiLevelType w:val="multilevel"/>
    <w:tmpl w:val="13C25D3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90D07"/>
    <w:rsid w:val="00784D58"/>
    <w:rsid w:val="008D6863"/>
    <w:rsid w:val="00B86B75"/>
    <w:rsid w:val="00BC48D5"/>
    <w:rsid w:val="00C36279"/>
    <w:rsid w:val="00E315A3"/>
    <w:rsid w:val="00F42656"/>
    <w:rsid w:val="00FC4A8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6ED5"/>
  <w15:docId w15:val="{32085A0A-3F98-4B4F-B1C6-EBB7ECA6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TC/news-and-announcements/news/doc?refNo=21PR103" TargetMode="External"/><Relationship Id="rId13" Type="http://schemas.openxmlformats.org/officeDocument/2006/relationships/hyperlink" Target="https://apps.sfc.hk/edistributionWeb/api/news/openAppendix?lang=TC&amp;refNo=21PR103&amp;appendix=0" TargetMode="External"/><Relationship Id="rId18" Type="http://schemas.openxmlformats.org/officeDocument/2006/relationships/hyperlink" Target="https://www.sfat.gov.hk/files/AN-3-2013-Determination.pdf" TargetMode="External"/><Relationship Id="rId26" Type="http://schemas.openxmlformats.org/officeDocument/2006/relationships/hyperlink" Target="https://cn-rules.hkex.com.hk/sites/default/files/net_file_store/HKEXCN_TC_10646_VER10174.pdf" TargetMode="External"/><Relationship Id="rId3" Type="http://schemas.openxmlformats.org/officeDocument/2006/relationships/settings" Target="settings.xml"/><Relationship Id="rId21" Type="http://schemas.openxmlformats.org/officeDocument/2006/relationships/hyperlink" Target="https://www.sfc.hk/-/media/TC/assets/components/codes/files-current/zh-hant/codes/code-of-conduct-for-persons-licensed-by-or-registered-with-the-securities-and-futures-commission/Code_of_conduct-Dec-2020_Chi.pdf" TargetMode="External"/><Relationship Id="rId34" Type="http://schemas.openxmlformats.org/officeDocument/2006/relationships/theme" Target="theme/theme1.xml"/><Relationship Id="rId7" Type="http://schemas.openxmlformats.org/officeDocument/2006/relationships/hyperlink" Target="http://www.charltonslaw.com.cn/xiang-gang-zheng-jian-hui-zhen-dui-jin-zhi-shen-cha-gong-zuo-que-shi-dui-shou-ci-gong-kai-zhao-gu-bao-jian-ren-fa-kuan" TargetMode="External"/><Relationship Id="rId12" Type="http://schemas.openxmlformats.org/officeDocument/2006/relationships/hyperlink" Target="https://apps.sfc.hk/edistributionWeb/gateway/TC/news-and-announcements/news/doc?refNo=21PR103" TargetMode="External"/><Relationship Id="rId17" Type="http://schemas.openxmlformats.org/officeDocument/2006/relationships/hyperlink" Target="https://apps.sfc.hk/edistributionWeb/gateway/TC/news-and-announcements/news/doc?refNo=20PR90" TargetMode="External"/><Relationship Id="rId25" Type="http://schemas.openxmlformats.org/officeDocument/2006/relationships/hyperlink" Target="https://apps.sfc.hk/edistributionWeb/api/news/openAppendix?lang=TC&amp;refNo=21PR103&amp;appendix=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fat.gov.hk/files/SFAT4%20-%202020%20-%20Determination%20(19.10.2021)(final).pdf" TargetMode="External"/><Relationship Id="rId20" Type="http://schemas.openxmlformats.org/officeDocument/2006/relationships/hyperlink" Target="https://apps.sfc.hk/edistributionWeb/gateway/TC/news-and-announcements/news/enforcement-news/doc?refNo=21PR104" TargetMode="External"/><Relationship Id="rId29" Type="http://schemas.openxmlformats.org/officeDocument/2006/relationships/hyperlink" Target="https://www.sfat.gov.hk/files/SFAT4%20-%202020%20-%20Determination%20(19.10.2021)(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news/openAppendix?lang=TC&amp;refNo=21PR103&amp;appendix=0" TargetMode="External"/><Relationship Id="rId24" Type="http://schemas.openxmlformats.org/officeDocument/2006/relationships/hyperlink" Target="https://apps.sfc.hk/edistributionWeb/gateway/TC/news-and-announcements/news/doc?refNo=21PR103" TargetMode="External"/><Relationship Id="rId32"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5" Type="http://schemas.openxmlformats.org/officeDocument/2006/relationships/hyperlink" Target="https://apps.sfc.hk/edistributionWeb/gateway/TC/news-and-announcements/news/enforcement-news/doc?refNo=21PR104" TargetMode="External"/><Relationship Id="rId23" Type="http://schemas.openxmlformats.org/officeDocument/2006/relationships/hyperlink" Target="https://apps.sfc.hk/edistributionWeb/api/news/openAppendix?lang=TC&amp;refNo=21PR103&amp;appendix=0" TargetMode="External"/><Relationship Id="rId28" Type="http://schemas.openxmlformats.org/officeDocument/2006/relationships/hyperlink" Target="https://www.sfat.gov.hk/files/SFAT4%20-%202020%20-%20Determination%20(19.10.2021)(final).pdf" TargetMode="External"/><Relationship Id="rId10" Type="http://schemas.openxmlformats.org/officeDocument/2006/relationships/hyperlink" Target="https://www.sfc.hk/-/media/TC/assets/components/codes/files-current/zh-hant/codes/code-of-conduct-for-persons-licensed-by-or-registered-with-the-securities-and-futures-commission/Code_of_conduct-Dec-2020_Chi.pdf" TargetMode="External"/><Relationship Id="rId19" Type="http://schemas.openxmlformats.org/officeDocument/2006/relationships/hyperlink" Target="https://apps.sfc.hk/edistributionWeb/gateway/TC/news-and-announcements/news/doc?refNo=21PR103" TargetMode="External"/><Relationship Id="rId31" Type="http://schemas.openxmlformats.org/officeDocument/2006/relationships/hyperlink" Target="https://www.sfat.gov.hk/files/AN-3-2013-Determination.pdf" TargetMode="External"/><Relationship Id="rId4" Type="http://schemas.openxmlformats.org/officeDocument/2006/relationships/webSettings" Target="webSettings.xml"/><Relationship Id="rId9" Type="http://schemas.openxmlformats.org/officeDocument/2006/relationships/hyperlink" Target="https://apps.sfc.hk/edistributionWeb/gateway/TC/news-and-announcements/news/enforcement-news/doc?refNo=21PR104" TargetMode="External"/><Relationship Id="rId14" Type="http://schemas.openxmlformats.org/officeDocument/2006/relationships/hyperlink" Target="https://cn-rules.hkex.com.hk/sites/default/files/net_file_store/HKEXCN_TC_10646_VER10174.pdf" TargetMode="External"/><Relationship Id="rId22" Type="http://schemas.openxmlformats.org/officeDocument/2006/relationships/hyperlink" Target="https://apps.sfc.hk/edistributionWeb/gateway/TC/news-and-announcements/news/doc?refNo=12PR63" TargetMode="External"/><Relationship Id="rId27" Type="http://schemas.openxmlformats.org/officeDocument/2006/relationships/hyperlink" Target="https://apps.sfc.hk/edistributionWeb/gateway/TC/news-and-announcements/news/enforcement-news/doc?refNo=21PR104" TargetMode="External"/><Relationship Id="rId30" Type="http://schemas.openxmlformats.org/officeDocument/2006/relationships/hyperlink" Target="https://apps.sfc.hk/edistributionWeb/gateway/TC/news-and-announcements/news/doc?refNo=20PR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3335</Words>
  <Characters>19010</Characters>
  <Application>Microsoft Office Word</Application>
  <DocSecurity>4</DocSecurity>
  <Lines>158</Lines>
  <Paragraphs>44</Paragraphs>
  <ScaleCrop>false</ScaleCrop>
  <Company>Charltons</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2</cp:revision>
  <dcterms:created xsi:type="dcterms:W3CDTF">2022-03-18T10:14:00Z</dcterms:created>
  <dcterms:modified xsi:type="dcterms:W3CDTF">2022-03-18T10:14:00Z</dcterms:modified>
</cp:coreProperties>
</file>