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B7" w:rsidRDefault="006E32A0">
      <w:pPr>
        <w:pStyle w:val="BlackStrips"/>
      </w:pPr>
      <w:r>
        <w:t xml:space="preserve">Charltons - </w:t>
      </w:r>
      <w:r>
        <w:t>香港法律</w:t>
      </w:r>
      <w:r>
        <w:t xml:space="preserve"> - 2022</w:t>
      </w:r>
      <w:r>
        <w:t>年</w:t>
      </w:r>
      <w:r>
        <w:t>3</w:t>
      </w:r>
      <w:r>
        <w:t>月</w:t>
      </w:r>
      <w:r>
        <w:t>23</w:t>
      </w:r>
      <w:r>
        <w:t>日</w:t>
      </w:r>
    </w:p>
    <w:p w:rsidR="00F649B7" w:rsidRDefault="006E32A0">
      <w:pPr>
        <w:pStyle w:val="ReadOnline"/>
        <w:rPr>
          <w:lang w:eastAsia="zh-CN"/>
        </w:rPr>
      </w:pPr>
      <w:hyperlink r:id="rId7">
        <w:r>
          <w:rPr>
            <w:lang w:eastAsia="zh-CN"/>
          </w:rPr>
          <w:t>online version</w:t>
        </w:r>
      </w:hyperlink>
    </w:p>
    <w:p w:rsidR="00F649B7" w:rsidRDefault="006E32A0">
      <w:pPr>
        <w:pStyle w:val="Title"/>
        <w:rPr>
          <w:lang w:eastAsia="zh-CN"/>
        </w:rPr>
      </w:pPr>
      <w:r>
        <w:rPr>
          <w:lang w:eastAsia="zh-CN"/>
        </w:rPr>
        <w:t>证监会梁凤仪女士讲解香港加密货币监管方面的最新进展</w:t>
      </w:r>
    </w:p>
    <w:p w:rsidR="00F649B7" w:rsidRDefault="006E32A0">
      <w:pPr>
        <w:pStyle w:val="FirstParagraph"/>
        <w:rPr>
          <w:lang w:eastAsia="zh-CN"/>
        </w:rPr>
      </w:pPr>
      <w:r>
        <w:rPr>
          <w:lang w:eastAsia="zh-CN"/>
        </w:rPr>
        <w:t>梁凤仪女士在香港金融科技周发表的主题演说</w:t>
      </w:r>
      <w:hyperlink r:id="rId8">
        <w:r>
          <w:rPr>
            <w:lang w:eastAsia="zh-CN"/>
          </w:rPr>
          <w:t>《金融科技：金融业的蜕变》</w:t>
        </w:r>
      </w:hyperlink>
      <w:hyperlink w:anchor="footnote-8693-1">
        <w:r>
          <w:rPr>
            <w:vertAlign w:val="superscript"/>
            <w:lang w:eastAsia="zh-CN"/>
          </w:rPr>
          <w:t>1</w:t>
        </w:r>
      </w:hyperlink>
      <w:r>
        <w:rPr>
          <w:lang w:eastAsia="zh-CN"/>
        </w:rPr>
        <w:t>中发表了欢迎词并讲解了香港的金融科技监管方针的最新进展，同时分享了证监会对于香港加密货币监管的最新想法。香港证监会副行政总裁兼中介机构部执行董事梁凤仪女士提到了金融行业加快了科技的应用，特别是在线平台在销售投资产品</w:t>
      </w:r>
      <w:r>
        <w:rPr>
          <w:lang w:eastAsia="zh-CN"/>
        </w:rPr>
        <w:t>方面的角色，并就技术进步在降低成本和提高效率方面给消费者带来的利益进行评论。至于因为加密货币（即虚拟资产）行业发展导致的金融服务的模式转移，梁凤仪女士解释了证监会如何已采取宽松的监管方针促进行业发展并保护投资者。</w:t>
      </w:r>
    </w:p>
    <w:p w:rsidR="00F649B7" w:rsidRDefault="006E32A0">
      <w:pPr>
        <w:pStyle w:val="BodyText"/>
        <w:rPr>
          <w:lang w:eastAsia="zh-CN"/>
        </w:rPr>
      </w:pPr>
      <w:r>
        <w:rPr>
          <w:lang w:eastAsia="zh-CN"/>
        </w:rPr>
        <w:t>随着虚拟资产现正逐步融入主流金融领域，加密货币相关买卖活动快速发展，梁凤仪女士解释道证监会目前正在检讨过去几年的监管措施，以评估其是否仍然切合监管目的。证监会正在考虑应否允许散户投资者透过网上经纪投资加密货币买卖基金，且如果这样的话，是否需要在投资知识水平或风险披露方面订立额外规定。</w:t>
      </w:r>
    </w:p>
    <w:p w:rsidR="00F649B7" w:rsidRDefault="006E32A0">
      <w:pPr>
        <w:pStyle w:val="BodyText"/>
        <w:rPr>
          <w:lang w:eastAsia="zh-CN"/>
        </w:rPr>
      </w:pPr>
      <w:r>
        <w:rPr>
          <w:lang w:eastAsia="zh-CN"/>
        </w:rPr>
        <w:t>香港证监会加</w:t>
      </w:r>
      <w:r>
        <w:rPr>
          <w:lang w:eastAsia="zh-CN"/>
        </w:rPr>
        <w:t>密货币监管回顾</w:t>
      </w:r>
    </w:p>
    <w:p w:rsidR="00F649B7" w:rsidRDefault="006E32A0">
      <w:pPr>
        <w:pStyle w:val="BodyText"/>
        <w:rPr>
          <w:lang w:eastAsia="zh-CN"/>
        </w:rPr>
      </w:pPr>
      <w:r>
        <w:rPr>
          <w:lang w:eastAsia="zh-CN"/>
        </w:rPr>
        <w:t>梁凤仪女士首先介绍了证监会于</w:t>
      </w:r>
      <w:r>
        <w:rPr>
          <w:lang w:eastAsia="zh-CN"/>
        </w:rPr>
        <w:t>2017</w:t>
      </w:r>
      <w:r>
        <w:rPr>
          <w:lang w:eastAsia="zh-CN"/>
        </w:rPr>
        <w:t>年采用的监管规定，当时所谓的首次代币发行开始受到监管机构关注。鉴于当时多家国际监管组织（例如金融稳定理事会）普遍认为加密货币资产不具实际价值，证监会不愿意进行立法变更以规管这些新兴工具，因为其可能结果只是昙花一现。加密货币不属现行「证券」及「期货合约」定义范畴，证监会也担心：</w:t>
      </w:r>
      <w:r>
        <w:rPr>
          <w:lang w:eastAsia="zh-CN"/>
        </w:rPr>
        <w:t>(a)</w:t>
      </w:r>
      <w:r>
        <w:rPr>
          <w:lang w:eastAsia="zh-CN"/>
        </w:rPr>
        <w:t>监管制度可能会赋予加密货币其原本缺乏的合法性；及</w:t>
      </w:r>
      <w:r>
        <w:rPr>
          <w:lang w:eastAsia="zh-CN"/>
        </w:rPr>
        <w:t>(b)</w:t>
      </w:r>
      <w:r>
        <w:rPr>
          <w:lang w:eastAsia="zh-CN"/>
        </w:rPr>
        <w:t>监管可能会扼杀加密货币的发展。</w:t>
      </w:r>
    </w:p>
    <w:p w:rsidR="00F649B7" w:rsidRDefault="006E32A0">
      <w:pPr>
        <w:pStyle w:val="BodyText"/>
        <w:rPr>
          <w:lang w:eastAsia="zh-CN"/>
        </w:rPr>
      </w:pPr>
      <w:r>
        <w:rPr>
          <w:lang w:eastAsia="zh-CN"/>
        </w:rPr>
        <w:t>然而，这些担心必须与不进行监管的风险进行权衡。资产持有人匿名交易的特性引起有关洗钱及恐怖分子</w:t>
      </w:r>
      <w:r>
        <w:rPr>
          <w:lang w:eastAsia="zh-CN"/>
        </w:rPr>
        <w:t>资金筹集的严重问题。在不受规管平台上进行的交易，亦衍生出严重的投资者保障问题，而当中牵涉到网络安全、市场操纵活动以至稳妥保管资产等事宜。</w:t>
      </w:r>
    </w:p>
    <w:p w:rsidR="00F649B7" w:rsidRDefault="006E32A0">
      <w:pPr>
        <w:pStyle w:val="BodyText"/>
        <w:rPr>
          <w:lang w:eastAsia="zh-CN"/>
        </w:rPr>
      </w:pPr>
      <w:r>
        <w:rPr>
          <w:lang w:eastAsia="zh-CN"/>
        </w:rPr>
        <w:lastRenderedPageBreak/>
        <w:t>证监会</w:t>
      </w:r>
      <w:r>
        <w:rPr>
          <w:lang w:eastAsia="zh-CN"/>
        </w:rPr>
        <w:t>2018</w:t>
      </w:r>
      <w:r>
        <w:rPr>
          <w:lang w:eastAsia="zh-CN"/>
        </w:rPr>
        <w:t>年选择加入加密货币监管</w:t>
      </w:r>
    </w:p>
    <w:p w:rsidR="00F649B7" w:rsidRDefault="006E32A0">
      <w:pPr>
        <w:pStyle w:val="BodyText"/>
        <w:rPr>
          <w:lang w:eastAsia="zh-CN"/>
        </w:rPr>
      </w:pPr>
      <w:r>
        <w:rPr>
          <w:lang w:eastAsia="zh-CN"/>
        </w:rPr>
        <w:t>关于洗钱，恐怖分子资金筹集及投资者保护的关注推动了证监会</w:t>
      </w:r>
      <w:r>
        <w:rPr>
          <w:lang w:eastAsia="zh-CN"/>
        </w:rPr>
        <w:t>2018</w:t>
      </w:r>
      <w:r>
        <w:rPr>
          <w:lang w:eastAsia="zh-CN"/>
        </w:rPr>
        <w:t>年刊发的</w:t>
      </w:r>
      <w:hyperlink r:id="rId9">
        <w:r>
          <w:rPr>
            <w:lang w:eastAsia="zh-CN"/>
          </w:rPr>
          <w:t>《有关针对虚拟资产投资组合的管理公司、基金分销商及交易平台营运者的监管框架的声明》</w:t>
        </w:r>
      </w:hyperlink>
      <w:hyperlink w:anchor="footnote-8693-2">
        <w:r>
          <w:rPr>
            <w:vertAlign w:val="superscript"/>
            <w:lang w:eastAsia="zh-CN"/>
          </w:rPr>
          <w:t>2</w:t>
        </w:r>
      </w:hyperlink>
      <w:r>
        <w:rPr>
          <w:lang w:eastAsia="zh-CN"/>
        </w:rPr>
        <w:t>，该份声明中就以下事宜列出规定：</w:t>
      </w:r>
    </w:p>
    <w:p w:rsidR="00F649B7" w:rsidRDefault="006E32A0">
      <w:pPr>
        <w:pStyle w:val="Compact"/>
        <w:numPr>
          <w:ilvl w:val="0"/>
          <w:numId w:val="3"/>
        </w:numPr>
        <w:rPr>
          <w:lang w:eastAsia="zh-CN"/>
        </w:rPr>
      </w:pPr>
      <w:r>
        <w:rPr>
          <w:lang w:eastAsia="zh-CN"/>
        </w:rPr>
        <w:t>将其资产的</w:t>
      </w:r>
      <w:r>
        <w:rPr>
          <w:lang w:eastAsia="zh-CN"/>
        </w:rPr>
        <w:t>10%</w:t>
      </w:r>
      <w:r>
        <w:rPr>
          <w:lang w:eastAsia="zh-CN"/>
        </w:rPr>
        <w:t>或以上投资于虚拟资产（无论该等资产是否属法定定义范畴内的「证券」或「期货合约」）的证监会持牌基金经理人；</w:t>
      </w:r>
    </w:p>
    <w:p w:rsidR="00F649B7" w:rsidRDefault="006E32A0">
      <w:pPr>
        <w:pStyle w:val="Compact"/>
        <w:numPr>
          <w:ilvl w:val="0"/>
          <w:numId w:val="3"/>
        </w:numPr>
      </w:pPr>
      <w:r>
        <w:t>加密基金分销商；及</w:t>
      </w:r>
    </w:p>
    <w:p w:rsidR="00F649B7" w:rsidRDefault="006E32A0">
      <w:pPr>
        <w:pStyle w:val="Compact"/>
        <w:numPr>
          <w:ilvl w:val="0"/>
          <w:numId w:val="3"/>
        </w:numPr>
        <w:rPr>
          <w:lang w:eastAsia="zh-CN"/>
        </w:rPr>
      </w:pPr>
      <w:r>
        <w:rPr>
          <w:lang w:eastAsia="zh-CN"/>
        </w:rPr>
        <w:t>买卖至少一种构成《证券及期货条例》中虚拟资产的交易平台运营者。</w:t>
      </w:r>
    </w:p>
    <w:p w:rsidR="00F649B7" w:rsidRDefault="006E32A0">
      <w:pPr>
        <w:pStyle w:val="FirstParagraph"/>
        <w:rPr>
          <w:lang w:eastAsia="zh-CN"/>
        </w:rPr>
      </w:pPr>
      <w:r>
        <w:rPr>
          <w:lang w:eastAsia="zh-CN"/>
        </w:rPr>
        <w:t>根据这一制度框架，持牌公司仅被准</w:t>
      </w:r>
      <w:r>
        <w:rPr>
          <w:lang w:eastAsia="zh-CN"/>
        </w:rPr>
        <w:t>许向专业投资者（定义见《证券及期货条例》附表</w:t>
      </w:r>
      <w:r>
        <w:rPr>
          <w:lang w:eastAsia="zh-CN"/>
        </w:rPr>
        <w:t>1</w:t>
      </w:r>
      <w:r>
        <w:rPr>
          <w:lang w:eastAsia="zh-CN"/>
        </w:rPr>
        <w:t>以及《证券及期货（专业投资者）规则》）提供加密货币服务。有关该监管框架声明的详细情况，请参阅易周律师行法讯</w:t>
      </w:r>
      <w:r>
        <w:rPr>
          <w:lang w:eastAsia="zh-CN"/>
        </w:rPr>
        <w:t xml:space="preserve"> </w:t>
      </w:r>
      <w:hyperlink r:id="rId10">
        <w:r>
          <w:rPr>
            <w:lang w:eastAsia="zh-CN"/>
          </w:rPr>
          <w:t>《香港证监会发出香港加密基金经理人加密基金发牌条件》</w:t>
        </w:r>
      </w:hyperlink>
      <w:r>
        <w:rPr>
          <w:lang w:eastAsia="zh-CN"/>
        </w:rPr>
        <w:t>。</w:t>
      </w:r>
      <w:hyperlink w:anchor="footnote-8693-3">
        <w:r>
          <w:rPr>
            <w:vertAlign w:val="superscript"/>
            <w:lang w:eastAsia="zh-CN"/>
          </w:rPr>
          <w:t>3</w:t>
        </w:r>
      </w:hyperlink>
    </w:p>
    <w:p w:rsidR="00F649B7" w:rsidRDefault="006E32A0">
      <w:pPr>
        <w:pStyle w:val="BodyText"/>
        <w:rPr>
          <w:lang w:eastAsia="zh-CN"/>
        </w:rPr>
      </w:pPr>
      <w:r>
        <w:rPr>
          <w:lang w:eastAsia="zh-CN"/>
        </w:rPr>
        <w:t>证监会将其</w:t>
      </w:r>
      <w:r>
        <w:rPr>
          <w:lang w:eastAsia="zh-CN"/>
        </w:rPr>
        <w:t>2018</w:t>
      </w:r>
      <w:r>
        <w:rPr>
          <w:lang w:eastAsia="zh-CN"/>
        </w:rPr>
        <w:t>年发出的规定表述为「选择性」监管方针。事实上，如一家公司提供的服务构成与属《证券及期货条例》中所指证券的虚拟资产（例如代币化股票即为一个简单例子）相关的《证券及期货条例》中规定的一项受规管活动（例如交易或者提供意见），那么按照《证券及期货条例》规定进行发牌则属必须而非可选项，这也是该「选择性」标签所建议的内容。</w:t>
      </w:r>
    </w:p>
    <w:p w:rsidR="00F649B7" w:rsidRDefault="006E32A0">
      <w:pPr>
        <w:pStyle w:val="BodyText"/>
        <w:rPr>
          <w:lang w:eastAsia="zh-CN"/>
        </w:rPr>
      </w:pPr>
      <w:r>
        <w:rPr>
          <w:lang w:eastAsia="zh-CN"/>
        </w:rPr>
        <w:t>证监会</w:t>
      </w:r>
      <w:r>
        <w:rPr>
          <w:lang w:eastAsia="zh-CN"/>
        </w:rPr>
        <w:t>2019</w:t>
      </w:r>
      <w:r>
        <w:rPr>
          <w:lang w:eastAsia="zh-CN"/>
        </w:rPr>
        <w:t>加密货币监管</w:t>
      </w:r>
    </w:p>
    <w:p w:rsidR="00F649B7" w:rsidRDefault="006E32A0">
      <w:pPr>
        <w:pStyle w:val="BodyText"/>
        <w:rPr>
          <w:lang w:eastAsia="zh-CN"/>
        </w:rPr>
      </w:pPr>
      <w:r>
        <w:rPr>
          <w:lang w:eastAsia="zh-CN"/>
        </w:rPr>
        <w:t>2019</w:t>
      </w:r>
      <w:r>
        <w:rPr>
          <w:lang w:eastAsia="zh-CN"/>
        </w:rPr>
        <w:t>年</w:t>
      </w:r>
      <w:r>
        <w:rPr>
          <w:lang w:eastAsia="zh-CN"/>
        </w:rPr>
        <w:t>11</w:t>
      </w:r>
      <w:r>
        <w:rPr>
          <w:lang w:eastAsia="zh-CN"/>
        </w:rPr>
        <w:t>月，证监会刊发了</w:t>
      </w:r>
      <w:hyperlink r:id="rId11">
        <w:r>
          <w:rPr>
            <w:lang w:eastAsia="zh-CN"/>
          </w:rPr>
          <w:t>《立场书：监管虚拟资产交易平台》</w:t>
        </w:r>
      </w:hyperlink>
      <w:hyperlink w:anchor="footnote-8693-4">
        <w:r>
          <w:rPr>
            <w:vertAlign w:val="superscript"/>
            <w:lang w:eastAsia="zh-CN"/>
          </w:rPr>
          <w:t>4</w:t>
        </w:r>
      </w:hyperlink>
      <w:r>
        <w:rPr>
          <w:lang w:eastAsia="zh-CN"/>
        </w:rPr>
        <w:t>，正式采用了其</w:t>
      </w:r>
      <w:r>
        <w:rPr>
          <w:lang w:eastAsia="zh-CN"/>
        </w:rPr>
        <w:t>2018</w:t>
      </w:r>
      <w:r>
        <w:rPr>
          <w:lang w:eastAsia="zh-CN"/>
        </w:rPr>
        <w:t>年公布的针对加密货币交易平台的监管框架，其中对加密货币交易平台运营者适用的监管规定与传统证券经纪商及自动化交易系统适用的规定大致相同。而且，持牌平台运营者仅能够向专业投资者提供交易服务。</w:t>
      </w:r>
    </w:p>
    <w:p w:rsidR="00F649B7" w:rsidRDefault="006E32A0">
      <w:pPr>
        <w:pStyle w:val="BodyText"/>
        <w:rPr>
          <w:lang w:eastAsia="zh-CN"/>
        </w:rPr>
      </w:pPr>
      <w:r>
        <w:rPr>
          <w:lang w:eastAsia="zh-CN"/>
        </w:rPr>
        <w:lastRenderedPageBreak/>
        <w:t>该</w:t>
      </w:r>
      <w:r>
        <w:rPr>
          <w:lang w:eastAsia="zh-CN"/>
        </w:rPr>
        <w:t>201</w:t>
      </w:r>
      <w:r>
        <w:rPr>
          <w:lang w:eastAsia="zh-CN"/>
        </w:rPr>
        <w:t>9</w:t>
      </w:r>
      <w:r>
        <w:rPr>
          <w:lang w:eastAsia="zh-CN"/>
        </w:rPr>
        <w:t>年框架对以下事项的所有关键方面都进行了处理：投资者保护，投保保管及保障，了解您的客户规定，反洗钱，市场操控活动，风险管理及网络安全。持牌平台须遵守适用于由证监会监管的自动化买卖平台及暗池交易的基本相同的监管规定。</w:t>
      </w:r>
    </w:p>
    <w:p w:rsidR="00F649B7" w:rsidRDefault="006E32A0">
      <w:pPr>
        <w:pStyle w:val="BodyText"/>
        <w:rPr>
          <w:lang w:eastAsia="zh-CN"/>
        </w:rPr>
      </w:pPr>
      <w:r>
        <w:rPr>
          <w:lang w:eastAsia="zh-CN"/>
        </w:rPr>
        <w:t>证监会对从事加密货币相关业务活动的公司的发牌</w:t>
      </w:r>
    </w:p>
    <w:p w:rsidR="00F649B7" w:rsidRDefault="006E32A0">
      <w:pPr>
        <w:pStyle w:val="BodyText"/>
        <w:rPr>
          <w:lang w:eastAsia="zh-CN"/>
        </w:rPr>
      </w:pPr>
      <w:r>
        <w:rPr>
          <w:lang w:eastAsia="zh-CN"/>
        </w:rPr>
        <w:t>迄今为止，证监会仅向一家加密货币交易所发牌，即</w:t>
      </w:r>
      <w:r>
        <w:rPr>
          <w:lang w:eastAsia="zh-CN"/>
        </w:rPr>
        <w:t>OSL Digital Securities Limited</w:t>
      </w:r>
      <w:r>
        <w:rPr>
          <w:lang w:eastAsia="zh-CN"/>
        </w:rPr>
        <w:t>，</w:t>
      </w:r>
      <w:hyperlink w:anchor="footnote-8693-5">
        <w:r>
          <w:rPr>
            <w:vertAlign w:val="superscript"/>
            <w:lang w:eastAsia="zh-CN"/>
          </w:rPr>
          <w:t>5</w:t>
        </w:r>
      </w:hyperlink>
      <w:r>
        <w:rPr>
          <w:lang w:eastAsia="zh-CN"/>
        </w:rPr>
        <w:t xml:space="preserve"> </w:t>
      </w:r>
      <w:r>
        <w:rPr>
          <w:lang w:eastAsia="zh-CN"/>
        </w:rPr>
        <w:t>但是显然证监会也正在考量来自数家其他申请人的若干份申请。证监会</w:t>
      </w:r>
      <w:r>
        <w:rPr>
          <w:lang w:eastAsia="zh-CN"/>
        </w:rPr>
        <w:t>还向若干虚拟资产基金经理人发牌并正在考虑来自其他申请人的更多的申请。</w:t>
      </w:r>
    </w:p>
    <w:p w:rsidR="00F649B7" w:rsidRDefault="006E32A0">
      <w:pPr>
        <w:pStyle w:val="BodyText"/>
        <w:rPr>
          <w:lang w:eastAsia="zh-CN"/>
        </w:rPr>
      </w:pPr>
      <w:r>
        <w:rPr>
          <w:lang w:eastAsia="zh-CN"/>
        </w:rPr>
        <w:t>加密货币监管的近期发展趋势</w:t>
      </w:r>
    </w:p>
    <w:p w:rsidR="00F649B7" w:rsidRDefault="006E32A0">
      <w:pPr>
        <w:pStyle w:val="BodyText"/>
        <w:rPr>
          <w:lang w:eastAsia="zh-CN"/>
        </w:rPr>
      </w:pPr>
      <w:r>
        <w:rPr>
          <w:lang w:eastAsia="zh-CN"/>
        </w:rPr>
        <w:t>金融行动特别工作组对虚拟资产服务提供商发牌的规定</w:t>
      </w:r>
    </w:p>
    <w:p w:rsidR="00F649B7" w:rsidRDefault="006E32A0">
      <w:pPr>
        <w:pStyle w:val="BodyText"/>
        <w:rPr>
          <w:lang w:eastAsia="zh-CN"/>
        </w:rPr>
      </w:pPr>
      <w:r>
        <w:rPr>
          <w:lang w:eastAsia="zh-CN"/>
        </w:rPr>
        <w:t>2018</w:t>
      </w:r>
      <w:r>
        <w:rPr>
          <w:lang w:eastAsia="zh-CN"/>
        </w:rPr>
        <w:t>年，金融行动特别工作组修订了其提出的以下建议：要求成员司法权区对虚拟资产服务提供商（含加密货币交易平台运营商）发牌或者进行注册并使其履行适用于金融机构的反洗钱责任。大部分海外监管机构现在已经建立针对虚拟资产的某种形式的反洗钱制度。在香港，政府将延展反洗钱立法，要求买卖非证券虚拟资产的所有集中虚拟资产交易平台须获证监会发牌并遵守香港《打击洗钱及恐怖分子资金</w:t>
      </w:r>
      <w:r>
        <w:rPr>
          <w:lang w:eastAsia="zh-CN"/>
        </w:rPr>
        <w:t>筹集条例》附表</w:t>
      </w:r>
      <w:r>
        <w:rPr>
          <w:lang w:eastAsia="zh-CN"/>
        </w:rPr>
        <w:t>2</w:t>
      </w:r>
      <w:r>
        <w:rPr>
          <w:lang w:eastAsia="zh-CN"/>
        </w:rPr>
        <w:t>中载列的反洗钱及反恐怖分子资金筹集责任。</w:t>
      </w:r>
      <w:hyperlink w:anchor="footnote-8693-6">
        <w:r>
          <w:rPr>
            <w:vertAlign w:val="superscript"/>
            <w:lang w:eastAsia="zh-CN"/>
          </w:rPr>
          <w:t>6</w:t>
        </w:r>
      </w:hyperlink>
      <w:r>
        <w:rPr>
          <w:lang w:eastAsia="zh-CN"/>
        </w:rPr>
        <w:t xml:space="preserve"> </w:t>
      </w:r>
      <w:r>
        <w:rPr>
          <w:lang w:eastAsia="zh-CN"/>
        </w:rPr>
        <w:t>关于该项新制度的详细情况，请参阅易周律师行法讯</w:t>
      </w:r>
      <w:hyperlink r:id="rId12">
        <w:r>
          <w:rPr>
            <w:lang w:eastAsia="zh-CN"/>
          </w:rPr>
          <w:t>《财经事务及库务局完成有关香港虚拟资产交易所发牌制度的谘询总</w:t>
        </w:r>
        <w:r>
          <w:rPr>
            <w:lang w:eastAsia="zh-CN"/>
          </w:rPr>
          <w:t>结》</w:t>
        </w:r>
      </w:hyperlink>
      <w:r>
        <w:rPr>
          <w:lang w:eastAsia="zh-CN"/>
        </w:rPr>
        <w:t>。</w:t>
      </w:r>
      <w:hyperlink w:anchor="footnote-8693-7">
        <w:r>
          <w:rPr>
            <w:vertAlign w:val="superscript"/>
            <w:lang w:eastAsia="zh-CN"/>
          </w:rPr>
          <w:t>7</w:t>
        </w:r>
      </w:hyperlink>
    </w:p>
    <w:p w:rsidR="00F649B7" w:rsidRDefault="006E32A0">
      <w:pPr>
        <w:pStyle w:val="BodyText"/>
        <w:rPr>
          <w:lang w:eastAsia="zh-CN"/>
        </w:rPr>
      </w:pPr>
      <w:r>
        <w:rPr>
          <w:lang w:eastAsia="zh-CN"/>
        </w:rPr>
        <w:t>国际证监会组织对监管加密货币交易所的建议</w:t>
      </w:r>
    </w:p>
    <w:p w:rsidR="00F649B7" w:rsidRDefault="006E32A0">
      <w:pPr>
        <w:pStyle w:val="BodyText"/>
        <w:rPr>
          <w:lang w:eastAsia="zh-CN"/>
        </w:rPr>
      </w:pPr>
      <w:r>
        <w:rPr>
          <w:lang w:eastAsia="zh-CN"/>
        </w:rPr>
        <w:t>鉴于对市场的廉洁稳健及投资者保障的关注，国际证券事务监察委员会组织（国际证监会组织）就监管加密资产交易平台的主要事宜、风险及考虑因素刊发了一份报告。证监会在制定其针对加密货币交易平台的监管制度中已经将该等关注事项纳入考虑。</w:t>
      </w:r>
    </w:p>
    <w:p w:rsidR="00F649B7" w:rsidRDefault="006E32A0">
      <w:pPr>
        <w:pStyle w:val="BodyText"/>
        <w:rPr>
          <w:lang w:eastAsia="zh-CN"/>
        </w:rPr>
      </w:pPr>
      <w:r>
        <w:rPr>
          <w:lang w:eastAsia="zh-CN"/>
        </w:rPr>
        <w:t>对稳定币监管的建议</w:t>
      </w:r>
    </w:p>
    <w:p w:rsidR="00F649B7" w:rsidRDefault="006E32A0">
      <w:pPr>
        <w:pStyle w:val="BodyText"/>
        <w:rPr>
          <w:lang w:eastAsia="zh-CN"/>
        </w:rPr>
      </w:pPr>
      <w:r>
        <w:rPr>
          <w:lang w:eastAsia="zh-CN"/>
        </w:rPr>
        <w:lastRenderedPageBreak/>
        <w:t>作为对关于</w:t>
      </w:r>
      <w:r>
        <w:rPr>
          <w:lang w:eastAsia="zh-CN"/>
        </w:rPr>
        <w:t>Diem</w:t>
      </w:r>
      <w:r>
        <w:rPr>
          <w:lang w:eastAsia="zh-CN"/>
        </w:rPr>
        <w:t>（前称为</w:t>
      </w:r>
      <w:r>
        <w:rPr>
          <w:lang w:eastAsia="zh-CN"/>
        </w:rPr>
        <w:t>Libra</w:t>
      </w:r>
      <w:r>
        <w:rPr>
          <w:lang w:eastAsia="zh-CN"/>
        </w:rPr>
        <w:t>）的建议的回复，国际结算银行的支付及市场基建委员会与国际证监会组织近期发表了一份联合报告，提倡把稳定币当作与传统的支付、结算及交收系统相类似的金融市场基建来加以规管。该报告亦建议相关司法权区评估稳定币安排的系统重要性。</w:t>
      </w:r>
    </w:p>
    <w:p w:rsidR="00F649B7" w:rsidRDefault="006E32A0" w:rsidP="006E32A0">
      <w:pPr>
        <w:pStyle w:val="BodyText"/>
        <w:jc w:val="left"/>
        <w:rPr>
          <w:lang w:eastAsia="zh-CN"/>
        </w:rPr>
      </w:pPr>
      <w:r>
        <w:rPr>
          <w:lang w:eastAsia="zh-CN"/>
        </w:rPr>
        <w:t>根据梁凤仪女士的主题演说，这些最新的监管发展动态，证明证监会在</w:t>
      </w:r>
      <w:r>
        <w:rPr>
          <w:lang w:eastAsia="zh-CN"/>
        </w:rPr>
        <w:t xml:space="preserve"> 2018 </w:t>
      </w:r>
      <w:r>
        <w:rPr>
          <w:lang w:eastAsia="zh-CN"/>
        </w:rPr>
        <w:t>年针对虚拟资产监管所采纳的</w:t>
      </w:r>
      <w:r>
        <w:rPr>
          <w:lang w:eastAsia="zh-CN"/>
        </w:rPr>
        <w:t>“</w:t>
      </w:r>
      <w:r>
        <w:rPr>
          <w:lang w:eastAsia="zh-CN"/>
        </w:rPr>
        <w:t>相同业务、相同风险、相同规则</w:t>
      </w:r>
      <w:r>
        <w:rPr>
          <w:lang w:eastAsia="zh-CN"/>
        </w:rPr>
        <w:t>”</w:t>
      </w:r>
      <w:r>
        <w:rPr>
          <w:lang w:eastAsia="zh-CN"/>
        </w:rPr>
        <w:t>的方针是正确之道。</w:t>
      </w:r>
    </w:p>
    <w:p w:rsidR="00F649B7" w:rsidRDefault="006E32A0">
      <w:pPr>
        <w:pStyle w:val="BodyText"/>
        <w:rPr>
          <w:lang w:eastAsia="zh-CN"/>
        </w:rPr>
      </w:pPr>
      <w:r>
        <w:rPr>
          <w:lang w:eastAsia="zh-CN"/>
        </w:rPr>
        <w:t>关于买卖或者分销加密货币交易所买卖基金的获证监会发牌法团的若干问题</w:t>
      </w:r>
    </w:p>
    <w:p w:rsidR="00F649B7" w:rsidRDefault="006E32A0">
      <w:pPr>
        <w:pStyle w:val="BodyText"/>
        <w:rPr>
          <w:lang w:eastAsia="zh-CN"/>
        </w:rPr>
      </w:pPr>
      <w:r>
        <w:rPr>
          <w:lang w:eastAsia="zh-CN"/>
        </w:rPr>
        <w:t>虚拟资产市场在过去三年间亦出现了重大变化。鉴于加密货币进军主流金融领域，现在市面上存在许多不同类别的虚拟资产投资产品，样例之一就是加密货币交易所买卖基金。这些虚拟资产投资产品现在都是透过海外的传统交易所买卖，例如虚拟资产投资产品主要在多伦多证券交易所买卖的加拿大。某些有意向私人银行客户或专业投资者提供虚拟资产服务的金融机构，亦曾向证监会作出多项查询。</w:t>
      </w:r>
    </w:p>
    <w:p w:rsidR="00F649B7" w:rsidRDefault="006E32A0">
      <w:pPr>
        <w:pStyle w:val="BodyText"/>
        <w:rPr>
          <w:lang w:eastAsia="zh-CN"/>
        </w:rPr>
      </w:pPr>
      <w:r>
        <w:rPr>
          <w:lang w:eastAsia="zh-CN"/>
        </w:rPr>
        <w:t>梁凤仪女士指出，由于目前每个国家对此有不同程度的监管，它们的查询涉及复杂的问题。举例来说，有些持牌法团希望以介绍代理人的身分，或透过在虚拟资产平台上设立的综合</w:t>
      </w:r>
      <w:r>
        <w:rPr>
          <w:lang w:eastAsia="zh-CN"/>
        </w:rPr>
        <w:t>账户安排，向客户提供加密货币交易服务。</w:t>
      </w:r>
    </w:p>
    <w:p w:rsidR="00F649B7" w:rsidRDefault="006E32A0">
      <w:pPr>
        <w:pStyle w:val="BodyText"/>
        <w:rPr>
          <w:lang w:eastAsia="zh-CN"/>
        </w:rPr>
      </w:pPr>
      <w:r>
        <w:rPr>
          <w:lang w:eastAsia="zh-CN"/>
        </w:rPr>
        <w:t>证监会目前需要考虑的问题是：</w:t>
      </w:r>
    </w:p>
    <w:p w:rsidR="00F649B7" w:rsidRDefault="006E32A0">
      <w:pPr>
        <w:pStyle w:val="Compact"/>
        <w:numPr>
          <w:ilvl w:val="0"/>
          <w:numId w:val="4"/>
        </w:numPr>
        <w:rPr>
          <w:lang w:eastAsia="zh-CN"/>
        </w:rPr>
      </w:pPr>
      <w:r>
        <w:rPr>
          <w:lang w:eastAsia="zh-CN"/>
        </w:rPr>
        <w:t>假如有关虚拟资产平台不受规管或仅受到有限度的监管，那么这些机构会否令它们的客户承受不能接受的风险？</w:t>
      </w:r>
    </w:p>
    <w:p w:rsidR="00F649B7" w:rsidRDefault="006E32A0">
      <w:pPr>
        <w:pStyle w:val="Compact"/>
        <w:numPr>
          <w:ilvl w:val="0"/>
          <w:numId w:val="4"/>
        </w:numPr>
        <w:rPr>
          <w:lang w:eastAsia="zh-CN"/>
        </w:rPr>
      </w:pPr>
      <w:r>
        <w:rPr>
          <w:lang w:eastAsia="zh-CN"/>
        </w:rPr>
        <w:t>在综合账户安排下，持牌法团会否将直接与客户建立业务关系并为其执行交易？</w:t>
      </w:r>
    </w:p>
    <w:p w:rsidR="00F649B7" w:rsidRDefault="006E32A0">
      <w:pPr>
        <w:pStyle w:val="Compact"/>
        <w:numPr>
          <w:ilvl w:val="0"/>
          <w:numId w:val="4"/>
        </w:numPr>
        <w:rPr>
          <w:lang w:eastAsia="zh-CN"/>
        </w:rPr>
      </w:pPr>
      <w:r>
        <w:rPr>
          <w:lang w:eastAsia="zh-CN"/>
        </w:rPr>
        <w:t>持牌虚拟资产交易平台需要履行的监管责任是否亦应适用于以介绍代理人的身分或透过综合账户安排行事的有关机构？</w:t>
      </w:r>
    </w:p>
    <w:p w:rsidR="00F649B7" w:rsidRDefault="006E32A0">
      <w:pPr>
        <w:pStyle w:val="Compact"/>
        <w:numPr>
          <w:ilvl w:val="0"/>
          <w:numId w:val="4"/>
        </w:numPr>
        <w:rPr>
          <w:lang w:eastAsia="zh-CN"/>
        </w:rPr>
      </w:pPr>
      <w:r>
        <w:rPr>
          <w:lang w:eastAsia="zh-CN"/>
        </w:rPr>
        <w:t>证监会应否要求持牌机构在向客户提供虚拟资产交易服务前，先行评估客户的相关投资知识水平？</w:t>
      </w:r>
    </w:p>
    <w:p w:rsidR="00F649B7" w:rsidRDefault="006E32A0">
      <w:pPr>
        <w:pStyle w:val="FirstParagraph"/>
        <w:rPr>
          <w:lang w:eastAsia="zh-CN"/>
        </w:rPr>
      </w:pPr>
      <w:r>
        <w:rPr>
          <w:lang w:eastAsia="zh-CN"/>
        </w:rPr>
        <w:t>除此之外，愈来愈多机构有意分销加密货币投资产品。证监会现时已就分销涉及加密货</w:t>
      </w:r>
      <w:r>
        <w:rPr>
          <w:lang w:eastAsia="zh-CN"/>
        </w:rPr>
        <w:t>币的投资基金发出了指引，但尚未处理某些产品（例如在传统交易所买卖的加密货币交易所买卖基金）分销的监管问题。</w:t>
      </w:r>
    </w:p>
    <w:p w:rsidR="00F649B7" w:rsidRDefault="006E32A0">
      <w:pPr>
        <w:pStyle w:val="BodyText"/>
        <w:rPr>
          <w:lang w:eastAsia="zh-CN"/>
        </w:rPr>
      </w:pPr>
      <w:r>
        <w:rPr>
          <w:lang w:eastAsia="zh-CN"/>
        </w:rPr>
        <w:lastRenderedPageBreak/>
        <w:t>由此引发一些问题，即证监会应否允许散户投资者透过网上经纪投资这些产品，且如果准许的话，是否需要在投资知识水平或风险披露方面订立额外规定？</w:t>
      </w:r>
    </w:p>
    <w:p w:rsidR="00F649B7" w:rsidRDefault="006E32A0">
      <w:pPr>
        <w:pStyle w:val="BodyText"/>
        <w:rPr>
          <w:lang w:eastAsia="zh-CN"/>
        </w:rPr>
      </w:pPr>
      <w:r>
        <w:rPr>
          <w:lang w:eastAsia="zh-CN"/>
        </w:rPr>
        <w:t>证监会正在检讨其虚拟资产监管制度，以评估其是否仍然切合其监管目的，即提供清晰的监管环境促进创新，市场发展及投资者保护。</w:t>
      </w:r>
    </w:p>
    <w:p w:rsidR="00F649B7" w:rsidRDefault="006E32A0" w:rsidP="006E32A0">
      <w:pPr>
        <w:pStyle w:val="BodyText"/>
        <w:jc w:val="left"/>
      </w:pPr>
      <w:hyperlink w:anchor="footnote-8693-1-backlink">
        <w:r>
          <w:t>1</w:t>
        </w:r>
      </w:hyperlink>
      <w:r>
        <w:t xml:space="preserve"> </w:t>
      </w:r>
      <w:hyperlink r:id="rId13">
        <w:r>
          <w:t>https://www.sfc.hk/-/media/TC/files/COM/Speech/DCEO-at-HK-FinTech-Week-2021.pdf</w:t>
        </w:r>
      </w:hyperlink>
    </w:p>
    <w:p w:rsidR="00F649B7" w:rsidRDefault="006E32A0" w:rsidP="006E32A0">
      <w:pPr>
        <w:pStyle w:val="BodyText"/>
        <w:jc w:val="left"/>
      </w:pPr>
      <w:hyperlink w:anchor="footnote-8693-2-backlink">
        <w:r>
          <w:t>2</w:t>
        </w:r>
      </w:hyperlink>
      <w:r>
        <w:t xml:space="preserve"> </w:t>
      </w:r>
      <w:hyperlink r:id="rId14">
        <w:r>
          <w:t>https://www.sfc.hk/TC/News-and-announcements/Policy-statements-and-announcements/Statement-on-regulatory-framework-for-virtual-asset-por</w:t>
        </w:r>
        <w:r>
          <w:t>tfolios-managers</w:t>
        </w:r>
      </w:hyperlink>
    </w:p>
    <w:p w:rsidR="00F649B7" w:rsidRDefault="006E32A0" w:rsidP="006E32A0">
      <w:pPr>
        <w:pStyle w:val="BodyText"/>
        <w:jc w:val="left"/>
      </w:pPr>
      <w:hyperlink w:anchor="footnote-8693-3-backlink">
        <w:r>
          <w:t>3</w:t>
        </w:r>
      </w:hyperlink>
      <w:r>
        <w:t xml:space="preserve"> Available at: </w:t>
      </w:r>
      <w:hyperlink r:id="rId15">
        <w:r>
          <w:t>https://www.charltonslaw.com/hong-kong</w:t>
        </w:r>
        <w:r>
          <w:t>-sfc-issues-crypto-fund-licensing-conditions-for-hong-kong-crypto-fund-managers/</w:t>
        </w:r>
      </w:hyperlink>
    </w:p>
    <w:p w:rsidR="00F649B7" w:rsidRDefault="006E32A0" w:rsidP="006E32A0">
      <w:pPr>
        <w:pStyle w:val="BodyText"/>
        <w:jc w:val="left"/>
      </w:pPr>
      <w:hyperlink w:anchor="footnote-8693-4-backlink">
        <w:r>
          <w:t>4</w:t>
        </w:r>
      </w:hyperlink>
      <w:r>
        <w:t xml:space="preserve"> </w:t>
      </w:r>
      <w:hyperlink r:id="rId16">
        <w:r>
          <w:t>https://www.sfc.hk/-/media/TC/files/ER/PDF/20191106-Position-Paper-and-Appendix-1-to-Position-Paper-Chi.pdf</w:t>
        </w:r>
      </w:hyperlink>
      <w:bookmarkStart w:id="0" w:name="_GoBack"/>
      <w:bookmarkEnd w:id="0"/>
    </w:p>
    <w:p w:rsidR="00F649B7" w:rsidRDefault="006E32A0" w:rsidP="006E32A0">
      <w:pPr>
        <w:pStyle w:val="BodyText"/>
        <w:jc w:val="left"/>
        <w:rPr>
          <w:lang w:eastAsia="zh-CN"/>
        </w:rPr>
      </w:pPr>
      <w:hyperlink w:anchor="footnote-8693-5-backlink">
        <w:r>
          <w:rPr>
            <w:lang w:eastAsia="zh-CN"/>
          </w:rPr>
          <w:t>5</w:t>
        </w:r>
      </w:hyperlink>
      <w:r>
        <w:rPr>
          <w:lang w:eastAsia="zh-CN"/>
        </w:rPr>
        <w:t xml:space="preserve"> OSL Digital Securities Limited</w:t>
      </w:r>
      <w:r>
        <w:rPr>
          <w:lang w:eastAsia="zh-CN"/>
        </w:rPr>
        <w:t>。</w:t>
      </w:r>
      <w:r>
        <w:rPr>
          <w:lang w:eastAsia="zh-CN"/>
        </w:rPr>
        <w:t>“</w:t>
      </w:r>
      <w:hyperlink r:id="rId17">
        <w:r>
          <w:rPr>
            <w:lang w:eastAsia="zh-CN"/>
          </w:rPr>
          <w:t>OSL</w:t>
        </w:r>
        <w:r>
          <w:rPr>
            <w:lang w:eastAsia="zh-CN"/>
          </w:rPr>
          <w:t>率先获得香港证监会颁发牌照，成为全球首家获香港证监会发牌、已上市、已受保且由四大审计的数字资产交易平台</w:t>
        </w:r>
      </w:hyperlink>
      <w:r>
        <w:rPr>
          <w:lang w:eastAsia="zh-CN"/>
        </w:rPr>
        <w:t>”</w:t>
      </w:r>
    </w:p>
    <w:p w:rsidR="00F649B7" w:rsidRDefault="006E32A0" w:rsidP="006E32A0">
      <w:pPr>
        <w:pStyle w:val="BodyText"/>
        <w:jc w:val="left"/>
        <w:rPr>
          <w:lang w:eastAsia="zh-CN"/>
        </w:rPr>
      </w:pPr>
      <w:hyperlink w:anchor="footnote-8693-6-backlink">
        <w:r>
          <w:rPr>
            <w:lang w:eastAsia="zh-CN"/>
          </w:rPr>
          <w:t>6</w:t>
        </w:r>
      </w:hyperlink>
      <w:r>
        <w:rPr>
          <w:lang w:eastAsia="zh-CN"/>
        </w:rPr>
        <w:t xml:space="preserve"> </w:t>
      </w:r>
      <w:r>
        <w:rPr>
          <w:lang w:eastAsia="zh-CN"/>
        </w:rPr>
        <w:t>财经事务及库务局。</w:t>
      </w:r>
      <w:r>
        <w:rPr>
          <w:lang w:eastAsia="zh-CN"/>
        </w:rPr>
        <w:t>“</w:t>
      </w:r>
      <w:hyperlink r:id="rId18">
        <w:r>
          <w:rPr>
            <w:lang w:eastAsia="zh-CN"/>
          </w:rPr>
          <w:t>有关香港加强打击洗钱及恐怖分子资金筹集规管的立法建议公众咨询</w:t>
        </w:r>
      </w:hyperlink>
      <w:r>
        <w:rPr>
          <w:lang w:eastAsia="zh-CN"/>
        </w:rPr>
        <w:t>”</w:t>
      </w:r>
    </w:p>
    <w:p w:rsidR="00F649B7" w:rsidRDefault="006E32A0" w:rsidP="006E32A0">
      <w:pPr>
        <w:pStyle w:val="BodyText"/>
        <w:jc w:val="left"/>
      </w:pPr>
      <w:hyperlink w:anchor="footnote-8693-7-backlink">
        <w:r>
          <w:t>7</w:t>
        </w:r>
      </w:hyperlink>
      <w:r>
        <w:t xml:space="preserve"> </w:t>
      </w:r>
      <w:r>
        <w:t>载列网址：</w:t>
      </w:r>
      <w:hyperlink r:id="rId19">
        <w:r>
          <w:t>https://www.charltonslaw.com/fstb-concludes-consultation-on-licensing-regime-for-hong-kong-virtual-asset-exchanges/</w:t>
        </w:r>
      </w:hyperlink>
    </w:p>
    <w:p w:rsidR="00F649B7" w:rsidRDefault="006E32A0">
      <w:pPr>
        <w:pStyle w:val="DisclaimerBold"/>
        <w:rPr>
          <w:lang w:eastAsia="zh-CN"/>
        </w:rPr>
      </w:pPr>
      <w:r>
        <w:rPr>
          <w:lang w:eastAsia="zh-CN"/>
        </w:rPr>
        <w:t>此法讯仅为提供</w:t>
      </w:r>
      <w:r>
        <w:rPr>
          <w:lang w:eastAsia="zh-CN"/>
        </w:rPr>
        <w:t>相关资料信息之用，其内容并</w:t>
      </w:r>
    </w:p>
    <w:p w:rsidR="00F649B7" w:rsidRDefault="006E32A0">
      <w:pPr>
        <w:pStyle w:val="Disclaimer"/>
        <w:rPr>
          <w:lang w:eastAsia="zh-CN"/>
        </w:rPr>
      </w:pPr>
      <w:r>
        <w:rPr>
          <w:lang w:eastAsia="zh-CN"/>
        </w:rPr>
        <w:t>不构成法律建议及个案的法律分析。</w:t>
      </w:r>
    </w:p>
    <w:p w:rsidR="00F649B7" w:rsidRDefault="006E32A0">
      <w:pPr>
        <w:pStyle w:val="Disclaimer"/>
        <w:rPr>
          <w:lang w:eastAsia="zh-CN"/>
        </w:rPr>
      </w:pPr>
      <w:r>
        <w:rPr>
          <w:lang w:eastAsia="zh-CN"/>
        </w:rPr>
        <w:t>此法讯的发送并不是为了在易周律师行与用户或浏览者之间建立一种律师与客户之关系。</w:t>
      </w:r>
    </w:p>
    <w:p w:rsidR="00F649B7" w:rsidRDefault="006E32A0">
      <w:pPr>
        <w:pStyle w:val="Disclaimer"/>
        <w:rPr>
          <w:lang w:eastAsia="zh-CN"/>
        </w:rPr>
      </w:pPr>
      <w:r>
        <w:rPr>
          <w:lang w:eastAsia="zh-CN"/>
        </w:rPr>
        <w:t>易周律师行并不对可从互联网获得的任何第三方内容负责。</w:t>
      </w:r>
    </w:p>
    <w:p w:rsidR="00F649B7" w:rsidRDefault="006E32A0">
      <w:pPr>
        <w:pStyle w:val="Disclaimer"/>
        <w:rPr>
          <w:lang w:eastAsia="zh-CN"/>
        </w:rPr>
      </w:pPr>
      <w:r>
        <w:rPr>
          <w:lang w:eastAsia="zh-CN"/>
        </w:rPr>
        <w:lastRenderedPageBreak/>
        <w:t>如你不希望再收到易周法讯，请发送电邮至</w:t>
      </w:r>
      <w:r>
        <w:rPr>
          <w:lang w:eastAsia="zh-CN"/>
        </w:rPr>
        <w:t xml:space="preserve">  </w:t>
      </w:r>
      <w:hyperlink r:id="rId20">
        <w:r>
          <w:rPr>
            <w:lang w:eastAsia="zh-CN"/>
          </w:rPr>
          <w:t>unsubscribe@charltonslaw.com</w:t>
        </w:r>
      </w:hyperlink>
    </w:p>
    <w:p w:rsidR="00F649B7" w:rsidRDefault="006E32A0">
      <w:pPr>
        <w:pStyle w:val="BlackStrips"/>
      </w:pPr>
      <w:r>
        <w:t xml:space="preserve">Charltons - </w:t>
      </w:r>
      <w:r>
        <w:t>香港法律</w:t>
      </w:r>
      <w:r>
        <w:t xml:space="preserve"> </w:t>
      </w:r>
      <w:r>
        <w:t>- 2022</w:t>
      </w:r>
      <w:r>
        <w:t>年</w:t>
      </w:r>
      <w:r>
        <w:t>3</w:t>
      </w:r>
      <w:r>
        <w:t>月</w:t>
      </w:r>
      <w:r>
        <w:t>23</w:t>
      </w:r>
      <w:r>
        <w:t>日</w:t>
      </w:r>
    </w:p>
    <w:sectPr w:rsidR="00F649B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32A0">
      <w:pPr>
        <w:spacing w:after="0"/>
      </w:pPr>
      <w:r>
        <w:separator/>
      </w:r>
    </w:p>
  </w:endnote>
  <w:endnote w:type="continuationSeparator" w:id="0">
    <w:p w:rsidR="00000000" w:rsidRDefault="006E32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B7" w:rsidRDefault="006E32A0">
      <w:r>
        <w:separator/>
      </w:r>
    </w:p>
  </w:footnote>
  <w:footnote w:type="continuationSeparator" w:id="0">
    <w:p w:rsidR="00F649B7" w:rsidRDefault="006E3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4D228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9E65C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DD272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4E29B3"/>
    <w:rsid w:val="00590D07"/>
    <w:rsid w:val="006E32A0"/>
    <w:rsid w:val="00784D58"/>
    <w:rsid w:val="008D6863"/>
    <w:rsid w:val="00B86B75"/>
    <w:rsid w:val="00BC48D5"/>
    <w:rsid w:val="00C36279"/>
    <w:rsid w:val="00E315A3"/>
    <w:rsid w:val="00F649B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5EAF6-9906-4113-B090-8EBE4C5C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TC/files/COM/Speech/DCEO-at-HK-FinTech-Week-2021.pdf" TargetMode="External"/><Relationship Id="rId13" Type="http://schemas.openxmlformats.org/officeDocument/2006/relationships/hyperlink" Target="https://www.sfc.hk/-/media/TC/files/COM/Speech/DCEO-at-HK-FinTech-Week-2021.pdf" TargetMode="External"/><Relationship Id="rId18" Type="http://schemas.openxmlformats.org/officeDocument/2006/relationships/hyperlink" Target="https://www.fstb.gov.hk/fsb/en/publication/consult/doc/consult_conclu_amlo_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harltonslaw.com.cn/zheng-jian-hui-liang-feng-yi-nv-shi-jiang-jie-xiang-gang-jia-mi-huo-bi-jian-guan-fang-mian-de-zui-xin-jin-zhan" TargetMode="External"/><Relationship Id="rId12" Type="http://schemas.openxmlformats.org/officeDocument/2006/relationships/hyperlink" Target="https://www.charltonslaw.com/fstb-concludes-consultation-on-licensing-regime-for-hong-kong-virtual-asset-exchanges/" TargetMode="External"/><Relationship Id="rId17" Type="http://schemas.openxmlformats.org/officeDocument/2006/relationships/hyperlink" Target="https://osl.com/tc/press-release/bc-technology-group-enters-into-agreement-to-raise-hkd697-million-in-share-placement-with-morgan-stanley-appointed-as-sole-placing-agent-2/" TargetMode="External"/><Relationship Id="rId2" Type="http://schemas.openxmlformats.org/officeDocument/2006/relationships/styles" Target="styles.xml"/><Relationship Id="rId16" Type="http://schemas.openxmlformats.org/officeDocument/2006/relationships/hyperlink" Target="https://www.sfc.hk/-/media/TC/files/ER/PDF/20191106-Position-Paper-and-Appendix-1-to-Position-Paper-Chi.pdf"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TC/files/ER/PDF/20191106-Position-Paper-and-Appendix-1-to-Position-Paper-Chi.pdf" TargetMode="External"/><Relationship Id="rId5" Type="http://schemas.openxmlformats.org/officeDocument/2006/relationships/footnotes" Target="footnotes.xml"/><Relationship Id="rId15" Type="http://schemas.openxmlformats.org/officeDocument/2006/relationships/hyperlink" Target="https://www.charltonslaw.com/hong-kong-sfc-issues-crypto-fund-licensing-conditions-for-hong-kong-crypto-fund-managers/" TargetMode="External"/><Relationship Id="rId10" Type="http://schemas.openxmlformats.org/officeDocument/2006/relationships/hyperlink" Target="https://www.charltonslaw.com/hong-kong-sfc-issues-crypto-fund-licensing-conditions-for-hong-kong-crypto-fund-managers/" TargetMode="External"/><Relationship Id="rId19" Type="http://schemas.openxmlformats.org/officeDocument/2006/relationships/hyperlink" Target="https://www.charltonslaw.com/fstb-concludes-consultation-on-licensing-regime-for-hong-kong-virtual-asset-exchanges/" TargetMode="External"/><Relationship Id="rId4" Type="http://schemas.openxmlformats.org/officeDocument/2006/relationships/webSettings" Target="webSettings.xml"/><Relationship Id="rId9" Type="http://schemas.openxmlformats.org/officeDocument/2006/relationships/hyperlink" Target="https://www.sfc.hk/TC/News-and-announcements/Policy-statements-and-announcements/Statement-on-regulatory-framework-for-virtual-asset-portfolios-managers" TargetMode="External"/><Relationship Id="rId14" Type="http://schemas.openxmlformats.org/officeDocument/2006/relationships/hyperlink" Target="https://www.sfc.hk/TC/News-and-announcements/Policy-statements-and-announcements/Statement-on-regulatory-framework-for-virtual-asset-portfolios-manag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4</DocSecurity>
  <Lines>46</Lines>
  <Paragraphs>12</Paragraphs>
  <ScaleCrop>false</ScaleCrop>
  <Company>Charltons</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2</cp:revision>
  <dcterms:created xsi:type="dcterms:W3CDTF">2022-03-23T09:43:00Z</dcterms:created>
  <dcterms:modified xsi:type="dcterms:W3CDTF">2022-03-23T09:43:00Z</dcterms:modified>
</cp:coreProperties>
</file>