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4A" w:rsidRDefault="00937719">
      <w:pPr>
        <w:pStyle w:val="BlackStrips"/>
      </w:pPr>
      <w:r>
        <w:t xml:space="preserve">Charltons - </w:t>
      </w:r>
      <w:r>
        <w:t>香港法律</w:t>
      </w:r>
      <w:r>
        <w:t xml:space="preserve"> - 2022</w:t>
      </w:r>
      <w:r>
        <w:t>年</w:t>
      </w:r>
      <w:r>
        <w:t>5</w:t>
      </w:r>
      <w:r>
        <w:t>月</w:t>
      </w:r>
      <w:r>
        <w:t>12</w:t>
      </w:r>
      <w:r>
        <w:t>日</w:t>
      </w:r>
    </w:p>
    <w:p w:rsidR="007A284A" w:rsidRDefault="00937719">
      <w:pPr>
        <w:pStyle w:val="ReadOnline"/>
        <w:rPr>
          <w:lang w:eastAsia="zh-CN"/>
        </w:rPr>
      </w:pPr>
      <w:hyperlink r:id="rId7">
        <w:r>
          <w:rPr>
            <w:lang w:eastAsia="zh-CN"/>
          </w:rPr>
          <w:t>online version</w:t>
        </w:r>
      </w:hyperlink>
    </w:p>
    <w:p w:rsidR="007A284A" w:rsidRDefault="00937719">
      <w:pPr>
        <w:pStyle w:val="Title"/>
        <w:rPr>
          <w:lang w:eastAsia="zh-CN"/>
        </w:rPr>
      </w:pPr>
      <w:r>
        <w:rPr>
          <w:lang w:eastAsia="zh-CN"/>
        </w:rPr>
        <w:t>香港金融管理局发布监管用作支付用途的稳定币的建议</w:t>
      </w:r>
    </w:p>
    <w:p w:rsidR="007A284A" w:rsidRDefault="00937719">
      <w:pPr>
        <w:pStyle w:val="FirstParagraph"/>
        <w:rPr>
          <w:lang w:eastAsia="zh-CN"/>
        </w:rPr>
      </w:pPr>
      <w:r>
        <w:rPr>
          <w:lang w:eastAsia="zh-CN"/>
        </w:rPr>
        <w:t>2022</w:t>
      </w:r>
      <w:r>
        <w:rPr>
          <w:lang w:eastAsia="zh-CN"/>
        </w:rPr>
        <w:t>年</w:t>
      </w:r>
      <w:r>
        <w:rPr>
          <w:lang w:eastAsia="zh-CN"/>
        </w:rPr>
        <w:t>1</w:t>
      </w:r>
      <w:r>
        <w:rPr>
          <w:lang w:eastAsia="zh-CN"/>
        </w:rPr>
        <w:t>月</w:t>
      </w:r>
      <w:r>
        <w:rPr>
          <w:lang w:eastAsia="zh-CN"/>
        </w:rPr>
        <w:t>12</w:t>
      </w:r>
      <w:r>
        <w:rPr>
          <w:lang w:eastAsia="zh-CN"/>
        </w:rPr>
        <w:t>日，香港金融管理局（</w:t>
      </w:r>
      <w:r>
        <w:rPr>
          <w:b/>
          <w:lang w:eastAsia="zh-CN"/>
        </w:rPr>
        <w:t>金管局</w:t>
      </w:r>
      <w:r>
        <w:rPr>
          <w:lang w:eastAsia="zh-CN"/>
        </w:rPr>
        <w:t>）发布一份关于</w:t>
      </w:r>
      <w:hyperlink r:id="rId8">
        <w:r>
          <w:rPr>
            <w:lang w:eastAsia="zh-CN"/>
          </w:rPr>
          <w:t>加密资产和稳定币的讨论文件</w:t>
        </w:r>
      </w:hyperlink>
      <w:hyperlink w:anchor="footnote-598-1">
        <w:r>
          <w:rPr>
            <w:vertAlign w:val="superscript"/>
            <w:lang w:eastAsia="zh-CN"/>
          </w:rPr>
          <w:t>1</w:t>
        </w:r>
      </w:hyperlink>
      <w:r>
        <w:rPr>
          <w:lang w:eastAsia="zh-CN"/>
        </w:rPr>
        <w:t>，就其提议的</w:t>
      </w:r>
      <w:r>
        <w:rPr>
          <w:lang w:eastAsia="zh-CN"/>
        </w:rPr>
        <w:t>“</w:t>
      </w:r>
      <w:r>
        <w:rPr>
          <w:lang w:eastAsia="zh-CN"/>
        </w:rPr>
        <w:t>用作支付用途的稳定币</w:t>
      </w:r>
      <w:r>
        <w:rPr>
          <w:lang w:eastAsia="zh-CN"/>
        </w:rPr>
        <w:t>”</w:t>
      </w:r>
      <w:r>
        <w:rPr>
          <w:lang w:eastAsia="zh-CN"/>
        </w:rPr>
        <w:t>的监管模式寻求反馈，这些加密资产最有可能被广泛接受的支付方式，因此最有可能与主流金融</w:t>
      </w:r>
      <w:hyperlink w:anchor="footnote-598-2">
        <w:r>
          <w:rPr>
            <w:vertAlign w:val="superscript"/>
            <w:lang w:eastAsia="zh-CN"/>
          </w:rPr>
          <w:t>2</w:t>
        </w:r>
      </w:hyperlink>
      <w:r>
        <w:rPr>
          <w:lang w:eastAsia="zh-CN"/>
        </w:rPr>
        <w:t>交集（</w:t>
      </w:r>
      <w:r>
        <w:rPr>
          <w:b/>
          <w:lang w:eastAsia="zh-CN"/>
        </w:rPr>
        <w:t>香港金管局稳定币讨论文件</w:t>
      </w:r>
      <w:r>
        <w:rPr>
          <w:lang w:eastAsia="zh-CN"/>
        </w:rPr>
        <w:t>）。建议的监管框架旨在解决因越来越多地使用加密资产而给用户和金融系统带来的风险，同时鼓励金融创新的潜在好处。</w:t>
      </w:r>
    </w:p>
    <w:p w:rsidR="007A284A" w:rsidRDefault="00937719">
      <w:pPr>
        <w:pStyle w:val="BodyText"/>
        <w:rPr>
          <w:lang w:eastAsia="zh-CN"/>
        </w:rPr>
      </w:pPr>
      <w:r>
        <w:rPr>
          <w:lang w:eastAsia="zh-CN"/>
        </w:rPr>
        <w:t>香港金管局已确定了两个需要检讨的主要范畴：</w:t>
      </w:r>
      <w:r>
        <w:rPr>
          <w:lang w:eastAsia="zh-CN"/>
        </w:rPr>
        <w:t>(i)</w:t>
      </w:r>
      <w:r>
        <w:rPr>
          <w:lang w:eastAsia="zh-CN"/>
        </w:rPr>
        <w:t>香港金管局对认可机构</w:t>
      </w:r>
      <w:hyperlink w:anchor="footnote-598-3">
        <w:r>
          <w:rPr>
            <w:vertAlign w:val="superscript"/>
            <w:lang w:eastAsia="zh-CN"/>
          </w:rPr>
          <w:t>3</w:t>
        </w:r>
      </w:hyperlink>
      <w:r>
        <w:rPr>
          <w:lang w:eastAsia="zh-CN"/>
        </w:rPr>
        <w:t>与加密资产的关联及其向客户提供加密资产相关服务的监管；及</w:t>
      </w:r>
      <w:r>
        <w:rPr>
          <w:lang w:eastAsia="zh-CN"/>
        </w:rPr>
        <w:t>(ii)</w:t>
      </w:r>
      <w:r>
        <w:rPr>
          <w:lang w:eastAsia="zh-CN"/>
        </w:rPr>
        <w:t>现有法规是否足够以应对因越来越多地使用稳定币和其他加密资产所产生的风险。目前第一个范畴已在香港金管局于</w:t>
      </w:r>
      <w:r>
        <w:rPr>
          <w:lang w:eastAsia="zh-CN"/>
        </w:rPr>
        <w:t>2022</w:t>
      </w:r>
      <w:r>
        <w:rPr>
          <w:lang w:eastAsia="zh-CN"/>
        </w:rPr>
        <w:t>年</w:t>
      </w:r>
      <w:r>
        <w:rPr>
          <w:lang w:eastAsia="zh-CN"/>
        </w:rPr>
        <w:t>1</w:t>
      </w:r>
      <w:r>
        <w:rPr>
          <w:lang w:eastAsia="zh-CN"/>
        </w:rPr>
        <w:t>月</w:t>
      </w:r>
      <w:r>
        <w:rPr>
          <w:lang w:eastAsia="zh-CN"/>
        </w:rPr>
        <w:t>28</w:t>
      </w:r>
      <w:r>
        <w:rPr>
          <w:lang w:eastAsia="zh-CN"/>
        </w:rPr>
        <w:t>日发布的通告</w:t>
      </w:r>
      <w:r>
        <w:rPr>
          <w:lang w:eastAsia="zh-CN"/>
        </w:rPr>
        <w:t>“</w:t>
      </w:r>
      <w:hyperlink r:id="rId9">
        <w:r>
          <w:rPr>
            <w:lang w:eastAsia="zh-CN"/>
          </w:rPr>
          <w:t>就认可机构与虚拟资产及虚拟资产服务提供者业务关连的监管方法</w:t>
        </w:r>
      </w:hyperlink>
      <w:r>
        <w:rPr>
          <w:lang w:eastAsia="zh-CN"/>
        </w:rPr>
        <w:t>”</w:t>
      </w:r>
      <w:hyperlink w:anchor="footnote-598-4">
        <w:r>
          <w:rPr>
            <w:vertAlign w:val="superscript"/>
            <w:lang w:eastAsia="zh-CN"/>
          </w:rPr>
          <w:t>4</w:t>
        </w:r>
      </w:hyperlink>
      <w:r>
        <w:rPr>
          <w:lang w:eastAsia="zh-CN"/>
        </w:rPr>
        <w:t>中讨论过了。第二个范畴，尤其是监管稳定币的需要，是香港金管局稳定币讨论文件的主题。</w:t>
      </w:r>
    </w:p>
    <w:p w:rsidR="007A284A" w:rsidRDefault="00937719">
      <w:pPr>
        <w:pStyle w:val="BodyText"/>
        <w:rPr>
          <w:lang w:eastAsia="zh-CN"/>
        </w:rPr>
      </w:pPr>
      <w:r>
        <w:rPr>
          <w:lang w:eastAsia="zh-CN"/>
        </w:rPr>
        <w:t>拟提供与加密资产有关的投资服务的认可机构，已须提前通报香港金管局及证券及期货事务监</w:t>
      </w:r>
      <w:r>
        <w:rPr>
          <w:lang w:eastAsia="zh-CN"/>
        </w:rPr>
        <w:t>察委员会（</w:t>
      </w:r>
      <w:r>
        <w:rPr>
          <w:b/>
          <w:lang w:eastAsia="zh-CN"/>
        </w:rPr>
        <w:t>证监会</w:t>
      </w:r>
      <w:r>
        <w:rPr>
          <w:lang w:eastAsia="zh-CN"/>
        </w:rPr>
        <w:t>）。对于非用作支付用途（包括无资产支持的）的加密资产方面，香港金管局一直与证监会就监管预期进行合作，即作为中介人提供加密资产相关服务的认可机构将为投资者提供保护。</w:t>
      </w:r>
      <w:r>
        <w:rPr>
          <w:lang w:eastAsia="zh-CN"/>
        </w:rPr>
        <w:t>2022</w:t>
      </w:r>
      <w:r>
        <w:rPr>
          <w:lang w:eastAsia="zh-CN"/>
        </w:rPr>
        <w:t>年</w:t>
      </w:r>
      <w:r>
        <w:rPr>
          <w:lang w:eastAsia="zh-CN"/>
        </w:rPr>
        <w:t>1</w:t>
      </w:r>
      <w:r>
        <w:rPr>
          <w:lang w:eastAsia="zh-CN"/>
        </w:rPr>
        <w:t>月</w:t>
      </w:r>
      <w:r>
        <w:rPr>
          <w:lang w:eastAsia="zh-CN"/>
        </w:rPr>
        <w:t>28</w:t>
      </w:r>
      <w:r>
        <w:rPr>
          <w:lang w:eastAsia="zh-CN"/>
        </w:rPr>
        <w:t>日，香港金管局及证监会发布了</w:t>
      </w:r>
      <w:hyperlink r:id="rId10">
        <w:r>
          <w:rPr>
            <w:lang w:eastAsia="zh-CN"/>
          </w:rPr>
          <w:t>有关中介人的虚拟资产相关活动的联合通函</w:t>
        </w:r>
      </w:hyperlink>
      <w:r>
        <w:rPr>
          <w:lang w:eastAsia="zh-CN"/>
        </w:rPr>
        <w:t>，订明中介人进行</w:t>
      </w:r>
      <w:r>
        <w:rPr>
          <w:lang w:eastAsia="zh-CN"/>
        </w:rPr>
        <w:t>虚拟资产相关活动的要求，如提供虚拟资产咨询和交易服务以及分销虚拟资产相关产品，取代了证监会在</w:t>
      </w:r>
      <w:r>
        <w:rPr>
          <w:lang w:eastAsia="zh-CN"/>
        </w:rPr>
        <w:t>2018</w:t>
      </w:r>
      <w:r>
        <w:rPr>
          <w:lang w:eastAsia="zh-CN"/>
        </w:rPr>
        <w:t>年</w:t>
      </w:r>
      <w:r>
        <w:rPr>
          <w:lang w:eastAsia="zh-CN"/>
        </w:rPr>
        <w:t>11</w:t>
      </w:r>
      <w:r>
        <w:rPr>
          <w:lang w:eastAsia="zh-CN"/>
        </w:rPr>
        <w:t>月</w:t>
      </w:r>
      <w:r>
        <w:rPr>
          <w:lang w:eastAsia="zh-CN"/>
        </w:rPr>
        <w:t>1</w:t>
      </w:r>
      <w:r>
        <w:rPr>
          <w:lang w:eastAsia="zh-CN"/>
        </w:rPr>
        <w:t>日向中介人发出的关于分销虚拟资产基金的通知中订明的要求。</w:t>
      </w:r>
    </w:p>
    <w:p w:rsidR="007A284A" w:rsidRDefault="00937719">
      <w:pPr>
        <w:pStyle w:val="BodyText"/>
        <w:rPr>
          <w:lang w:eastAsia="zh-CN"/>
        </w:rPr>
      </w:pPr>
      <w:r>
        <w:rPr>
          <w:lang w:eastAsia="zh-CN"/>
        </w:rPr>
        <w:t>香港金管局稳定币讨论文件列出了香港金管局对在香港从事与用作支付用途的稳定币活动的实体的建议监管制度。回复应在</w:t>
      </w:r>
      <w:r>
        <w:rPr>
          <w:lang w:eastAsia="zh-CN"/>
        </w:rPr>
        <w:t>2022</w:t>
      </w:r>
      <w:r>
        <w:rPr>
          <w:lang w:eastAsia="zh-CN"/>
        </w:rPr>
        <w:t>年</w:t>
      </w:r>
      <w:r>
        <w:rPr>
          <w:lang w:eastAsia="zh-CN"/>
        </w:rPr>
        <w:t>3</w:t>
      </w:r>
      <w:r>
        <w:rPr>
          <w:lang w:eastAsia="zh-CN"/>
        </w:rPr>
        <w:t>月</w:t>
      </w:r>
      <w:r>
        <w:rPr>
          <w:lang w:eastAsia="zh-CN"/>
        </w:rPr>
        <w:t>31</w:t>
      </w:r>
      <w:r>
        <w:rPr>
          <w:lang w:eastAsia="zh-CN"/>
        </w:rPr>
        <w:t>日或之前电邮至</w:t>
      </w:r>
      <w:hyperlink r:id="rId11">
        <w:r>
          <w:rPr>
            <w:lang w:eastAsia="zh-CN"/>
          </w:rPr>
          <w:t>stablecoin_feedback@hkma.gov.hk</w:t>
        </w:r>
      </w:hyperlink>
      <w:r>
        <w:rPr>
          <w:lang w:eastAsia="zh-CN"/>
        </w:rPr>
        <w:t>.</w:t>
      </w:r>
    </w:p>
    <w:p w:rsidR="007A284A" w:rsidRDefault="00937719">
      <w:pPr>
        <w:pStyle w:val="BodyText"/>
        <w:rPr>
          <w:lang w:eastAsia="zh-CN"/>
        </w:rPr>
      </w:pPr>
      <w:r>
        <w:rPr>
          <w:lang w:eastAsia="zh-CN"/>
        </w:rPr>
        <w:t>香港现行的加密货币监管</w:t>
      </w:r>
      <w:r>
        <w:rPr>
          <w:lang w:eastAsia="zh-CN"/>
        </w:rPr>
        <w:t>制度和监管缺口</w:t>
      </w:r>
    </w:p>
    <w:p w:rsidR="007A284A" w:rsidRDefault="00937719">
      <w:pPr>
        <w:pStyle w:val="BodyText"/>
        <w:rPr>
          <w:lang w:eastAsia="zh-CN"/>
        </w:rPr>
      </w:pPr>
      <w:r>
        <w:rPr>
          <w:lang w:eastAsia="zh-CN"/>
        </w:rPr>
        <w:t>香港金管局指出，虽然稳定币可能是或成为一种可接受的支付方式，但它们可能不属于香港现行监管的范围內。</w:t>
      </w:r>
    </w:p>
    <w:p w:rsidR="007A284A" w:rsidRDefault="00937719">
      <w:pPr>
        <w:pStyle w:val="BodyText"/>
        <w:rPr>
          <w:lang w:eastAsia="zh-CN"/>
        </w:rPr>
      </w:pPr>
      <w:r>
        <w:rPr>
          <w:lang w:eastAsia="zh-CN"/>
        </w:rPr>
        <w:t>《证券及期货条例》下的证监会发牌制度</w:t>
      </w:r>
    </w:p>
    <w:p w:rsidR="007A284A" w:rsidRDefault="00937719">
      <w:pPr>
        <w:pStyle w:val="BodyText"/>
        <w:rPr>
          <w:lang w:eastAsia="zh-CN"/>
        </w:rPr>
      </w:pPr>
      <w:r>
        <w:rPr>
          <w:lang w:eastAsia="zh-CN"/>
        </w:rPr>
        <w:t>证监会于</w:t>
      </w:r>
      <w:r>
        <w:rPr>
          <w:lang w:eastAsia="zh-CN"/>
        </w:rPr>
        <w:t>2019</w:t>
      </w:r>
      <w:r>
        <w:rPr>
          <w:lang w:eastAsia="zh-CN"/>
        </w:rPr>
        <w:t>年</w:t>
      </w:r>
      <w:r>
        <w:rPr>
          <w:lang w:eastAsia="zh-CN"/>
        </w:rPr>
        <w:t>11</w:t>
      </w:r>
      <w:r>
        <w:rPr>
          <w:lang w:eastAsia="zh-CN"/>
        </w:rPr>
        <w:t>月发布</w:t>
      </w:r>
      <w:hyperlink r:id="rId12">
        <w:r>
          <w:rPr>
            <w:lang w:eastAsia="zh-CN"/>
          </w:rPr>
          <w:t>立场书</w:t>
        </w:r>
      </w:hyperlink>
      <w:hyperlink w:anchor="footnote-598-5">
        <w:r>
          <w:rPr>
            <w:vertAlign w:val="superscript"/>
            <w:lang w:eastAsia="zh-CN"/>
          </w:rPr>
          <w:t>5</w:t>
        </w:r>
      </w:hyperlink>
      <w:r>
        <w:rPr>
          <w:lang w:eastAsia="zh-CN"/>
        </w:rPr>
        <w:t>，监管虚拟资产交易平台，为交易至少一种虚拟资产（属《证券及期货条例》定义的证券）的虚拟资产中央交易平台营运者引入发牌制度。到目前为止，香港证监会只发牌予一个虚拟资产交易平台。一旦平台营运者持牌，香港证监会的监管领域即覆盖其与所有已交易的虚拟资产有关的交易活动，而不仅仅是那些属证券型的虚拟资产。</w:t>
      </w:r>
    </w:p>
    <w:p w:rsidR="007A284A" w:rsidRDefault="00937719">
      <w:pPr>
        <w:pStyle w:val="BodyText"/>
        <w:rPr>
          <w:lang w:eastAsia="zh-CN"/>
        </w:rPr>
      </w:pPr>
      <w:r>
        <w:rPr>
          <w:lang w:eastAsia="zh-CN"/>
        </w:rPr>
        <w:t>虚拟资产服务提供商建议发牌制度</w:t>
      </w:r>
    </w:p>
    <w:p w:rsidR="007A284A" w:rsidRDefault="00937719">
      <w:pPr>
        <w:pStyle w:val="BodyText"/>
        <w:rPr>
          <w:lang w:eastAsia="zh-CN"/>
        </w:rPr>
      </w:pPr>
      <w:r>
        <w:rPr>
          <w:lang w:eastAsia="zh-CN"/>
        </w:rPr>
        <w:t>2021</w:t>
      </w:r>
      <w:r>
        <w:rPr>
          <w:lang w:eastAsia="zh-CN"/>
        </w:rPr>
        <w:t>年</w:t>
      </w:r>
      <w:r>
        <w:rPr>
          <w:lang w:eastAsia="zh-CN"/>
        </w:rPr>
        <w:t>5</w:t>
      </w:r>
      <w:r>
        <w:rPr>
          <w:lang w:eastAsia="zh-CN"/>
        </w:rPr>
        <w:t>月，财经事务及库务局发布了关于要求根据《打击洗钱及恐怖分子资金筹集条例》规定向作为虚拟资产服务提供商的虚拟资产中央交易平台的营运者颁发牌照的</w:t>
      </w:r>
      <w:r>
        <w:rPr>
          <w:lang w:eastAsia="zh-CN"/>
        </w:rPr>
        <w:t>建议发表谘询总结。在实施后，新制度将要求不受《证券及期货条例》发牌制度约束的提供虚拟资产交易的交易所向香港证监会申请牌照。已提供交易服务的平台营运者有</w:t>
      </w:r>
      <w:r>
        <w:rPr>
          <w:lang w:eastAsia="zh-CN"/>
        </w:rPr>
        <w:t>180</w:t>
      </w:r>
      <w:r>
        <w:rPr>
          <w:lang w:eastAsia="zh-CN"/>
        </w:rPr>
        <w:t>天的时间获得新牌照。发牌制度将只适用于虚拟资产交易所营运者，而不扩展至其他类型的虚拟资产服务提供商，如托管人和加密钱包提供商。财经事务及库务局表示，将展开法例起草的工作，以便于</w:t>
      </w:r>
      <w:r>
        <w:rPr>
          <w:lang w:eastAsia="zh-CN"/>
        </w:rPr>
        <w:t>2022</w:t>
      </w:r>
      <w:r>
        <w:rPr>
          <w:lang w:eastAsia="zh-CN"/>
        </w:rPr>
        <w:t>年向立法会提出必要的立法。有关拟议制度的更多信息，请参阅易周律师行资讯</w:t>
      </w:r>
      <w:r>
        <w:rPr>
          <w:lang w:eastAsia="zh-CN"/>
        </w:rPr>
        <w:t>“</w:t>
      </w:r>
      <w:hyperlink r:id="rId13">
        <w:r>
          <w:rPr>
            <w:lang w:eastAsia="zh-CN"/>
          </w:rPr>
          <w:t>香港财经事务及库务局完成对香港虚拟资产交易所发牌制度的咨询工作</w:t>
        </w:r>
      </w:hyperlink>
      <w:r>
        <w:rPr>
          <w:lang w:eastAsia="zh-CN"/>
        </w:rPr>
        <w:t>”</w:t>
      </w:r>
      <w:hyperlink w:anchor="footnote-598-6">
        <w:r>
          <w:rPr>
            <w:vertAlign w:val="superscript"/>
            <w:lang w:eastAsia="zh-CN"/>
          </w:rPr>
          <w:t>6</w:t>
        </w:r>
      </w:hyperlink>
      <w:r>
        <w:rPr>
          <w:lang w:eastAsia="zh-CN"/>
        </w:rPr>
        <w:t>。</w:t>
      </w:r>
    </w:p>
    <w:p w:rsidR="007A284A" w:rsidRDefault="00937719">
      <w:pPr>
        <w:pStyle w:val="BodyText"/>
        <w:rPr>
          <w:lang w:eastAsia="zh-CN"/>
        </w:rPr>
      </w:pPr>
      <w:r>
        <w:rPr>
          <w:lang w:eastAsia="zh-CN"/>
        </w:rPr>
        <w:lastRenderedPageBreak/>
        <w:t>香港金管局在讨论文件中指出，典型的稳定币安排中涉及的各种主要功能可能不包括在建议的虚拟资产服务提供商发牌制度中。这些功</w:t>
      </w:r>
      <w:r>
        <w:rPr>
          <w:lang w:eastAsia="zh-CN"/>
        </w:rPr>
        <w:t>能包括：</w:t>
      </w:r>
      <w:r>
        <w:rPr>
          <w:lang w:eastAsia="zh-CN"/>
        </w:rPr>
        <w:t>(i)</w:t>
      </w:r>
      <w:r>
        <w:rPr>
          <w:lang w:eastAsia="zh-CN"/>
        </w:rPr>
        <w:t>代币的发行和赎回；</w:t>
      </w:r>
      <w:r>
        <w:rPr>
          <w:lang w:eastAsia="zh-CN"/>
        </w:rPr>
        <w:t>(ii)</w:t>
      </w:r>
      <w:r>
        <w:rPr>
          <w:lang w:eastAsia="zh-CN"/>
        </w:rPr>
        <w:t>交易执行：</w:t>
      </w:r>
      <w:r>
        <w:rPr>
          <w:lang w:eastAsia="zh-CN"/>
        </w:rPr>
        <w:t>(iii)</w:t>
      </w:r>
      <w:r>
        <w:rPr>
          <w:lang w:eastAsia="zh-CN"/>
        </w:rPr>
        <w:t>代币保管和运作；</w:t>
      </w:r>
      <w:r>
        <w:rPr>
          <w:lang w:eastAsia="zh-CN"/>
        </w:rPr>
        <w:t>(iv)</w:t>
      </w:r>
      <w:r>
        <w:rPr>
          <w:lang w:eastAsia="zh-CN"/>
        </w:rPr>
        <w:t>价值稳定和储备管理；</w:t>
      </w:r>
      <w:r>
        <w:rPr>
          <w:lang w:eastAsia="zh-CN"/>
        </w:rPr>
        <w:t>(v)</w:t>
      </w:r>
      <w:r>
        <w:rPr>
          <w:lang w:eastAsia="zh-CN"/>
        </w:rPr>
        <w:t>交易验证；以及</w:t>
      </w:r>
      <w:r>
        <w:rPr>
          <w:lang w:eastAsia="zh-CN"/>
        </w:rPr>
        <w:t>(vi)</w:t>
      </w:r>
      <w:r>
        <w:rPr>
          <w:lang w:eastAsia="zh-CN"/>
        </w:rPr>
        <w:t>资金转移。</w:t>
      </w:r>
    </w:p>
    <w:p w:rsidR="007A284A" w:rsidRDefault="00937719">
      <w:pPr>
        <w:pStyle w:val="BodyText"/>
        <w:rPr>
          <w:lang w:eastAsia="zh-CN"/>
        </w:rPr>
      </w:pPr>
      <w:r>
        <w:rPr>
          <w:lang w:eastAsia="zh-CN"/>
        </w:rPr>
        <w:t>香港金管局对支付系统及储值支付工具的监管</w:t>
      </w:r>
    </w:p>
    <w:p w:rsidR="007A284A" w:rsidRDefault="00937719">
      <w:pPr>
        <w:pStyle w:val="BodyText"/>
        <w:rPr>
          <w:lang w:eastAsia="zh-CN"/>
        </w:rPr>
      </w:pPr>
      <w:r>
        <w:rPr>
          <w:lang w:eastAsia="zh-CN"/>
        </w:rPr>
        <w:t>香港金管局监管：</w:t>
      </w:r>
      <w:r>
        <w:rPr>
          <w:lang w:eastAsia="zh-CN"/>
        </w:rPr>
        <w:t>(i)</w:t>
      </w:r>
      <w:r>
        <w:rPr>
          <w:lang w:eastAsia="zh-CN"/>
        </w:rPr>
        <w:t>储值支付工具，如电子钱包和预付卡；及</w:t>
      </w:r>
      <w:r>
        <w:rPr>
          <w:lang w:eastAsia="zh-CN"/>
        </w:rPr>
        <w:t xml:space="preserve"> (ii)</w:t>
      </w:r>
      <w:r>
        <w:rPr>
          <w:lang w:eastAsia="zh-CN"/>
        </w:rPr>
        <w:t>《支付系统及储值支付工具条例》（第</w:t>
      </w:r>
      <w:r>
        <w:rPr>
          <w:lang w:eastAsia="zh-CN"/>
        </w:rPr>
        <w:t>584</w:t>
      </w:r>
      <w:r>
        <w:rPr>
          <w:lang w:eastAsia="zh-CN"/>
        </w:rPr>
        <w:t>章）下的结算及交收系统及零售支付系统。</w:t>
      </w:r>
    </w:p>
    <w:p w:rsidR="007A284A" w:rsidRDefault="00937719">
      <w:pPr>
        <w:pStyle w:val="BodyText"/>
        <w:rPr>
          <w:lang w:eastAsia="zh-CN"/>
        </w:rPr>
      </w:pPr>
      <w:r>
        <w:rPr>
          <w:lang w:eastAsia="zh-CN"/>
        </w:rPr>
        <w:t>根据《支付系统及储值支付工具条例》，如某工具符合以下条件即属储值支付工具：</w:t>
      </w:r>
    </w:p>
    <w:p w:rsidR="007A284A" w:rsidRDefault="00937719">
      <w:pPr>
        <w:numPr>
          <w:ilvl w:val="0"/>
          <w:numId w:val="3"/>
        </w:numPr>
        <w:rPr>
          <w:lang w:eastAsia="zh-CN"/>
        </w:rPr>
      </w:pPr>
      <w:r>
        <w:rPr>
          <w:lang w:eastAsia="zh-CN"/>
        </w:rPr>
        <w:t>该工具可用作储存款额的价值，而该款额指符合以下说明的款额</w:t>
      </w:r>
      <w:r>
        <w:rPr>
          <w:lang w:eastAsia="zh-CN"/>
        </w:rPr>
        <w:t xml:space="preserve"> </w:t>
      </w:r>
      <w:r>
        <w:rPr>
          <w:lang w:eastAsia="zh-CN"/>
        </w:rPr>
        <w:t>：</w:t>
      </w:r>
    </w:p>
    <w:p w:rsidR="007A284A" w:rsidRDefault="00937719">
      <w:pPr>
        <w:numPr>
          <w:ilvl w:val="1"/>
          <w:numId w:val="4"/>
        </w:numPr>
      </w:pPr>
      <w:r>
        <w:t>不时存入该工具的；及</w:t>
      </w:r>
    </w:p>
    <w:p w:rsidR="007A284A" w:rsidRDefault="00937719">
      <w:pPr>
        <w:numPr>
          <w:ilvl w:val="1"/>
          <w:numId w:val="4"/>
        </w:numPr>
        <w:rPr>
          <w:lang w:eastAsia="zh-CN"/>
        </w:rPr>
      </w:pPr>
      <w:r>
        <w:rPr>
          <w:lang w:eastAsia="zh-CN"/>
        </w:rPr>
        <w:t>是可根据该工具的规则储存于该工具的；及</w:t>
      </w:r>
    </w:p>
    <w:p w:rsidR="007A284A" w:rsidRDefault="00937719">
      <w:pPr>
        <w:numPr>
          <w:ilvl w:val="0"/>
          <w:numId w:val="3"/>
        </w:numPr>
        <w:rPr>
          <w:lang w:eastAsia="zh-CN"/>
        </w:rPr>
      </w:pPr>
      <w:r>
        <w:rPr>
          <w:lang w:eastAsia="zh-CN"/>
        </w:rPr>
        <w:t>该工具可作以下两项或其中一项用途：</w:t>
      </w:r>
    </w:p>
    <w:p w:rsidR="007A284A" w:rsidRDefault="00937719">
      <w:pPr>
        <w:numPr>
          <w:ilvl w:val="1"/>
          <w:numId w:val="5"/>
        </w:numPr>
        <w:rPr>
          <w:lang w:eastAsia="zh-CN"/>
        </w:rPr>
      </w:pPr>
      <w:r>
        <w:rPr>
          <w:lang w:eastAsia="zh-CN"/>
        </w:rPr>
        <w:t>根据该工具发行人作出的承诺（不论是明订或隐含的），用作就货品或服务付款的方法；</w:t>
      </w:r>
    </w:p>
    <w:p w:rsidR="007A284A" w:rsidRDefault="00937719">
      <w:pPr>
        <w:numPr>
          <w:ilvl w:val="1"/>
          <w:numId w:val="5"/>
        </w:numPr>
        <w:rPr>
          <w:lang w:eastAsia="zh-CN"/>
        </w:rPr>
      </w:pPr>
      <w:r>
        <w:rPr>
          <w:lang w:eastAsia="zh-CN"/>
        </w:rPr>
        <w:t>根据该工具发行人作出的承诺（不论是明订或隐含的），用作向另一人付款（第</w:t>
      </w:r>
      <w:r>
        <w:rPr>
          <w:lang w:eastAsia="zh-CN"/>
        </w:rPr>
        <w:t>(i)</w:t>
      </w:r>
      <w:r>
        <w:rPr>
          <w:lang w:eastAsia="zh-CN"/>
        </w:rPr>
        <w:t>节所述的付款除外）的方法。</w:t>
      </w:r>
    </w:p>
    <w:p w:rsidR="007A284A" w:rsidRDefault="00937719">
      <w:pPr>
        <w:pStyle w:val="FirstParagraph"/>
        <w:rPr>
          <w:lang w:eastAsia="zh-CN"/>
        </w:rPr>
      </w:pPr>
      <w:r>
        <w:rPr>
          <w:lang w:eastAsia="zh-CN"/>
        </w:rPr>
        <w:t>符合上述标准并构成在香港发行的储值支付工具的稳定币或任何其他加密资产，须向香港金管局申请牌照，并遵守《支付系统及储值支付工具条例》及香港金管局为发牌和持续监管而发布的指引、作业备考和监管要求中规定的其他要求。</w:t>
      </w:r>
    </w:p>
    <w:p w:rsidR="007A284A" w:rsidRDefault="00937719">
      <w:pPr>
        <w:pStyle w:val="BodyText"/>
        <w:rPr>
          <w:lang w:eastAsia="zh-CN"/>
        </w:rPr>
      </w:pPr>
      <w:r>
        <w:rPr>
          <w:lang w:eastAsia="zh-CN"/>
        </w:rPr>
        <w:t>然而，香港金管局指出《支付系统及储值支付工</w:t>
      </w:r>
      <w:r>
        <w:rPr>
          <w:lang w:eastAsia="zh-CN"/>
        </w:rPr>
        <w:t>具条例》中储值支付工具的定义可能不包括某种类型的稳定币及</w:t>
      </w:r>
      <w:r>
        <w:rPr>
          <w:lang w:eastAsia="zh-CN"/>
        </w:rPr>
        <w:t>/</w:t>
      </w:r>
      <w:r>
        <w:rPr>
          <w:lang w:eastAsia="zh-CN"/>
        </w:rPr>
        <w:t>或它们在市场的活动。就作为储值支付工具的某工具而言，须满足以下两个条件：</w:t>
      </w:r>
      <w:r>
        <w:rPr>
          <w:lang w:eastAsia="zh-CN"/>
        </w:rPr>
        <w:t>(i)</w:t>
      </w:r>
      <w:r>
        <w:rPr>
          <w:lang w:eastAsia="zh-CN"/>
        </w:rPr>
        <w:t>由工具发行人收取之储值；及</w:t>
      </w:r>
      <w:r>
        <w:rPr>
          <w:lang w:eastAsia="zh-CN"/>
        </w:rPr>
        <w:t>(ii)</w:t>
      </w:r>
      <w:r>
        <w:rPr>
          <w:lang w:eastAsia="zh-CN"/>
        </w:rPr>
        <w:t>同一发行人对使用储值进行个人对商戶或个人对个人支付的承诺。在稳定币的安排中，不同实体可以各自执行稳定币发行和钱包运作的功能，发行人不一定承诺将稳定币用作第三方的支付手段。这可能意味着稳定币的安排不属于储值工具发牌制度的范围內，尽管其运作方式与储值工具非常相似。</w:t>
      </w:r>
    </w:p>
    <w:p w:rsidR="007A284A" w:rsidRDefault="00937719">
      <w:pPr>
        <w:pStyle w:val="BodyText"/>
        <w:rPr>
          <w:lang w:eastAsia="zh-CN"/>
        </w:rPr>
      </w:pPr>
      <w:r>
        <w:rPr>
          <w:lang w:eastAsia="zh-CN"/>
        </w:rPr>
        <w:t>监管稳定币的原理</w:t>
      </w:r>
    </w:p>
    <w:p w:rsidR="007A284A" w:rsidRDefault="00937719">
      <w:pPr>
        <w:pStyle w:val="BodyText"/>
        <w:rPr>
          <w:lang w:eastAsia="zh-CN"/>
        </w:rPr>
      </w:pPr>
      <w:r>
        <w:rPr>
          <w:lang w:eastAsia="zh-CN"/>
        </w:rPr>
        <w:t>香港金管局稳定币讨论文件列出了与稳定币相关的七个主要风险：</w:t>
      </w:r>
    </w:p>
    <w:p w:rsidR="007A284A" w:rsidRDefault="00937719">
      <w:pPr>
        <w:numPr>
          <w:ilvl w:val="0"/>
          <w:numId w:val="6"/>
        </w:numPr>
      </w:pPr>
      <w:r>
        <w:t>金融稳定性风险</w:t>
      </w:r>
    </w:p>
    <w:p w:rsidR="007A284A" w:rsidRDefault="00937719">
      <w:pPr>
        <w:numPr>
          <w:ilvl w:val="1"/>
          <w:numId w:val="7"/>
        </w:numPr>
        <w:rPr>
          <w:lang w:eastAsia="zh-CN"/>
        </w:rPr>
      </w:pPr>
      <w:r>
        <w:rPr>
          <w:lang w:eastAsia="zh-CN"/>
        </w:rPr>
        <w:t>支付一体化</w:t>
      </w:r>
      <w:r>
        <w:rPr>
          <w:lang w:eastAsia="zh-CN"/>
        </w:rPr>
        <w:t>-</w:t>
      </w:r>
      <w:r>
        <w:rPr>
          <w:lang w:eastAsia="zh-CN"/>
        </w:rPr>
        <w:t>如果稳定币被个人和企业广泛用作一种支付手段，与稳定币有关的运营中断或故障可能会显著影响经济活动、正常运作和公众对金融系统的信心。</w:t>
      </w:r>
    </w:p>
    <w:p w:rsidR="007A284A" w:rsidRDefault="00937719">
      <w:pPr>
        <w:numPr>
          <w:ilvl w:val="1"/>
          <w:numId w:val="7"/>
        </w:numPr>
        <w:rPr>
          <w:lang w:eastAsia="zh-CN"/>
        </w:rPr>
      </w:pPr>
      <w:r>
        <w:rPr>
          <w:lang w:eastAsia="zh-CN"/>
        </w:rPr>
        <w:t>银行业稳定性</w:t>
      </w:r>
      <w:r>
        <w:rPr>
          <w:lang w:eastAsia="zh-CN"/>
        </w:rPr>
        <w:t>-</w:t>
      </w:r>
      <w:r>
        <w:rPr>
          <w:lang w:eastAsia="zh-CN"/>
        </w:rPr>
        <w:t>如果金融机构增加其对稳定币的敞口，和</w:t>
      </w:r>
      <w:r>
        <w:rPr>
          <w:lang w:eastAsia="zh-CN"/>
        </w:rPr>
        <w:t>/</w:t>
      </w:r>
      <w:r>
        <w:rPr>
          <w:lang w:eastAsia="zh-CN"/>
        </w:rPr>
        <w:t>或在相关生态系统中扮演多重角色（例如充当发行人或托管人），生态系统和参与者的一体化可能会影响金融机构的财务健康、商业模式和稳定运营。从银行存款到以稳定币形式持有资金的重大转变可能会影响银行业的稳定性。</w:t>
      </w:r>
    </w:p>
    <w:p w:rsidR="007A284A" w:rsidRDefault="00937719">
      <w:pPr>
        <w:numPr>
          <w:ilvl w:val="0"/>
          <w:numId w:val="6"/>
        </w:numPr>
      </w:pPr>
      <w:r>
        <w:t>货币稳定风险</w:t>
      </w:r>
    </w:p>
    <w:p w:rsidR="007A284A" w:rsidRDefault="00937719">
      <w:pPr>
        <w:numPr>
          <w:ilvl w:val="1"/>
          <w:numId w:val="8"/>
        </w:numPr>
        <w:rPr>
          <w:lang w:eastAsia="zh-CN"/>
        </w:rPr>
      </w:pPr>
      <w:r>
        <w:rPr>
          <w:lang w:eastAsia="zh-CN"/>
        </w:rPr>
        <w:lastRenderedPageBreak/>
        <w:t>货币替代</w:t>
      </w:r>
      <w:r>
        <w:rPr>
          <w:lang w:eastAsia="zh-CN"/>
        </w:rPr>
        <w:t>-</w:t>
      </w:r>
      <w:r>
        <w:rPr>
          <w:lang w:eastAsia="zh-CN"/>
        </w:rPr>
        <w:t>与单一或一篮子法定货币挂钩的稳定币可能会取代某些法定货币，特别是在国内货币波</w:t>
      </w:r>
      <w:r>
        <w:rPr>
          <w:lang w:eastAsia="zh-CN"/>
        </w:rPr>
        <w:t>动较大和支付基础设施不发达的司法管辖区。</w:t>
      </w:r>
    </w:p>
    <w:p w:rsidR="007A284A" w:rsidRDefault="00937719">
      <w:pPr>
        <w:numPr>
          <w:ilvl w:val="1"/>
          <w:numId w:val="8"/>
        </w:numPr>
        <w:rPr>
          <w:lang w:eastAsia="zh-CN"/>
        </w:rPr>
      </w:pPr>
      <w:r>
        <w:rPr>
          <w:lang w:eastAsia="zh-CN"/>
        </w:rPr>
        <w:t>货币政策传递机制</w:t>
      </w:r>
      <w:r>
        <w:rPr>
          <w:lang w:eastAsia="zh-CN"/>
        </w:rPr>
        <w:t>-</w:t>
      </w:r>
      <w:r>
        <w:rPr>
          <w:lang w:eastAsia="zh-CN"/>
        </w:rPr>
        <w:t>发行和赎回以港元作支持的稳定币，可能会影响银行间港元的供求。如果出现迅速和大规模赎回稳定币以兑换外币的情况，稳定币营运者可能不得不出售港元兑外币，以满足赎回要求。</w:t>
      </w:r>
    </w:p>
    <w:p w:rsidR="007A284A" w:rsidRDefault="00937719">
      <w:pPr>
        <w:numPr>
          <w:ilvl w:val="0"/>
          <w:numId w:val="6"/>
        </w:numPr>
      </w:pPr>
      <w:r>
        <w:t>结算风险</w:t>
      </w:r>
    </w:p>
    <w:p w:rsidR="007A284A" w:rsidRDefault="00937719">
      <w:pPr>
        <w:numPr>
          <w:ilvl w:val="0"/>
          <w:numId w:val="1"/>
        </w:numPr>
        <w:rPr>
          <w:lang w:eastAsia="zh-CN"/>
        </w:rPr>
      </w:pPr>
      <w:r>
        <w:rPr>
          <w:lang w:eastAsia="zh-CN"/>
        </w:rPr>
        <w:t>结算终局性</w:t>
      </w:r>
      <w:r>
        <w:rPr>
          <w:lang w:eastAsia="zh-CN"/>
        </w:rPr>
        <w:t>-</w:t>
      </w:r>
      <w:r>
        <w:rPr>
          <w:lang w:eastAsia="zh-CN"/>
        </w:rPr>
        <w:t>稳定币安排中的</w:t>
      </w:r>
      <w:r>
        <w:rPr>
          <w:lang w:eastAsia="zh-CN"/>
        </w:rPr>
        <w:t>“</w:t>
      </w:r>
      <w:r>
        <w:rPr>
          <w:lang w:eastAsia="zh-CN"/>
        </w:rPr>
        <w:t>分叉</w:t>
      </w:r>
      <w:r>
        <w:rPr>
          <w:lang w:eastAsia="zh-CN"/>
        </w:rPr>
        <w:t>”</w:t>
      </w:r>
      <w:r>
        <w:rPr>
          <w:lang w:eastAsia="zh-CN"/>
        </w:rPr>
        <w:t>可能会逆转技术结算，并导致与法律终局性不一致。</w:t>
      </w:r>
    </w:p>
    <w:p w:rsidR="007A284A" w:rsidRDefault="00937719">
      <w:pPr>
        <w:numPr>
          <w:ilvl w:val="0"/>
          <w:numId w:val="6"/>
        </w:numPr>
      </w:pPr>
      <w:r>
        <w:t>用戶保护</w:t>
      </w:r>
    </w:p>
    <w:p w:rsidR="007A284A" w:rsidRDefault="00937719">
      <w:pPr>
        <w:numPr>
          <w:ilvl w:val="1"/>
          <w:numId w:val="9"/>
        </w:numPr>
        <w:rPr>
          <w:lang w:eastAsia="zh-CN"/>
        </w:rPr>
      </w:pPr>
      <w:r>
        <w:rPr>
          <w:lang w:eastAsia="zh-CN"/>
        </w:rPr>
        <w:t>追索权</w:t>
      </w:r>
      <w:r>
        <w:rPr>
          <w:lang w:eastAsia="zh-CN"/>
        </w:rPr>
        <w:t>-</w:t>
      </w:r>
      <w:r>
        <w:rPr>
          <w:lang w:eastAsia="zh-CN"/>
        </w:rPr>
        <w:t>除非法律规定了追索机制，否则用户可能会因操作中断或稳定币安排失败而遭受损失且几乎没有或根本没有追索权。</w:t>
      </w:r>
    </w:p>
    <w:p w:rsidR="007A284A" w:rsidRDefault="00937719">
      <w:pPr>
        <w:numPr>
          <w:ilvl w:val="1"/>
          <w:numId w:val="9"/>
        </w:numPr>
        <w:rPr>
          <w:lang w:eastAsia="zh-CN"/>
        </w:rPr>
      </w:pPr>
      <w:r>
        <w:rPr>
          <w:lang w:eastAsia="zh-CN"/>
        </w:rPr>
        <w:t>信息充足性</w:t>
      </w:r>
      <w:r>
        <w:rPr>
          <w:lang w:eastAsia="zh-CN"/>
        </w:rPr>
        <w:t>-</w:t>
      </w:r>
      <w:r>
        <w:rPr>
          <w:lang w:eastAsia="zh-CN"/>
        </w:rPr>
        <w:t>鉴于稳定币的复杂性和新颖性，用户可能无法完全理解与之相关的风险</w:t>
      </w:r>
      <w:r>
        <w:rPr>
          <w:lang w:eastAsia="zh-CN"/>
        </w:rPr>
        <w:t>。</w:t>
      </w:r>
    </w:p>
    <w:p w:rsidR="007A284A" w:rsidRDefault="00937719">
      <w:pPr>
        <w:numPr>
          <w:ilvl w:val="0"/>
          <w:numId w:val="6"/>
        </w:numPr>
        <w:rPr>
          <w:lang w:eastAsia="zh-CN"/>
        </w:rPr>
      </w:pPr>
      <w:r>
        <w:rPr>
          <w:lang w:eastAsia="zh-CN"/>
        </w:rPr>
        <w:t>金融犯罪和网络安全风险</w:t>
      </w:r>
    </w:p>
    <w:p w:rsidR="007A284A" w:rsidRDefault="00937719">
      <w:pPr>
        <w:numPr>
          <w:ilvl w:val="0"/>
          <w:numId w:val="1"/>
        </w:numPr>
        <w:rPr>
          <w:lang w:eastAsia="zh-CN"/>
        </w:rPr>
      </w:pPr>
      <w:r>
        <w:rPr>
          <w:lang w:eastAsia="zh-CN"/>
        </w:rPr>
        <w:t>洗钱</w:t>
      </w:r>
      <w:r>
        <w:rPr>
          <w:lang w:eastAsia="zh-CN"/>
        </w:rPr>
        <w:t>/</w:t>
      </w:r>
      <w:r>
        <w:rPr>
          <w:lang w:eastAsia="zh-CN"/>
        </w:rPr>
        <w:t>恐怖分子资金筹集及其它非法活动</w:t>
      </w:r>
      <w:r>
        <w:rPr>
          <w:lang w:eastAsia="zh-CN"/>
        </w:rPr>
        <w:t>-</w:t>
      </w:r>
      <w:r>
        <w:rPr>
          <w:lang w:eastAsia="zh-CN"/>
        </w:rPr>
        <w:t>稳定币可能是勒索软件攻击所要求的支付手段，对用户和更广泛的社会构成风险。</w:t>
      </w:r>
    </w:p>
    <w:p w:rsidR="007A284A" w:rsidRDefault="00937719">
      <w:pPr>
        <w:numPr>
          <w:ilvl w:val="0"/>
          <w:numId w:val="6"/>
        </w:numPr>
      </w:pPr>
      <w:r>
        <w:t>国际合规</w:t>
      </w:r>
    </w:p>
    <w:p w:rsidR="007A284A" w:rsidRDefault="00937719">
      <w:pPr>
        <w:numPr>
          <w:ilvl w:val="0"/>
          <w:numId w:val="1"/>
        </w:numPr>
        <w:rPr>
          <w:lang w:eastAsia="zh-CN"/>
        </w:rPr>
      </w:pPr>
      <w:r>
        <w:rPr>
          <w:lang w:eastAsia="zh-CN"/>
        </w:rPr>
        <w:t>作为一个国际金融中心，香港有义务在适当时遵守国际公认的标准和最佳做法。</w:t>
      </w:r>
    </w:p>
    <w:p w:rsidR="007A284A" w:rsidRDefault="00937719">
      <w:pPr>
        <w:numPr>
          <w:ilvl w:val="0"/>
          <w:numId w:val="6"/>
        </w:numPr>
      </w:pPr>
      <w:r>
        <w:t>监管套利</w:t>
      </w:r>
    </w:p>
    <w:p w:rsidR="007A284A" w:rsidRDefault="00937719">
      <w:pPr>
        <w:numPr>
          <w:ilvl w:val="0"/>
          <w:numId w:val="1"/>
        </w:numPr>
        <w:rPr>
          <w:lang w:eastAsia="zh-CN"/>
        </w:rPr>
      </w:pPr>
      <w:r>
        <w:rPr>
          <w:lang w:eastAsia="zh-CN"/>
        </w:rPr>
        <w:t>需要更新香港金管局的监管制度</w:t>
      </w:r>
      <w:r>
        <w:rPr>
          <w:lang w:eastAsia="zh-CN"/>
        </w:rPr>
        <w:t>-</w:t>
      </w:r>
      <w:r>
        <w:rPr>
          <w:lang w:eastAsia="zh-CN"/>
        </w:rPr>
        <w:t>需要更新香港金管局的监管框架，以防止香港因监管不足而成为加密资产的避风港。</w:t>
      </w:r>
    </w:p>
    <w:p w:rsidR="007A284A" w:rsidRDefault="00937719">
      <w:pPr>
        <w:pStyle w:val="FirstParagraph"/>
        <w:rPr>
          <w:lang w:eastAsia="zh-CN"/>
        </w:rPr>
      </w:pPr>
      <w:r>
        <w:rPr>
          <w:lang w:eastAsia="zh-CN"/>
        </w:rPr>
        <w:t>香港金管局政策目标和原则</w:t>
      </w:r>
    </w:p>
    <w:p w:rsidR="007A284A" w:rsidRDefault="00937719">
      <w:pPr>
        <w:pStyle w:val="BodyText"/>
      </w:pPr>
      <w:r>
        <w:rPr>
          <w:lang w:eastAsia="zh-CN"/>
        </w:rPr>
        <w:t>鉴于这些风险，香港金管局认为有必要为稳定币建立适当的监管框架，其目标将是维持货币和金融稳定，确保投资者得到保护，并将监管套利的风险降至最低。</w:t>
      </w:r>
      <w:r>
        <w:t>监管制度</w:t>
      </w:r>
      <w:r>
        <w:t>将采用：</w:t>
      </w:r>
    </w:p>
    <w:p w:rsidR="007A284A" w:rsidRDefault="00937719">
      <w:pPr>
        <w:numPr>
          <w:ilvl w:val="0"/>
          <w:numId w:val="10"/>
        </w:numPr>
        <w:rPr>
          <w:lang w:eastAsia="zh-CN"/>
        </w:rPr>
      </w:pPr>
      <w:r>
        <w:rPr>
          <w:lang w:eastAsia="zh-CN"/>
        </w:rPr>
        <w:t>灵活的监管方法，以确保该制度能够适应不断变化的市场发展和相关的国际讨论；及</w:t>
      </w:r>
    </w:p>
    <w:p w:rsidR="007A284A" w:rsidRDefault="00937719">
      <w:pPr>
        <w:numPr>
          <w:ilvl w:val="0"/>
          <w:numId w:val="10"/>
        </w:numPr>
        <w:rPr>
          <w:lang w:eastAsia="zh-CN"/>
        </w:rPr>
      </w:pPr>
      <w:r>
        <w:rPr>
          <w:lang w:eastAsia="zh-CN"/>
        </w:rPr>
        <w:t>基于风险和相称的监管，解决稳定币带来的关键风险，并优先考虑风险较大的领域，同时为金融创新留出空间。</w:t>
      </w:r>
    </w:p>
    <w:p w:rsidR="007A284A" w:rsidRDefault="00937719">
      <w:pPr>
        <w:pStyle w:val="FirstParagraph"/>
        <w:rPr>
          <w:lang w:eastAsia="zh-CN"/>
        </w:rPr>
      </w:pPr>
      <w:r>
        <w:rPr>
          <w:lang w:eastAsia="zh-CN"/>
        </w:rPr>
        <w:t>香港金管局监管稳定币的建议</w:t>
      </w:r>
    </w:p>
    <w:p w:rsidR="007A284A" w:rsidRDefault="00937719">
      <w:pPr>
        <w:pStyle w:val="BodyText"/>
        <w:rPr>
          <w:lang w:eastAsia="zh-CN"/>
        </w:rPr>
      </w:pPr>
      <w:r>
        <w:rPr>
          <w:lang w:eastAsia="zh-CN"/>
        </w:rPr>
        <w:t>用作支付用途的稳定币</w:t>
      </w:r>
    </w:p>
    <w:p w:rsidR="007A284A" w:rsidRDefault="00937719">
      <w:pPr>
        <w:pStyle w:val="BodyText"/>
        <w:rPr>
          <w:lang w:eastAsia="zh-CN"/>
        </w:rPr>
      </w:pPr>
      <w:r>
        <w:rPr>
          <w:lang w:eastAsia="zh-CN"/>
        </w:rPr>
        <w:t>香港金管局建议仅规管用作支付用途的稳定币</w:t>
      </w:r>
      <w:r>
        <w:rPr>
          <w:lang w:eastAsia="zh-CN"/>
        </w:rPr>
        <w:t xml:space="preserve"> </w:t>
      </w:r>
      <w:r>
        <w:rPr>
          <w:lang w:eastAsia="zh-CN"/>
        </w:rPr>
        <w:t>，至少在最初阶段。</w:t>
      </w:r>
      <w:r>
        <w:rPr>
          <w:lang w:eastAsia="zh-CN"/>
        </w:rPr>
        <w:t>“</w:t>
      </w:r>
      <w:r>
        <w:rPr>
          <w:lang w:eastAsia="zh-CN"/>
        </w:rPr>
        <w:t>稳定币</w:t>
      </w:r>
      <w:r>
        <w:rPr>
          <w:lang w:eastAsia="zh-CN"/>
        </w:rPr>
        <w:t>”</w:t>
      </w:r>
      <w:r>
        <w:rPr>
          <w:lang w:eastAsia="zh-CN"/>
        </w:rPr>
        <w:t>是指其价值与单一或多项资产相关联或参照的加密资产，如某种证券或法定货币，或一篮子法定货币的证券。它们通常被描述为与单一或一篮子法定货币或其他资产</w:t>
      </w:r>
      <w:r>
        <w:rPr>
          <w:lang w:eastAsia="zh-CN"/>
        </w:rPr>
        <w:t>“</w:t>
      </w:r>
      <w:r>
        <w:rPr>
          <w:lang w:eastAsia="zh-CN"/>
        </w:rPr>
        <w:t>挂钩</w:t>
      </w:r>
      <w:r>
        <w:rPr>
          <w:lang w:eastAsia="zh-CN"/>
        </w:rPr>
        <w:t>”</w:t>
      </w:r>
      <w:r>
        <w:rPr>
          <w:lang w:eastAsia="zh-CN"/>
        </w:rPr>
        <w:t>或由其支持。根据所参照的资产，稳定币被用于投资或支付用</w:t>
      </w:r>
      <w:r>
        <w:rPr>
          <w:lang w:eastAsia="zh-CN"/>
        </w:rPr>
        <w:t>途。鉴于这些特点，它们往往有别于其他类型的加密资产，因此它们更有可能被视为一种被广泛接受的支付和</w:t>
      </w:r>
      <w:r>
        <w:rPr>
          <w:lang w:eastAsia="zh-CN"/>
        </w:rPr>
        <w:t>/</w:t>
      </w:r>
      <w:r>
        <w:rPr>
          <w:lang w:eastAsia="zh-CN"/>
        </w:rPr>
        <w:t>或储值方式（与其他加密资产相比），从而更有潜力被纳入主流金融系统或日常商业和经济活动。这解释</w:t>
      </w:r>
      <w:r>
        <w:rPr>
          <w:lang w:eastAsia="zh-CN"/>
        </w:rPr>
        <w:lastRenderedPageBreak/>
        <w:t>了为什么金融稳定理事会敦促金融监管机构准备监管稳定币，特别是那些有可能应用于跨司法管辖区支付的稳定币，香港金管局称之为全球稳定币。</w:t>
      </w:r>
    </w:p>
    <w:p w:rsidR="007A284A" w:rsidRDefault="00937719">
      <w:pPr>
        <w:pStyle w:val="BodyText"/>
        <w:rPr>
          <w:lang w:eastAsia="zh-CN"/>
        </w:rPr>
      </w:pPr>
      <w:r>
        <w:rPr>
          <w:lang w:eastAsia="zh-CN"/>
        </w:rPr>
        <w:t>稳定币的市值在过去两年中迅速增长，在</w:t>
      </w:r>
      <w:r>
        <w:rPr>
          <w:lang w:eastAsia="zh-CN"/>
        </w:rPr>
        <w:t>2021</w:t>
      </w:r>
      <w:r>
        <w:rPr>
          <w:lang w:eastAsia="zh-CN"/>
        </w:rPr>
        <w:t>年</w:t>
      </w:r>
      <w:r>
        <w:rPr>
          <w:lang w:eastAsia="zh-CN"/>
        </w:rPr>
        <w:t>12</w:t>
      </w:r>
      <w:r>
        <w:rPr>
          <w:lang w:eastAsia="zh-CN"/>
        </w:rPr>
        <w:t>月达到</w:t>
      </w:r>
      <w:r>
        <w:rPr>
          <w:lang w:eastAsia="zh-CN"/>
        </w:rPr>
        <w:t>1,500</w:t>
      </w:r>
      <w:r>
        <w:rPr>
          <w:lang w:eastAsia="zh-CN"/>
        </w:rPr>
        <w:t>亿美元，约占整个加密资产市场份额的</w:t>
      </w:r>
      <w:r>
        <w:rPr>
          <w:lang w:eastAsia="zh-CN"/>
        </w:rPr>
        <w:t>5%</w:t>
      </w:r>
      <w:r>
        <w:rPr>
          <w:lang w:eastAsia="zh-CN"/>
        </w:rPr>
        <w:t>。泰达币约占稳定币市值的一半，而其他主要稳定币包括</w:t>
      </w:r>
      <w:r>
        <w:rPr>
          <w:lang w:eastAsia="zh-CN"/>
        </w:rPr>
        <w:t>USD Coin</w:t>
      </w:r>
      <w:r>
        <w:rPr>
          <w:lang w:eastAsia="zh-CN"/>
        </w:rPr>
        <w:t>、币安美元、</w:t>
      </w:r>
      <w:r>
        <w:rPr>
          <w:lang w:eastAsia="zh-CN"/>
        </w:rPr>
        <w:t>Dai</w:t>
      </w:r>
      <w:r>
        <w:rPr>
          <w:lang w:eastAsia="zh-CN"/>
        </w:rPr>
        <w:t>、</w:t>
      </w:r>
      <w:r>
        <w:rPr>
          <w:lang w:eastAsia="zh-CN"/>
        </w:rPr>
        <w:t>Terra USD</w:t>
      </w:r>
      <w:r>
        <w:rPr>
          <w:lang w:eastAsia="zh-CN"/>
        </w:rPr>
        <w:t>和</w:t>
      </w:r>
      <w:r>
        <w:rPr>
          <w:lang w:eastAsia="zh-CN"/>
        </w:rPr>
        <w:t>Fei</w:t>
      </w:r>
      <w:r>
        <w:rPr>
          <w:lang w:eastAsia="zh-CN"/>
        </w:rPr>
        <w:t>币。</w:t>
      </w:r>
    </w:p>
    <w:p w:rsidR="007A284A" w:rsidRDefault="00937719">
      <w:pPr>
        <w:pStyle w:val="BodyText"/>
        <w:rPr>
          <w:lang w:eastAsia="zh-CN"/>
        </w:rPr>
      </w:pPr>
      <w:r>
        <w:rPr>
          <w:lang w:eastAsia="zh-CN"/>
        </w:rPr>
        <w:t xml:space="preserve">1. </w:t>
      </w:r>
      <w:r>
        <w:rPr>
          <w:lang w:eastAsia="zh-CN"/>
        </w:rPr>
        <w:t>稳定币相关活动的监管范围</w:t>
      </w:r>
    </w:p>
    <w:p w:rsidR="007A284A" w:rsidRDefault="00937719">
      <w:pPr>
        <w:pStyle w:val="BodyText"/>
        <w:rPr>
          <w:lang w:eastAsia="zh-CN"/>
        </w:rPr>
      </w:pPr>
      <w:r>
        <w:rPr>
          <w:lang w:eastAsia="zh-CN"/>
        </w:rPr>
        <w:t>讨论文件讨论的第一个问题是：</w:t>
      </w:r>
    </w:p>
    <w:p w:rsidR="007A284A" w:rsidRDefault="00937719">
      <w:pPr>
        <w:pStyle w:val="BodyText"/>
        <w:rPr>
          <w:lang w:eastAsia="zh-CN"/>
        </w:rPr>
      </w:pPr>
      <w:r>
        <w:rPr>
          <w:i/>
          <w:lang w:eastAsia="zh-CN"/>
        </w:rPr>
        <w:t>“</w:t>
      </w:r>
      <w:r>
        <w:rPr>
          <w:i/>
          <w:lang w:eastAsia="zh-CN"/>
        </w:rPr>
        <w:t>我们应否监管与所有类型的稳定货币相关的活动，或是优先考虑那些对货币和金融系统构成更高风险的用作支付用途的稳定币，同时在制度内提供灵活性以便在未来根据需要调整可能需要受到监管的稳定币的范围</w:t>
      </w:r>
      <w:r>
        <w:rPr>
          <w:i/>
          <w:lang w:eastAsia="zh-CN"/>
        </w:rPr>
        <w:t>?”</w:t>
      </w:r>
    </w:p>
    <w:p w:rsidR="007A284A" w:rsidRDefault="00937719">
      <w:pPr>
        <w:pStyle w:val="BodyText"/>
        <w:rPr>
          <w:lang w:eastAsia="zh-CN"/>
        </w:rPr>
      </w:pPr>
      <w:r>
        <w:rPr>
          <w:lang w:eastAsia="zh-CN"/>
        </w:rPr>
        <w:t>香港金管局建议采取基于风险的方法，</w:t>
      </w:r>
      <w:r>
        <w:rPr>
          <w:lang w:eastAsia="zh-CN"/>
        </w:rPr>
        <w:t>最初将专注于与支付相关的稳定币的相关活动。监管的重点将放在资产挂钩的稳定币（例如，价值与特定法定货币挂钩的稳定币），而不是基于算法的稳定币，后者通常使用协议改变稳定币供应，以响应需求变化來维持稳定的价值。这是因为目前大多数稳定币都与资产挂钩，而且主要与美元挂钩。与基于算法的稳定币相比，与资产挂钩的稳定币似乎更受欢迎，也更有可能被广泛用作支付手段，因此更有潜力被纳入主流金融。香港金管局认识到未来可能需要对其他类型的稳定币（例如基于算法的稳定币）进行监管，因它们可能对香港的货币和金融稳定构成潜在风险，所以香港金</w:t>
      </w:r>
      <w:r>
        <w:rPr>
          <w:lang w:eastAsia="zh-CN"/>
        </w:rPr>
        <w:t>管局希望建立一个灵活的制度，日后可根据需要可以在未来必要时进行修改。</w:t>
      </w:r>
    </w:p>
    <w:p w:rsidR="007A284A" w:rsidRDefault="00937719">
      <w:pPr>
        <w:pStyle w:val="BodyText"/>
        <w:rPr>
          <w:lang w:eastAsia="zh-CN"/>
        </w:rPr>
      </w:pPr>
      <w:r>
        <w:rPr>
          <w:lang w:eastAsia="zh-CN"/>
        </w:rPr>
        <w:t xml:space="preserve">2. </w:t>
      </w:r>
      <w:r>
        <w:rPr>
          <w:lang w:eastAsia="zh-CN"/>
        </w:rPr>
        <w:t>受监管的稳定币相关活动</w:t>
      </w:r>
    </w:p>
    <w:p w:rsidR="007A284A" w:rsidRDefault="00937719">
      <w:pPr>
        <w:pStyle w:val="BodyText"/>
        <w:rPr>
          <w:lang w:eastAsia="zh-CN"/>
        </w:rPr>
      </w:pPr>
      <w:r>
        <w:rPr>
          <w:lang w:eastAsia="zh-CN"/>
        </w:rPr>
        <w:t>讨论文件所提出的第二个讨论问题是：</w:t>
      </w:r>
    </w:p>
    <w:p w:rsidR="007A284A" w:rsidRDefault="00937719">
      <w:pPr>
        <w:pStyle w:val="BodyText"/>
        <w:rPr>
          <w:lang w:eastAsia="zh-CN"/>
        </w:rPr>
      </w:pPr>
      <w:r>
        <w:rPr>
          <w:i/>
          <w:lang w:eastAsia="zh-CN"/>
        </w:rPr>
        <w:t>“</w:t>
      </w:r>
      <w:r>
        <w:rPr>
          <w:i/>
          <w:lang w:eastAsia="zh-CN"/>
        </w:rPr>
        <w:t>哪些类型的稳定币相关活动应属于监管范围，例如发行和赎回、托管和管理、储备管理</w:t>
      </w:r>
      <w:r>
        <w:rPr>
          <w:i/>
          <w:lang w:eastAsia="zh-CN"/>
        </w:rPr>
        <w:t>?”</w:t>
      </w:r>
    </w:p>
    <w:p w:rsidR="007A284A" w:rsidRDefault="00937719">
      <w:pPr>
        <w:pStyle w:val="BodyText"/>
        <w:rPr>
          <w:lang w:eastAsia="zh-CN"/>
        </w:rPr>
      </w:pPr>
      <w:r>
        <w:rPr>
          <w:lang w:eastAsia="zh-CN"/>
        </w:rPr>
        <w:t>香港金管局建议，与稳定币有关的某些活动将需要香港金管局发牌。这将需要扩大现有立法（例如《支付系统及储值支付工具条例》）的范围或颁布新的法律。由于稳定币安排通常涉及多个实体，因此稳定币安排中的多个实体可能需要寻求香港金管局的授权</w:t>
      </w:r>
      <w:r>
        <w:rPr>
          <w:lang w:eastAsia="zh-CN"/>
        </w:rPr>
        <w:t xml:space="preserve"> </w:t>
      </w:r>
      <w:r>
        <w:rPr>
          <w:lang w:eastAsia="zh-CN"/>
        </w:rPr>
        <w:t>。</w:t>
      </w:r>
    </w:p>
    <w:p w:rsidR="007A284A" w:rsidRDefault="00937719">
      <w:pPr>
        <w:pStyle w:val="BodyText"/>
        <w:rPr>
          <w:lang w:eastAsia="zh-CN"/>
        </w:rPr>
      </w:pPr>
      <w:r>
        <w:rPr>
          <w:lang w:eastAsia="zh-CN"/>
        </w:rPr>
        <w:t>与稳定币有关的建议受规管活动包括：</w:t>
      </w:r>
    </w:p>
    <w:p w:rsidR="007A284A" w:rsidRDefault="00937719">
      <w:pPr>
        <w:numPr>
          <w:ilvl w:val="0"/>
          <w:numId w:val="11"/>
        </w:numPr>
        <w:rPr>
          <w:lang w:eastAsia="zh-CN"/>
        </w:rPr>
      </w:pPr>
      <w:r>
        <w:rPr>
          <w:lang w:eastAsia="zh-CN"/>
        </w:rPr>
        <w:t>发行、创建或销毁稳定币（</w:t>
      </w:r>
      <w:r>
        <w:rPr>
          <w:lang w:eastAsia="zh-CN"/>
        </w:rPr>
        <w:t>即，发行者人铸造和焚烧稳定币）；</w:t>
      </w:r>
    </w:p>
    <w:p w:rsidR="007A284A" w:rsidRDefault="00937719">
      <w:pPr>
        <w:numPr>
          <w:ilvl w:val="0"/>
          <w:numId w:val="11"/>
        </w:numPr>
        <w:rPr>
          <w:lang w:eastAsia="zh-CN"/>
        </w:rPr>
      </w:pPr>
      <w:r>
        <w:rPr>
          <w:lang w:eastAsia="zh-CN"/>
        </w:rPr>
        <w:t>管理储备资产以稳定稳定币的价值（即，管理支持稳定币价值的储备资产，并为这些资产提供托管或信托）；</w:t>
      </w:r>
    </w:p>
    <w:p w:rsidR="007A284A" w:rsidRDefault="00937719">
      <w:pPr>
        <w:numPr>
          <w:ilvl w:val="0"/>
          <w:numId w:val="11"/>
        </w:numPr>
        <w:rPr>
          <w:lang w:eastAsia="zh-CN"/>
        </w:rPr>
      </w:pPr>
      <w:r>
        <w:rPr>
          <w:lang w:eastAsia="zh-CN"/>
        </w:rPr>
        <w:t>验证交易和记录（包括授权或验证交易和记录的有效性）；</w:t>
      </w:r>
    </w:p>
    <w:p w:rsidR="007A284A" w:rsidRDefault="00937719">
      <w:pPr>
        <w:numPr>
          <w:ilvl w:val="0"/>
          <w:numId w:val="11"/>
        </w:numPr>
        <w:rPr>
          <w:lang w:eastAsia="zh-CN"/>
        </w:rPr>
      </w:pPr>
      <w:r>
        <w:rPr>
          <w:lang w:eastAsia="zh-CN"/>
        </w:rPr>
        <w:t>存储获取稳定币的私人密钥（即，安全保管用于代表稳定币持有人进行数字签名交易指令的密钥）；</w:t>
      </w:r>
    </w:p>
    <w:p w:rsidR="007A284A" w:rsidRDefault="00937719">
      <w:pPr>
        <w:numPr>
          <w:ilvl w:val="0"/>
          <w:numId w:val="11"/>
        </w:numPr>
        <w:rPr>
          <w:lang w:eastAsia="zh-CN"/>
        </w:rPr>
      </w:pPr>
      <w:r>
        <w:rPr>
          <w:lang w:eastAsia="zh-CN"/>
        </w:rPr>
        <w:t>促进稳定币的赎回（即，促进稳定币持有人以法定货币或其他资产赎回其稳定币）；</w:t>
      </w:r>
    </w:p>
    <w:p w:rsidR="007A284A" w:rsidRDefault="00937719">
      <w:pPr>
        <w:numPr>
          <w:ilvl w:val="0"/>
          <w:numId w:val="11"/>
        </w:numPr>
        <w:rPr>
          <w:lang w:eastAsia="zh-CN"/>
        </w:rPr>
      </w:pPr>
      <w:r>
        <w:rPr>
          <w:lang w:eastAsia="zh-CN"/>
        </w:rPr>
        <w:t>资金转移（即，确保交易的准确和最终结算，以最大限度地降低交易对手方的违约风险）；及</w:t>
      </w:r>
    </w:p>
    <w:p w:rsidR="007A284A" w:rsidRDefault="00937719">
      <w:pPr>
        <w:numPr>
          <w:ilvl w:val="0"/>
          <w:numId w:val="11"/>
        </w:numPr>
        <w:rPr>
          <w:lang w:eastAsia="zh-CN"/>
        </w:rPr>
      </w:pPr>
      <w:r>
        <w:rPr>
          <w:lang w:eastAsia="zh-CN"/>
        </w:rPr>
        <w:t>在稳定币中执行交易（包括代表他人进行交易）。</w:t>
      </w:r>
    </w:p>
    <w:p w:rsidR="007A284A" w:rsidRDefault="00937719">
      <w:pPr>
        <w:pStyle w:val="FirstParagraph"/>
        <w:rPr>
          <w:lang w:eastAsia="zh-CN"/>
        </w:rPr>
      </w:pPr>
      <w:r>
        <w:rPr>
          <w:lang w:eastAsia="zh-CN"/>
        </w:rPr>
        <w:t xml:space="preserve">3. </w:t>
      </w:r>
      <w:r>
        <w:rPr>
          <w:lang w:eastAsia="zh-CN"/>
        </w:rPr>
        <w:t>香港金管局授权及监管要求</w:t>
      </w:r>
    </w:p>
    <w:p w:rsidR="007A284A" w:rsidRDefault="00937719">
      <w:pPr>
        <w:pStyle w:val="BodyText"/>
        <w:rPr>
          <w:lang w:eastAsia="zh-CN"/>
        </w:rPr>
      </w:pPr>
      <w:r>
        <w:rPr>
          <w:lang w:eastAsia="zh-CN"/>
        </w:rPr>
        <w:t>香港金管局第三个讨论的问题是：</w:t>
      </w:r>
    </w:p>
    <w:p w:rsidR="007A284A" w:rsidRDefault="00937719">
      <w:pPr>
        <w:pStyle w:val="BodyText"/>
        <w:rPr>
          <w:lang w:eastAsia="zh-CN"/>
        </w:rPr>
      </w:pPr>
      <w:r>
        <w:rPr>
          <w:i/>
          <w:lang w:eastAsia="zh-CN"/>
        </w:rPr>
        <w:lastRenderedPageBreak/>
        <w:t>“</w:t>
      </w:r>
      <w:r>
        <w:rPr>
          <w:i/>
          <w:lang w:eastAsia="zh-CN"/>
        </w:rPr>
        <w:t>对于那些受新发牌制度约束的实体，将预期会有什么样的授权和监管要求？</w:t>
      </w:r>
      <w:r>
        <w:rPr>
          <w:i/>
          <w:lang w:eastAsia="zh-CN"/>
        </w:rPr>
        <w:t>”</w:t>
      </w:r>
    </w:p>
    <w:p w:rsidR="007A284A" w:rsidRDefault="00937719">
      <w:pPr>
        <w:pStyle w:val="BodyText"/>
        <w:rPr>
          <w:lang w:eastAsia="zh-CN"/>
        </w:rPr>
      </w:pPr>
      <w:r>
        <w:rPr>
          <w:lang w:eastAsia="zh-CN"/>
        </w:rPr>
        <w:t>香港金管局建议对与稳定币相关活动实施高水平的监管要求。这些措施将采用基于风险的方法，而不是采用一刀切的方法。由于稳定币安排经常</w:t>
      </w:r>
      <w:r>
        <w:rPr>
          <w:lang w:eastAsia="zh-CN"/>
        </w:rPr>
        <w:t xml:space="preserve"> </w:t>
      </w:r>
      <w:r>
        <w:rPr>
          <w:lang w:eastAsia="zh-CN"/>
        </w:rPr>
        <w:t>涉及多个实体，所涉及的实体可能会受到部分或全部要求的约束，具体取决于它们提供的与稳定币相关的实际服务。</w:t>
      </w:r>
    </w:p>
    <w:p w:rsidR="007A284A" w:rsidRDefault="00937719">
      <w:pPr>
        <w:pStyle w:val="BodyText"/>
        <w:rPr>
          <w:lang w:eastAsia="zh-CN"/>
        </w:rPr>
      </w:pPr>
      <w:r>
        <w:rPr>
          <w:lang w:eastAsia="zh-CN"/>
        </w:rPr>
        <w:t>授权要求</w:t>
      </w:r>
    </w:p>
    <w:p w:rsidR="007A284A" w:rsidRDefault="00937719">
      <w:pPr>
        <w:pStyle w:val="BodyText"/>
        <w:rPr>
          <w:lang w:eastAsia="zh-CN"/>
        </w:rPr>
      </w:pPr>
      <w:r>
        <w:rPr>
          <w:lang w:eastAsia="zh-CN"/>
        </w:rPr>
        <w:t>在新的发牌制度下，希望进行对稳定币安排的运作至关重要的某些活动的实体，将需要得到香港金管局的授权。香港金管局将在法律上制定这些授权要求，相关持牌机构须在授权后持续遵</w:t>
      </w:r>
      <w:r>
        <w:rPr>
          <w:lang w:eastAsia="zh-CN"/>
        </w:rPr>
        <w:t>守授权要求，以确保计划始终安全和稳健。</w:t>
      </w:r>
    </w:p>
    <w:p w:rsidR="007A284A" w:rsidRDefault="00937719">
      <w:pPr>
        <w:pStyle w:val="BodyText"/>
        <w:rPr>
          <w:lang w:eastAsia="zh-CN"/>
        </w:rPr>
      </w:pPr>
      <w:r>
        <w:rPr>
          <w:lang w:eastAsia="zh-CN"/>
        </w:rPr>
        <w:t>监管要求</w:t>
      </w:r>
    </w:p>
    <w:p w:rsidR="007A284A" w:rsidRDefault="00937719">
      <w:pPr>
        <w:pStyle w:val="BodyText"/>
        <w:rPr>
          <w:lang w:eastAsia="zh-CN"/>
        </w:rPr>
      </w:pPr>
      <w:r>
        <w:rPr>
          <w:lang w:eastAsia="zh-CN"/>
        </w:rPr>
        <w:t>香港金管局建议对进行稳定币相关活动的实体施加监管要求，相关规定在具体情况下可能会有所不同，包括：</w:t>
      </w:r>
    </w:p>
    <w:p w:rsidR="007A284A" w:rsidRDefault="00937719">
      <w:pPr>
        <w:numPr>
          <w:ilvl w:val="0"/>
          <w:numId w:val="12"/>
        </w:numPr>
      </w:pPr>
      <w:r>
        <w:t>审慎规定</w:t>
      </w:r>
    </w:p>
    <w:p w:rsidR="007A284A" w:rsidRDefault="00937719">
      <w:pPr>
        <w:numPr>
          <w:ilvl w:val="0"/>
          <w:numId w:val="1"/>
        </w:numPr>
        <w:rPr>
          <w:lang w:eastAsia="zh-CN"/>
        </w:rPr>
      </w:pPr>
      <w:r>
        <w:rPr>
          <w:lang w:eastAsia="zh-CN"/>
        </w:rPr>
        <w:t>持牌实体将被要求拥有足够的财务资源和流动性，并将需要充分和有效地管理资本和流动性，以保护用户和金融稳定。</w:t>
      </w:r>
    </w:p>
    <w:p w:rsidR="007A284A" w:rsidRDefault="00937719">
      <w:pPr>
        <w:numPr>
          <w:ilvl w:val="0"/>
          <w:numId w:val="12"/>
        </w:numPr>
        <w:rPr>
          <w:lang w:eastAsia="zh-CN"/>
        </w:rPr>
      </w:pPr>
      <w:r>
        <w:rPr>
          <w:lang w:eastAsia="zh-CN"/>
        </w:rPr>
        <w:t>对管理人员和所有人进行适当人选的测试</w:t>
      </w:r>
    </w:p>
    <w:p w:rsidR="007A284A" w:rsidRDefault="00937719">
      <w:pPr>
        <w:numPr>
          <w:ilvl w:val="0"/>
          <w:numId w:val="1"/>
        </w:numPr>
        <w:rPr>
          <w:lang w:eastAsia="zh-CN"/>
        </w:rPr>
      </w:pPr>
      <w:r>
        <w:rPr>
          <w:lang w:eastAsia="zh-CN"/>
        </w:rPr>
        <w:t>持牌实体的控制人（包括股东控制人和间接控制人）和高级管理人员将需要满足适当人选的测试。</w:t>
      </w:r>
    </w:p>
    <w:p w:rsidR="007A284A" w:rsidRDefault="00937719">
      <w:pPr>
        <w:numPr>
          <w:ilvl w:val="0"/>
          <w:numId w:val="12"/>
        </w:numPr>
        <w:rPr>
          <w:lang w:eastAsia="zh-CN"/>
        </w:rPr>
      </w:pPr>
      <w:r>
        <w:rPr>
          <w:lang w:eastAsia="zh-CN"/>
        </w:rPr>
        <w:t>备用资产储备的维护和管理</w:t>
      </w:r>
    </w:p>
    <w:p w:rsidR="007A284A" w:rsidRDefault="00937719">
      <w:pPr>
        <w:numPr>
          <w:ilvl w:val="0"/>
          <w:numId w:val="1"/>
        </w:numPr>
        <w:rPr>
          <w:lang w:eastAsia="zh-CN"/>
        </w:rPr>
      </w:pPr>
      <w:r>
        <w:rPr>
          <w:lang w:eastAsia="zh-CN"/>
        </w:rPr>
        <w:t>持牌实体将被要求遵守有关稳定币安排的储备资产的性质和充分性的要求，以支持和稳定稳定币的流通存量的价值。他们亦须遵守有关规定，以确保稳定币持有人与稳定币发行人及其支持的储备资产有关的法律主张、所有权、利益及其他权利的清晰性及可执行性。</w:t>
      </w:r>
    </w:p>
    <w:p w:rsidR="007A284A" w:rsidRDefault="00937719">
      <w:pPr>
        <w:numPr>
          <w:ilvl w:val="0"/>
          <w:numId w:val="12"/>
        </w:numPr>
        <w:rPr>
          <w:lang w:eastAsia="zh-CN"/>
        </w:rPr>
      </w:pPr>
      <w:r>
        <w:rPr>
          <w:lang w:eastAsia="zh-CN"/>
        </w:rPr>
        <w:t>系统、控制、管治和风险管理要求</w:t>
      </w:r>
    </w:p>
    <w:p w:rsidR="007A284A" w:rsidRDefault="00937719">
      <w:pPr>
        <w:numPr>
          <w:ilvl w:val="0"/>
          <w:numId w:val="1"/>
        </w:numPr>
        <w:rPr>
          <w:lang w:eastAsia="zh-CN"/>
        </w:rPr>
      </w:pPr>
      <w:r>
        <w:rPr>
          <w:lang w:eastAsia="zh-CN"/>
        </w:rPr>
        <w:t>持牌实体将被要求建立一个健全的风险管理框架，以全面管理稳定币安排的法律、信贷、流动性、运营、打击洗钱和其他风险。稳定币安排的所有权结构和运作将需要明确和直接的责任线和问责制，特别是当它是由一个或多个负责任的法律实体拥有和管理时。</w:t>
      </w:r>
    </w:p>
    <w:p w:rsidR="007A284A" w:rsidRDefault="00937719">
      <w:pPr>
        <w:numPr>
          <w:ilvl w:val="0"/>
          <w:numId w:val="12"/>
        </w:numPr>
        <w:rPr>
          <w:lang w:eastAsia="zh-CN"/>
        </w:rPr>
      </w:pPr>
      <w:r>
        <w:rPr>
          <w:lang w:eastAsia="zh-CN"/>
        </w:rPr>
        <w:t>打击洗钱</w:t>
      </w:r>
      <w:r>
        <w:rPr>
          <w:lang w:eastAsia="zh-CN"/>
        </w:rPr>
        <w:t>/</w:t>
      </w:r>
      <w:r>
        <w:rPr>
          <w:lang w:eastAsia="zh-CN"/>
        </w:rPr>
        <w:t>恐怖分</w:t>
      </w:r>
      <w:r>
        <w:rPr>
          <w:lang w:eastAsia="zh-CN"/>
        </w:rPr>
        <w:t>子资金筹集要求</w:t>
      </w:r>
    </w:p>
    <w:p w:rsidR="007A284A" w:rsidRDefault="00937719">
      <w:pPr>
        <w:numPr>
          <w:ilvl w:val="0"/>
          <w:numId w:val="1"/>
        </w:numPr>
        <w:rPr>
          <w:lang w:eastAsia="zh-CN"/>
        </w:rPr>
      </w:pPr>
      <w:r>
        <w:rPr>
          <w:lang w:eastAsia="zh-CN"/>
        </w:rPr>
        <w:t>持牌实体须遵守打击洗钱</w:t>
      </w:r>
      <w:r>
        <w:rPr>
          <w:lang w:eastAsia="zh-CN"/>
        </w:rPr>
        <w:t>/</w:t>
      </w:r>
      <w:r>
        <w:rPr>
          <w:lang w:eastAsia="zh-CN"/>
        </w:rPr>
        <w:t>恐怖分子资金筹集规则。</w:t>
      </w:r>
    </w:p>
    <w:p w:rsidR="007A284A" w:rsidRDefault="00937719">
      <w:pPr>
        <w:numPr>
          <w:ilvl w:val="0"/>
          <w:numId w:val="12"/>
        </w:numPr>
      </w:pPr>
      <w:r>
        <w:t>赎回要求</w:t>
      </w:r>
    </w:p>
    <w:p w:rsidR="007A284A" w:rsidRDefault="00937719">
      <w:pPr>
        <w:numPr>
          <w:ilvl w:val="0"/>
          <w:numId w:val="1"/>
        </w:numPr>
        <w:rPr>
          <w:lang w:eastAsia="zh-CN"/>
        </w:rPr>
      </w:pPr>
      <w:r>
        <w:rPr>
          <w:lang w:eastAsia="zh-CN"/>
        </w:rPr>
        <w:t>持牌实体需要确保赎回稳定币以兑换其他流动资产的过程的清晰度、稳健性和及时性。</w:t>
      </w:r>
    </w:p>
    <w:p w:rsidR="007A284A" w:rsidRDefault="00937719">
      <w:pPr>
        <w:numPr>
          <w:ilvl w:val="0"/>
          <w:numId w:val="12"/>
        </w:numPr>
      </w:pPr>
      <w:r>
        <w:t>财务报告和披露要求</w:t>
      </w:r>
    </w:p>
    <w:p w:rsidR="007A284A" w:rsidRDefault="00937719">
      <w:pPr>
        <w:numPr>
          <w:ilvl w:val="0"/>
          <w:numId w:val="1"/>
        </w:numPr>
        <w:rPr>
          <w:lang w:eastAsia="zh-CN"/>
        </w:rPr>
      </w:pPr>
      <w:r>
        <w:rPr>
          <w:lang w:eastAsia="zh-CN"/>
        </w:rPr>
        <w:t>持牌实体须向监管机构及用户进行披露并授予用户指定权利。</w:t>
      </w:r>
    </w:p>
    <w:p w:rsidR="007A284A" w:rsidRDefault="00937719">
      <w:pPr>
        <w:numPr>
          <w:ilvl w:val="0"/>
          <w:numId w:val="12"/>
        </w:numPr>
      </w:pPr>
      <w:r>
        <w:t>安全、效率和保安要求</w:t>
      </w:r>
    </w:p>
    <w:p w:rsidR="007A284A" w:rsidRDefault="00937719">
      <w:pPr>
        <w:numPr>
          <w:ilvl w:val="0"/>
          <w:numId w:val="1"/>
        </w:numPr>
        <w:rPr>
          <w:lang w:eastAsia="zh-CN"/>
        </w:rPr>
      </w:pPr>
      <w:r>
        <w:rPr>
          <w:lang w:eastAsia="zh-CN"/>
        </w:rPr>
        <w:t>持牌实体须实施足够的保障措施，以防范网络安全、运营和业务连续性风险。</w:t>
      </w:r>
    </w:p>
    <w:p w:rsidR="007A284A" w:rsidRDefault="00937719">
      <w:pPr>
        <w:numPr>
          <w:ilvl w:val="0"/>
          <w:numId w:val="12"/>
        </w:numPr>
      </w:pPr>
      <w:r>
        <w:lastRenderedPageBreak/>
        <w:t>结算终局性</w:t>
      </w:r>
    </w:p>
    <w:p w:rsidR="007A284A" w:rsidRDefault="00937719">
      <w:pPr>
        <w:numPr>
          <w:ilvl w:val="0"/>
          <w:numId w:val="1"/>
        </w:numPr>
        <w:rPr>
          <w:lang w:eastAsia="zh-CN"/>
        </w:rPr>
      </w:pPr>
      <w:r>
        <w:rPr>
          <w:lang w:eastAsia="zh-CN"/>
        </w:rPr>
        <w:t>持牌实体将需要确保稳定币安排提供明确和最终的结算，无论采用何种操作结算方法。</w:t>
      </w:r>
    </w:p>
    <w:p w:rsidR="007A284A" w:rsidRDefault="00937719">
      <w:pPr>
        <w:pStyle w:val="FirstParagraph"/>
        <w:rPr>
          <w:lang w:eastAsia="zh-CN"/>
        </w:rPr>
      </w:pPr>
      <w:r>
        <w:rPr>
          <w:lang w:eastAsia="zh-CN"/>
        </w:rPr>
        <w:t xml:space="preserve">4. </w:t>
      </w:r>
      <w:r>
        <w:rPr>
          <w:lang w:eastAsia="zh-CN"/>
        </w:rPr>
        <w:t>发牌要求</w:t>
      </w:r>
    </w:p>
    <w:p w:rsidR="007A284A" w:rsidRDefault="00937719">
      <w:pPr>
        <w:pStyle w:val="BodyText"/>
        <w:rPr>
          <w:lang w:eastAsia="zh-CN"/>
        </w:rPr>
      </w:pPr>
      <w:r>
        <w:rPr>
          <w:lang w:eastAsia="zh-CN"/>
        </w:rPr>
        <w:t>香港金管局讨论的第四个问题是：</w:t>
      </w:r>
    </w:p>
    <w:p w:rsidR="007A284A" w:rsidRDefault="00937719">
      <w:pPr>
        <w:pStyle w:val="BodyText"/>
        <w:rPr>
          <w:lang w:eastAsia="zh-CN"/>
        </w:rPr>
      </w:pPr>
      <w:r>
        <w:rPr>
          <w:i/>
          <w:lang w:eastAsia="zh-CN"/>
        </w:rPr>
        <w:t>“</w:t>
      </w:r>
      <w:r>
        <w:rPr>
          <w:i/>
          <w:lang w:eastAsia="zh-CN"/>
        </w:rPr>
        <w:t>在预期的监管制度下，预期需要发牌的对象的覆盖范围是什</w:t>
      </w:r>
      <w:r>
        <w:rPr>
          <w:i/>
          <w:lang w:eastAsia="zh-CN"/>
        </w:rPr>
        <w:t>么</w:t>
      </w:r>
      <w:r>
        <w:rPr>
          <w:i/>
          <w:lang w:eastAsia="zh-CN"/>
        </w:rPr>
        <w:t>?”</w:t>
      </w:r>
    </w:p>
    <w:p w:rsidR="007A284A" w:rsidRDefault="00937719">
      <w:pPr>
        <w:pStyle w:val="BodyText"/>
        <w:rPr>
          <w:lang w:eastAsia="zh-CN"/>
        </w:rPr>
      </w:pPr>
      <w:r>
        <w:rPr>
          <w:lang w:eastAsia="zh-CN"/>
        </w:rPr>
        <w:t>香港金管局建议，任何想在香港进行任何受规管的稳定币相关活动（见上文第</w:t>
      </w:r>
      <w:r>
        <w:rPr>
          <w:lang w:eastAsia="zh-CN"/>
        </w:rPr>
        <w:t>2</w:t>
      </w:r>
      <w:r>
        <w:rPr>
          <w:lang w:eastAsia="zh-CN"/>
        </w:rPr>
        <w:t>段所列）的实体，必须在香港注册成立并获香港金管局发牌以进行相关活动。与《证券及期货条例》第</w:t>
      </w:r>
      <w:r>
        <w:rPr>
          <w:lang w:eastAsia="zh-CN"/>
        </w:rPr>
        <w:t>115</w:t>
      </w:r>
      <w:r>
        <w:rPr>
          <w:lang w:eastAsia="zh-CN"/>
        </w:rPr>
        <w:t>条一样，新的监管制度亦会禁止非持牌实体向香港公众人士积极推广稳定币相关活动。因此，一家非香港公司将需要成立一家香港公司，才能申请香港金管局牌照，以在香港提供受监管的稳定币相关活动。仅是外国公司的香港分行或办事处将不会获得香港金管局发牌。</w:t>
      </w:r>
    </w:p>
    <w:p w:rsidR="007A284A" w:rsidRDefault="00937719">
      <w:pPr>
        <w:pStyle w:val="BodyText"/>
        <w:rPr>
          <w:lang w:eastAsia="zh-CN"/>
        </w:rPr>
      </w:pPr>
      <w:r>
        <w:rPr>
          <w:lang w:eastAsia="zh-CN"/>
        </w:rPr>
        <w:t xml:space="preserve">5. </w:t>
      </w:r>
      <w:r>
        <w:rPr>
          <w:lang w:eastAsia="zh-CN"/>
        </w:rPr>
        <w:t>制度执行和监督合作</w:t>
      </w:r>
    </w:p>
    <w:p w:rsidR="007A284A" w:rsidRDefault="00937719">
      <w:pPr>
        <w:pStyle w:val="BodyText"/>
        <w:rPr>
          <w:lang w:eastAsia="zh-CN"/>
        </w:rPr>
      </w:pPr>
      <w:r>
        <w:rPr>
          <w:lang w:eastAsia="zh-CN"/>
        </w:rPr>
        <w:t>讨论文件讨论的第五个问题是：</w:t>
      </w:r>
    </w:p>
    <w:p w:rsidR="007A284A" w:rsidRDefault="00937719">
      <w:pPr>
        <w:pStyle w:val="BodyText"/>
        <w:rPr>
          <w:lang w:eastAsia="zh-CN"/>
        </w:rPr>
      </w:pPr>
      <w:r>
        <w:rPr>
          <w:i/>
          <w:lang w:eastAsia="zh-CN"/>
        </w:rPr>
        <w:t>“</w:t>
      </w:r>
      <w:r>
        <w:rPr>
          <w:i/>
          <w:lang w:eastAsia="zh-CN"/>
        </w:rPr>
        <w:t>何时建立这一基于风险的新稳定货币制度，以及</w:t>
      </w:r>
      <w:r>
        <w:rPr>
          <w:i/>
          <w:lang w:eastAsia="zh-CN"/>
        </w:rPr>
        <w:t>会否与香港其他金融监管制度重叠，包括但不限于证监会的虚拟资产服务提供商制度和《支付系统及储值支付工具条例》储值支付工具发牌制度</w:t>
      </w:r>
      <w:r>
        <w:rPr>
          <w:i/>
          <w:lang w:eastAsia="zh-CN"/>
        </w:rPr>
        <w:t>?”</w:t>
      </w:r>
    </w:p>
    <w:p w:rsidR="007A284A" w:rsidRDefault="00937719">
      <w:pPr>
        <w:pStyle w:val="BodyText"/>
        <w:rPr>
          <w:lang w:eastAsia="zh-CN"/>
        </w:rPr>
      </w:pPr>
      <w:r>
        <w:rPr>
          <w:i/>
          <w:lang w:eastAsia="zh-CN"/>
        </w:rPr>
        <w:t>香港金管局稳定币监管制度的实施</w:t>
      </w:r>
    </w:p>
    <w:p w:rsidR="007A284A" w:rsidRDefault="00937719">
      <w:pPr>
        <w:pStyle w:val="BodyText"/>
        <w:rPr>
          <w:lang w:eastAsia="zh-CN"/>
        </w:rPr>
      </w:pPr>
      <w:r>
        <w:rPr>
          <w:lang w:eastAsia="zh-CN"/>
        </w:rPr>
        <w:t>在收到关于讨论文件的意见后，香港金管局将考虑是否有必要在</w:t>
      </w:r>
      <w:r>
        <w:rPr>
          <w:lang w:eastAsia="zh-CN"/>
        </w:rPr>
        <w:t>2022/23</w:t>
      </w:r>
      <w:r>
        <w:rPr>
          <w:lang w:eastAsia="zh-CN"/>
        </w:rPr>
        <w:t>年发布关于监管框架的具体特点的额外文件。香港金管局计划在不迟于</w:t>
      </w:r>
      <w:r>
        <w:rPr>
          <w:lang w:eastAsia="zh-CN"/>
        </w:rPr>
        <w:t>2023/24</w:t>
      </w:r>
      <w:r>
        <w:rPr>
          <w:lang w:eastAsia="zh-CN"/>
        </w:rPr>
        <w:t>年实施新制度。</w:t>
      </w:r>
    </w:p>
    <w:p w:rsidR="007A284A" w:rsidRDefault="00937719">
      <w:pPr>
        <w:pStyle w:val="BodyText"/>
        <w:rPr>
          <w:lang w:eastAsia="zh-CN"/>
        </w:rPr>
      </w:pPr>
      <w:r>
        <w:rPr>
          <w:i/>
          <w:lang w:eastAsia="zh-CN"/>
        </w:rPr>
        <w:t>与其它金融监管制度的潜在重叠</w:t>
      </w:r>
    </w:p>
    <w:p w:rsidR="007A284A" w:rsidRDefault="00937719">
      <w:pPr>
        <w:pStyle w:val="BodyText"/>
        <w:rPr>
          <w:lang w:eastAsia="zh-CN"/>
        </w:rPr>
      </w:pPr>
      <w:r>
        <w:rPr>
          <w:lang w:eastAsia="zh-CN"/>
        </w:rPr>
        <w:t>香港金管局指出，香港存在多种由各种金融监管机构管理的监管制度，而这些制度可能适用于加密资产。因此，在制定稳定币监管制度时，香港金管局将与其他利益相关者（包括</w:t>
      </w:r>
      <w:r>
        <w:rPr>
          <w:lang w:eastAsia="zh-CN"/>
        </w:rPr>
        <w:t>香港政府和其他金融监管机构的持份者）合作，以避免监管套利，并确定进一步合作和协调的潜在领域。</w:t>
      </w:r>
    </w:p>
    <w:p w:rsidR="007A284A" w:rsidRDefault="00937719">
      <w:pPr>
        <w:pStyle w:val="BodyText"/>
        <w:rPr>
          <w:lang w:eastAsia="zh-CN"/>
        </w:rPr>
      </w:pPr>
      <w:r>
        <w:rPr>
          <w:lang w:eastAsia="zh-CN"/>
        </w:rPr>
        <w:t xml:space="preserve">6. </w:t>
      </w:r>
      <w:r>
        <w:rPr>
          <w:lang w:eastAsia="zh-CN"/>
        </w:rPr>
        <w:t>稳定币发行人应作为认可机构被监管吗</w:t>
      </w:r>
      <w:r>
        <w:rPr>
          <w:lang w:eastAsia="zh-CN"/>
        </w:rPr>
        <w:t>?</w:t>
      </w:r>
    </w:p>
    <w:p w:rsidR="007A284A" w:rsidRDefault="00937719">
      <w:pPr>
        <w:pStyle w:val="BodyText"/>
        <w:rPr>
          <w:lang w:eastAsia="zh-CN"/>
        </w:rPr>
      </w:pPr>
      <w:r>
        <w:rPr>
          <w:lang w:eastAsia="zh-CN"/>
        </w:rPr>
        <w:t>讨论文件讨论的第六个问题是：</w:t>
      </w:r>
    </w:p>
    <w:p w:rsidR="007A284A" w:rsidRDefault="00937719">
      <w:pPr>
        <w:pStyle w:val="BodyText"/>
        <w:rPr>
          <w:lang w:eastAsia="zh-CN"/>
        </w:rPr>
      </w:pPr>
      <w:r>
        <w:rPr>
          <w:i/>
          <w:lang w:eastAsia="zh-CN"/>
        </w:rPr>
        <w:t>“</w:t>
      </w:r>
      <w:r>
        <w:rPr>
          <w:i/>
          <w:lang w:eastAsia="zh-CN"/>
        </w:rPr>
        <w:t>稳定币可能会遭遇挤兑，并成为银行存款的潜在替代品。香港金管局是否应根据《银行业条例》要求稳定币发行人成为认可机构，类似于美国总统金融市场工作组发布的稳定币报告中的建议？</w:t>
      </w:r>
      <w:r>
        <w:rPr>
          <w:i/>
          <w:lang w:eastAsia="zh-CN"/>
        </w:rPr>
        <w:t>”</w:t>
      </w:r>
    </w:p>
    <w:p w:rsidR="007A284A" w:rsidRDefault="00937719">
      <w:pPr>
        <w:pStyle w:val="BodyText"/>
        <w:rPr>
          <w:lang w:eastAsia="zh-CN"/>
        </w:rPr>
      </w:pPr>
      <w:r>
        <w:rPr>
          <w:lang w:eastAsia="zh-CN"/>
        </w:rPr>
        <w:t>香港金管局建议参考相关的国际标准和建议，如金融稳定理事会和国际结算银行的标准和建议。鉴于稳定币安排与支付相关的性质，香港金管局预计，建议制度的规则和要求将至少考虑香港当前的储值支付工具和支付监管方式的相关方面，以避免监管套利。在基于风险的方法下，香港金管局认为应要求稳定币发行者遵守更高的审慎要求，以保护用户。</w:t>
      </w:r>
    </w:p>
    <w:p w:rsidR="007A284A" w:rsidRDefault="00937719">
      <w:pPr>
        <w:pStyle w:val="BodyText"/>
        <w:rPr>
          <w:lang w:eastAsia="zh-CN"/>
        </w:rPr>
      </w:pPr>
      <w:r>
        <w:rPr>
          <w:lang w:eastAsia="zh-CN"/>
        </w:rPr>
        <w:t xml:space="preserve">7. </w:t>
      </w:r>
      <w:r>
        <w:rPr>
          <w:lang w:eastAsia="zh-CN"/>
        </w:rPr>
        <w:t>香港金管局会否监管无资产支持的加密资产</w:t>
      </w:r>
    </w:p>
    <w:p w:rsidR="007A284A" w:rsidRDefault="00937719">
      <w:pPr>
        <w:pStyle w:val="BodyText"/>
        <w:rPr>
          <w:lang w:eastAsia="zh-CN"/>
        </w:rPr>
      </w:pPr>
      <w:r>
        <w:rPr>
          <w:lang w:eastAsia="zh-CN"/>
        </w:rPr>
        <w:t>讨论的第七个问题是：</w:t>
      </w:r>
    </w:p>
    <w:p w:rsidR="007A284A" w:rsidRDefault="00937719">
      <w:pPr>
        <w:pStyle w:val="BodyText"/>
        <w:rPr>
          <w:lang w:eastAsia="zh-CN"/>
        </w:rPr>
      </w:pPr>
      <w:r>
        <w:rPr>
          <w:i/>
          <w:lang w:eastAsia="zh-CN"/>
        </w:rPr>
        <w:t>“</w:t>
      </w:r>
      <w:r>
        <w:rPr>
          <w:i/>
          <w:lang w:eastAsia="zh-CN"/>
        </w:rPr>
        <w:t>考虑到无资产支持的加密资产与主流金融体系的联系日益紧密，且对金融稳定构成风险，香港金管局是否也计划监管无无资产支持的加密资产</w:t>
      </w:r>
      <w:r>
        <w:rPr>
          <w:i/>
          <w:lang w:eastAsia="zh-CN"/>
        </w:rPr>
        <w:t>?”</w:t>
      </w:r>
    </w:p>
    <w:p w:rsidR="007A284A" w:rsidRDefault="00937719">
      <w:pPr>
        <w:pStyle w:val="BodyText"/>
        <w:rPr>
          <w:lang w:eastAsia="zh-CN"/>
        </w:rPr>
      </w:pPr>
      <w:r>
        <w:rPr>
          <w:lang w:eastAsia="zh-CN"/>
        </w:rPr>
        <w:t>香港金管局承认，有必要继续监控无资产支持加密资产所带来的风险，以及未来可能需要对无资产支持加密资产进行监管。它还指出，与无资产支持加密资产有关的某些活动将由虚拟资产服务</w:t>
      </w:r>
      <w:r>
        <w:rPr>
          <w:lang w:eastAsia="zh-CN"/>
        </w:rPr>
        <w:lastRenderedPageBreak/>
        <w:t>提供商或虚拟资产供应商的新发牌制度所涵盖，该制度将通过修订《打击洗钱及恐怖分子资金筹集条例》来实施。关于新发牌制度的详情，请见易周律师行资讯</w:t>
      </w:r>
      <w:r>
        <w:rPr>
          <w:lang w:eastAsia="zh-CN"/>
        </w:rPr>
        <w:t>“</w:t>
      </w:r>
      <w:hyperlink r:id="rId14">
        <w:r>
          <w:rPr>
            <w:lang w:eastAsia="zh-CN"/>
          </w:rPr>
          <w:t>香港财经事务及库务局完成对香港虚拟资产交易所发牌制度的咨询工作</w:t>
        </w:r>
      </w:hyperlink>
      <w:r>
        <w:rPr>
          <w:lang w:eastAsia="zh-CN"/>
        </w:rPr>
        <w:t>”</w:t>
      </w:r>
      <w:hyperlink w:anchor="footnote-598-7">
        <w:r>
          <w:rPr>
            <w:vertAlign w:val="superscript"/>
            <w:lang w:eastAsia="zh-CN"/>
          </w:rPr>
          <w:t>7</w:t>
        </w:r>
      </w:hyperlink>
      <w:r>
        <w:rPr>
          <w:lang w:eastAsia="zh-CN"/>
        </w:rPr>
        <w:t>。香港金管局将继续监控加密资产的发展，并鉴于国际监管发展，就根据需要加强资产监管及需要避免监管套利活动方面与香港政府、其他金融监管机构和国际标准制定机构的持份者保持对话。</w:t>
      </w:r>
    </w:p>
    <w:p w:rsidR="007A284A" w:rsidRDefault="00937719">
      <w:pPr>
        <w:pStyle w:val="BodyText"/>
        <w:rPr>
          <w:lang w:eastAsia="zh-CN"/>
        </w:rPr>
      </w:pPr>
      <w:r>
        <w:rPr>
          <w:lang w:eastAsia="zh-CN"/>
        </w:rPr>
        <w:t xml:space="preserve">8. </w:t>
      </w:r>
      <w:r>
        <w:rPr>
          <w:lang w:eastAsia="zh-CN"/>
        </w:rPr>
        <w:t>对香港金管局讨论文件的回复</w:t>
      </w:r>
    </w:p>
    <w:p w:rsidR="007A284A" w:rsidRDefault="00937719">
      <w:pPr>
        <w:pStyle w:val="BodyText"/>
      </w:pPr>
      <w:r>
        <w:t>第八个问题是：</w:t>
      </w:r>
    </w:p>
    <w:p w:rsidR="007A284A" w:rsidRDefault="00937719">
      <w:pPr>
        <w:pStyle w:val="BodyText"/>
        <w:rPr>
          <w:lang w:eastAsia="zh-CN"/>
        </w:rPr>
      </w:pPr>
      <w:r>
        <w:rPr>
          <w:i/>
          <w:lang w:eastAsia="zh-CN"/>
        </w:rPr>
        <w:t>“</w:t>
      </w:r>
      <w:r>
        <w:rPr>
          <w:i/>
          <w:lang w:eastAsia="zh-CN"/>
        </w:rPr>
        <w:t>对于稳定币生态系统中当前或潜在的各方和实体，在香港金管局引入监管制度之前，他们应该做些什么</w:t>
      </w:r>
      <w:r>
        <w:rPr>
          <w:i/>
          <w:lang w:eastAsia="zh-CN"/>
        </w:rPr>
        <w:t>?”</w:t>
      </w:r>
    </w:p>
    <w:p w:rsidR="007A284A" w:rsidRDefault="00937719">
      <w:pPr>
        <w:pStyle w:val="BodyText"/>
        <w:rPr>
          <w:lang w:eastAsia="zh-CN"/>
        </w:rPr>
      </w:pPr>
      <w:r>
        <w:rPr>
          <w:lang w:eastAsia="zh-CN"/>
        </w:rPr>
        <w:t>香港金管局鼓励那些目前参与或考虑参与稳定币相关活动的人士向香港金管局提交他们对讨论文件的意见，以便在制定用作支付用途的稳定币的监管框架时予以考虑。香港金管局希望在不迟于</w:t>
      </w:r>
      <w:r>
        <w:rPr>
          <w:lang w:eastAsia="zh-CN"/>
        </w:rPr>
        <w:t>2023/24</w:t>
      </w:r>
      <w:r>
        <w:rPr>
          <w:lang w:eastAsia="zh-CN"/>
        </w:rPr>
        <w:t>年之前推出新的框架。与此同时，香港金管局将监督认可机构与加密资产相关的活动，并根据其当前的监督权力和政策实施储值支付工具发牌制度。</w:t>
      </w:r>
    </w:p>
    <w:p w:rsidR="007A284A" w:rsidRDefault="00937719" w:rsidP="00786BA5">
      <w:pPr>
        <w:pStyle w:val="BodyText"/>
        <w:jc w:val="left"/>
      </w:pPr>
      <w:hyperlink w:anchor="footnote-598-1-backlink">
        <w:r>
          <w:rPr>
            <w:vertAlign w:val="superscript"/>
          </w:rPr>
          <w:t>1</w:t>
        </w:r>
      </w:hyperlink>
      <w:r>
        <w:t xml:space="preserve"> </w:t>
      </w:r>
      <w:r>
        <w:t>香港</w:t>
      </w:r>
      <w:r>
        <w:t>金管局。</w:t>
      </w:r>
      <w:r>
        <w:t xml:space="preserve"> “</w:t>
      </w:r>
      <w:r>
        <w:t>加密资产及稳定币的讨论文件</w:t>
      </w:r>
      <w:r>
        <w:t>”</w:t>
      </w:r>
      <w:r>
        <w:t>（</w:t>
      </w:r>
      <w:r>
        <w:t>2022</w:t>
      </w:r>
      <w:r>
        <w:t>年</w:t>
      </w:r>
      <w:r>
        <w:t>1</w:t>
      </w:r>
      <w:r>
        <w:t>月），请访问（只备英文版本）：</w:t>
      </w:r>
      <w:hyperlink r:id="rId15">
        <w:r>
          <w:t>https://www.hkma.gov.hk/media/eng/doc/key-information/press-release/2022/20220112e3a1.pdf</w:t>
        </w:r>
      </w:hyperlink>
    </w:p>
    <w:p w:rsidR="007A284A" w:rsidRDefault="00937719" w:rsidP="00786BA5">
      <w:pPr>
        <w:pStyle w:val="BodyText"/>
        <w:jc w:val="left"/>
        <w:rPr>
          <w:lang w:eastAsia="zh-CN"/>
        </w:rPr>
      </w:pPr>
      <w:hyperlink w:anchor="footnote-598-2-backlink">
        <w:r>
          <w:rPr>
            <w:vertAlign w:val="superscript"/>
            <w:lang w:eastAsia="zh-CN"/>
          </w:rPr>
          <w:t>2</w:t>
        </w:r>
      </w:hyperlink>
      <w:r>
        <w:rPr>
          <w:lang w:eastAsia="zh-CN"/>
        </w:rPr>
        <w:t xml:space="preserve"> </w:t>
      </w:r>
      <w:r>
        <w:rPr>
          <w:lang w:eastAsia="zh-CN"/>
        </w:rPr>
        <w:t>讨论文件第</w:t>
      </w:r>
      <w:r>
        <w:rPr>
          <w:lang w:eastAsia="zh-CN"/>
        </w:rPr>
        <w:t>2.2</w:t>
      </w:r>
      <w:r>
        <w:rPr>
          <w:lang w:eastAsia="zh-CN"/>
        </w:rPr>
        <w:t>条</w:t>
      </w:r>
      <w:bookmarkStart w:id="0" w:name="_GoBack"/>
      <w:bookmarkEnd w:id="0"/>
    </w:p>
    <w:p w:rsidR="007A284A" w:rsidRDefault="00937719" w:rsidP="00786BA5">
      <w:pPr>
        <w:pStyle w:val="BodyText"/>
        <w:jc w:val="left"/>
        <w:rPr>
          <w:lang w:eastAsia="zh-CN"/>
        </w:rPr>
      </w:pPr>
      <w:hyperlink w:anchor="footnote-598-3-backlink">
        <w:r>
          <w:rPr>
            <w:vertAlign w:val="superscript"/>
            <w:lang w:eastAsia="zh-CN"/>
          </w:rPr>
          <w:t>3</w:t>
        </w:r>
      </w:hyperlink>
      <w:r>
        <w:rPr>
          <w:lang w:eastAsia="zh-CN"/>
        </w:rPr>
        <w:t xml:space="preserve"> </w:t>
      </w:r>
      <w:r>
        <w:rPr>
          <w:lang w:eastAsia="zh-CN"/>
        </w:rPr>
        <w:t>根据《银行业条例》（第</w:t>
      </w:r>
      <w:r>
        <w:rPr>
          <w:lang w:eastAsia="zh-CN"/>
        </w:rPr>
        <w:t>155</w:t>
      </w:r>
      <w:r>
        <w:rPr>
          <w:lang w:eastAsia="zh-CN"/>
        </w:rPr>
        <w:t>章）第</w:t>
      </w:r>
      <w:r>
        <w:rPr>
          <w:lang w:eastAsia="zh-CN"/>
        </w:rPr>
        <w:t>2</w:t>
      </w:r>
      <w:r>
        <w:rPr>
          <w:lang w:eastAsia="zh-CN"/>
        </w:rPr>
        <w:t>条所指的规定，认可机构指银行、有限制牌照银行或接受存款公司。</w:t>
      </w:r>
    </w:p>
    <w:p w:rsidR="007A284A" w:rsidRDefault="00937719" w:rsidP="00786BA5">
      <w:pPr>
        <w:pStyle w:val="BodyText"/>
        <w:jc w:val="left"/>
      </w:pPr>
      <w:hyperlink w:anchor="footnote-598-4-backlink">
        <w:r>
          <w:rPr>
            <w:vertAlign w:val="superscript"/>
            <w:lang w:eastAsia="zh-CN"/>
          </w:rPr>
          <w:t>4</w:t>
        </w:r>
      </w:hyperlink>
      <w:r>
        <w:rPr>
          <w:lang w:eastAsia="zh-CN"/>
        </w:rPr>
        <w:t xml:space="preserve"> </w:t>
      </w:r>
      <w:r>
        <w:rPr>
          <w:lang w:eastAsia="zh-CN"/>
        </w:rPr>
        <w:t>香港金管局。</w:t>
      </w:r>
      <w:r>
        <w:rPr>
          <w:lang w:eastAsia="zh-CN"/>
        </w:rPr>
        <w:t>“</w:t>
      </w:r>
      <w:r>
        <w:rPr>
          <w:lang w:eastAsia="zh-CN"/>
        </w:rPr>
        <w:t>就认可机构与虚拟资产及虚拟资产服务提供者业务关连的监管方法</w:t>
      </w:r>
      <w:r>
        <w:rPr>
          <w:lang w:eastAsia="zh-CN"/>
        </w:rPr>
        <w:t>”</w:t>
      </w:r>
      <w:r>
        <w:rPr>
          <w:lang w:eastAsia="zh-CN"/>
        </w:rPr>
        <w:t>。</w:t>
      </w:r>
      <w:r>
        <w:rPr>
          <w:lang w:eastAsia="zh-CN"/>
        </w:rPr>
        <w:t xml:space="preserve"> </w:t>
      </w:r>
      <w:r>
        <w:t>（</w:t>
      </w:r>
      <w:r>
        <w:t>2022</w:t>
      </w:r>
      <w:r>
        <w:t>年</w:t>
      </w:r>
      <w:r>
        <w:t>1</w:t>
      </w:r>
      <w:r>
        <w:t>月</w:t>
      </w:r>
      <w:r>
        <w:t>28</w:t>
      </w:r>
      <w:r>
        <w:t>日</w:t>
      </w:r>
      <w:r>
        <w:t xml:space="preserve"> ) </w:t>
      </w:r>
      <w:r>
        <w:t>，请访问：</w:t>
      </w:r>
      <w:hyperlink r:id="rId16">
        <w:r>
          <w:t>https://www.hkma.gov.hk/media/gb_chi/doc/key-information/guidelines-and-circular/2022/20220128c3.pdf</w:t>
        </w:r>
      </w:hyperlink>
    </w:p>
    <w:p w:rsidR="007A284A" w:rsidRDefault="00937719" w:rsidP="00786BA5">
      <w:pPr>
        <w:pStyle w:val="BodyText"/>
        <w:jc w:val="left"/>
        <w:rPr>
          <w:lang w:eastAsia="zh-CN"/>
        </w:rPr>
      </w:pPr>
      <w:hyperlink w:anchor="footnote-598-5-backlink">
        <w:r>
          <w:rPr>
            <w:vertAlign w:val="superscript"/>
            <w:lang w:eastAsia="zh-CN"/>
          </w:rPr>
          <w:t>5</w:t>
        </w:r>
      </w:hyperlink>
      <w:r>
        <w:rPr>
          <w:lang w:eastAsia="zh-CN"/>
        </w:rPr>
        <w:t xml:space="preserve"> </w:t>
      </w:r>
      <w:r>
        <w:rPr>
          <w:lang w:eastAsia="zh-CN"/>
        </w:rPr>
        <w:t>证监会。</w:t>
      </w:r>
      <w:r>
        <w:rPr>
          <w:lang w:eastAsia="zh-CN"/>
        </w:rPr>
        <w:t>“</w:t>
      </w:r>
      <w:r>
        <w:rPr>
          <w:lang w:eastAsia="zh-CN"/>
        </w:rPr>
        <w:t>立场书：监管虚拟资产交易平台</w:t>
      </w:r>
      <w:r>
        <w:rPr>
          <w:lang w:eastAsia="zh-CN"/>
        </w:rPr>
        <w:t>” (2019</w:t>
      </w:r>
      <w:r>
        <w:rPr>
          <w:lang w:eastAsia="zh-CN"/>
        </w:rPr>
        <w:t>年</w:t>
      </w:r>
      <w:r>
        <w:rPr>
          <w:lang w:eastAsia="zh-CN"/>
        </w:rPr>
        <w:t>11</w:t>
      </w:r>
      <w:r>
        <w:rPr>
          <w:lang w:eastAsia="zh-CN"/>
        </w:rPr>
        <w:t>月</w:t>
      </w:r>
      <w:r>
        <w:rPr>
          <w:lang w:eastAsia="zh-CN"/>
        </w:rPr>
        <w:t>6</w:t>
      </w:r>
      <w:r>
        <w:rPr>
          <w:lang w:eastAsia="zh-CN"/>
        </w:rPr>
        <w:t>日</w:t>
      </w:r>
      <w:r>
        <w:rPr>
          <w:lang w:eastAsia="zh-CN"/>
        </w:rPr>
        <w:t>)</w:t>
      </w:r>
      <w:r>
        <w:rPr>
          <w:lang w:eastAsia="zh-CN"/>
        </w:rPr>
        <w:t>，请访问：</w:t>
      </w:r>
      <w:hyperlink r:id="rId17">
        <w:r>
          <w:rPr>
            <w:lang w:eastAsia="zh-CN"/>
          </w:rPr>
          <w:t>https://www.sfc.hk/web/files/ER/PDF/20191106%20Position%20Paper%20and%20App</w:t>
        </w:r>
        <w:r>
          <w:rPr>
            <w:lang w:eastAsia="zh-CN"/>
          </w:rPr>
          <w:t>endix%201%20to%20Position%20Paper%20(Chi).pdf</w:t>
        </w:r>
      </w:hyperlink>
    </w:p>
    <w:p w:rsidR="007A284A" w:rsidRDefault="00937719" w:rsidP="00786BA5">
      <w:pPr>
        <w:pStyle w:val="BodyText"/>
        <w:jc w:val="left"/>
        <w:rPr>
          <w:lang w:eastAsia="zh-CN"/>
        </w:rPr>
      </w:pPr>
      <w:hyperlink w:anchor="footnote-598-6-backlink">
        <w:r>
          <w:rPr>
            <w:vertAlign w:val="superscript"/>
            <w:lang w:eastAsia="zh-CN"/>
          </w:rPr>
          <w:t>6</w:t>
        </w:r>
      </w:hyperlink>
      <w:r>
        <w:rPr>
          <w:lang w:eastAsia="zh-CN"/>
        </w:rPr>
        <w:t xml:space="preserve"> </w:t>
      </w:r>
      <w:r>
        <w:rPr>
          <w:lang w:eastAsia="zh-CN"/>
        </w:rPr>
        <w:t>易周律师行。</w:t>
      </w:r>
      <w:r>
        <w:rPr>
          <w:lang w:eastAsia="zh-CN"/>
        </w:rPr>
        <w:t>“</w:t>
      </w:r>
      <w:r>
        <w:rPr>
          <w:lang w:eastAsia="zh-CN"/>
        </w:rPr>
        <w:t>香港财经事务及库务局完成对香港虚拟资产交易所发牌制度的咨询工作</w:t>
      </w:r>
      <w:r>
        <w:rPr>
          <w:lang w:eastAsia="zh-CN"/>
        </w:rPr>
        <w:t xml:space="preserve"> ” </w:t>
      </w:r>
      <w:r>
        <w:rPr>
          <w:lang w:eastAsia="zh-CN"/>
        </w:rPr>
        <w:t>（</w:t>
      </w:r>
      <w:r>
        <w:rPr>
          <w:lang w:eastAsia="zh-CN"/>
        </w:rPr>
        <w:t>2021</w:t>
      </w:r>
      <w:r>
        <w:rPr>
          <w:lang w:eastAsia="zh-CN"/>
        </w:rPr>
        <w:t>年</w:t>
      </w:r>
      <w:r>
        <w:rPr>
          <w:lang w:eastAsia="zh-CN"/>
        </w:rPr>
        <w:t>12</w:t>
      </w:r>
      <w:r>
        <w:rPr>
          <w:lang w:eastAsia="zh-CN"/>
        </w:rPr>
        <w:t>月），请访问：</w:t>
      </w:r>
      <w:hyperlink r:id="rId18">
        <w:r>
          <w:rPr>
            <w:lang w:eastAsia="zh-CN"/>
          </w:rPr>
          <w:t>https://www.charltonslaw.com.cn/xiang-gang-cai-jing-shi-wu-ji-ku-wu-ju-wan-cheng-dui-xiang-gang-xu-ni-zi-chan-jiao-yi-suo-fa-pai-zhi-du-de-zi-xun-gong-zuo/</w:t>
        </w:r>
      </w:hyperlink>
    </w:p>
    <w:p w:rsidR="007A284A" w:rsidRDefault="00937719" w:rsidP="00786BA5">
      <w:pPr>
        <w:pStyle w:val="BodyText"/>
        <w:jc w:val="left"/>
        <w:rPr>
          <w:lang w:eastAsia="zh-CN"/>
        </w:rPr>
      </w:pPr>
      <w:hyperlink w:anchor="footnote-598-7-backlink">
        <w:r>
          <w:rPr>
            <w:vertAlign w:val="superscript"/>
            <w:lang w:eastAsia="zh-CN"/>
          </w:rPr>
          <w:t>7</w:t>
        </w:r>
      </w:hyperlink>
      <w:r>
        <w:rPr>
          <w:lang w:eastAsia="zh-CN"/>
        </w:rPr>
        <w:t xml:space="preserve"> </w:t>
      </w:r>
      <w:r>
        <w:rPr>
          <w:lang w:eastAsia="zh-CN"/>
        </w:rPr>
        <w:t>易周律师行。</w:t>
      </w:r>
      <w:r>
        <w:rPr>
          <w:lang w:eastAsia="zh-CN"/>
        </w:rPr>
        <w:t>“</w:t>
      </w:r>
      <w:r>
        <w:rPr>
          <w:lang w:eastAsia="zh-CN"/>
        </w:rPr>
        <w:t>香港财经事务及库务局完成对香港虚拟资产交易所发牌制度的咨询工作</w:t>
      </w:r>
      <w:r>
        <w:rPr>
          <w:lang w:eastAsia="zh-CN"/>
        </w:rPr>
        <w:t>” (2021</w:t>
      </w:r>
      <w:r>
        <w:rPr>
          <w:lang w:eastAsia="zh-CN"/>
        </w:rPr>
        <w:t>年</w:t>
      </w:r>
      <w:r>
        <w:rPr>
          <w:lang w:eastAsia="zh-CN"/>
        </w:rPr>
        <w:t>12</w:t>
      </w:r>
      <w:r>
        <w:rPr>
          <w:lang w:eastAsia="zh-CN"/>
        </w:rPr>
        <w:t>月</w:t>
      </w:r>
      <w:r>
        <w:rPr>
          <w:lang w:eastAsia="zh-CN"/>
        </w:rPr>
        <w:t xml:space="preserve">) </w:t>
      </w:r>
      <w:r>
        <w:rPr>
          <w:lang w:eastAsia="zh-CN"/>
        </w:rPr>
        <w:t>，请访问：</w:t>
      </w:r>
      <w:hyperlink r:id="rId19">
        <w:r>
          <w:rPr>
            <w:lang w:eastAsia="zh-CN"/>
          </w:rPr>
          <w:t>https://</w:t>
        </w:r>
        <w:r>
          <w:rPr>
            <w:lang w:eastAsia="zh-CN"/>
          </w:rPr>
          <w:t>www.charltonslaw.com.cn/xiang-gang-cai-jing-shi-wu-ji-ku-wu-ju-wan-cheng-dui-xiang-gang-xu-ni-zi-chan-jiao-yi-suo-fa-pai-zhi-du-de-zi-xun-gong-zuo/</w:t>
        </w:r>
      </w:hyperlink>
    </w:p>
    <w:p w:rsidR="007A284A" w:rsidRDefault="00937719">
      <w:pPr>
        <w:pStyle w:val="DisclaimerBold"/>
        <w:rPr>
          <w:lang w:eastAsia="zh-CN"/>
        </w:rPr>
      </w:pPr>
      <w:r>
        <w:rPr>
          <w:lang w:eastAsia="zh-CN"/>
        </w:rPr>
        <w:t>此法讯仅为提供相关资料信息之用，其内容并</w:t>
      </w:r>
    </w:p>
    <w:p w:rsidR="007A284A" w:rsidRDefault="00937719">
      <w:pPr>
        <w:pStyle w:val="Disclaimer"/>
        <w:rPr>
          <w:lang w:eastAsia="zh-CN"/>
        </w:rPr>
      </w:pPr>
      <w:r>
        <w:rPr>
          <w:lang w:eastAsia="zh-CN"/>
        </w:rPr>
        <w:t>不构成法律建议及个案的法律分析。</w:t>
      </w:r>
    </w:p>
    <w:p w:rsidR="007A284A" w:rsidRDefault="00937719">
      <w:pPr>
        <w:pStyle w:val="Disclaimer"/>
        <w:rPr>
          <w:lang w:eastAsia="zh-CN"/>
        </w:rPr>
      </w:pPr>
      <w:r>
        <w:rPr>
          <w:lang w:eastAsia="zh-CN"/>
        </w:rPr>
        <w:t>此法讯的发送并不是为了在易周律师行与用户或浏览者之间建立一种律师与客户之关系。</w:t>
      </w:r>
    </w:p>
    <w:p w:rsidR="007A284A" w:rsidRDefault="00937719">
      <w:pPr>
        <w:pStyle w:val="Disclaimer"/>
        <w:rPr>
          <w:lang w:eastAsia="zh-CN"/>
        </w:rPr>
      </w:pPr>
      <w:r>
        <w:rPr>
          <w:lang w:eastAsia="zh-CN"/>
        </w:rPr>
        <w:t>易周律师行并不对可从互联网获得的任何第三方内容负责。</w:t>
      </w:r>
    </w:p>
    <w:p w:rsidR="007A284A" w:rsidRDefault="00937719">
      <w:pPr>
        <w:pStyle w:val="Disclaimer"/>
        <w:rPr>
          <w:lang w:eastAsia="zh-CN"/>
        </w:rPr>
      </w:pPr>
      <w:r>
        <w:rPr>
          <w:lang w:eastAsia="zh-CN"/>
        </w:rPr>
        <w:t>如你不</w:t>
      </w:r>
      <w:r>
        <w:rPr>
          <w:lang w:eastAsia="zh-CN"/>
        </w:rPr>
        <w:t>希望再收到易周法讯，请发送电邮至</w:t>
      </w:r>
      <w:r>
        <w:rPr>
          <w:lang w:eastAsia="zh-CN"/>
        </w:rPr>
        <w:t xml:space="preserve">  </w:t>
      </w:r>
      <w:hyperlink r:id="rId20">
        <w:r>
          <w:rPr>
            <w:lang w:eastAsia="zh-CN"/>
          </w:rPr>
          <w:t>unsubscribe@charltonslaw.com</w:t>
        </w:r>
      </w:hyperlink>
    </w:p>
    <w:p w:rsidR="007A284A" w:rsidRDefault="00937719">
      <w:pPr>
        <w:pStyle w:val="BlackStrips"/>
      </w:pPr>
      <w:r>
        <w:t xml:space="preserve">Charltons - </w:t>
      </w:r>
      <w:r>
        <w:t>香港法律</w:t>
      </w:r>
      <w:r>
        <w:t xml:space="preserve"> - 2022</w:t>
      </w:r>
      <w:r>
        <w:t>年</w:t>
      </w:r>
      <w:r>
        <w:t>5</w:t>
      </w:r>
      <w:r>
        <w:t>月</w:t>
      </w:r>
      <w:r>
        <w:t>12</w:t>
      </w:r>
      <w:r>
        <w:t>日</w:t>
      </w:r>
    </w:p>
    <w:sectPr w:rsidR="007A284A">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719" w:rsidRDefault="00937719">
      <w:pPr>
        <w:spacing w:after="0"/>
      </w:pPr>
      <w:r>
        <w:separator/>
      </w:r>
    </w:p>
  </w:endnote>
  <w:endnote w:type="continuationSeparator" w:id="0">
    <w:p w:rsidR="00937719" w:rsidRDefault="009377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719" w:rsidRDefault="00937719">
      <w:r>
        <w:separator/>
      </w:r>
    </w:p>
  </w:footnote>
  <w:footnote w:type="continuationSeparator" w:id="0">
    <w:p w:rsidR="00937719" w:rsidRDefault="00937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C444D6F6"/>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170CD2DE"/>
    <w:multiLevelType w:val="multilevel"/>
    <w:tmpl w:val="F93063D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B562F60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3E627ECA"/>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786BA5"/>
    <w:rsid w:val="007A284A"/>
    <w:rsid w:val="008D6863"/>
    <w:rsid w:val="00937719"/>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A54C3-FFBF-4BCB-959E-9251D081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ma.gov.hk/media/eng/doc/key-information/press-release/2022/20220112e3a1.pdf" TargetMode="External"/><Relationship Id="rId13" Type="http://schemas.openxmlformats.org/officeDocument/2006/relationships/hyperlink" Target="https://www.charltonslaw.com.cn/xiang-gang-cai-jing-shi-wu-ji-ku-wu-ju-wan-cheng-dui-xiang-gang-xu-ni-zi-chan-jiao-yi-suo-fa-pai-zhi-du-de-zi-xun-gong-zuo/" TargetMode="External"/><Relationship Id="rId18" Type="http://schemas.openxmlformats.org/officeDocument/2006/relationships/hyperlink" Target="https://www.charltonslaw.com.cn/xiang-gang-cai-jing-shi-wu-ji-ku-wu-ju-wan-cheng-dui-xiang-gang-xu-ni-zi-chan-jiao-yi-suo-fa-pai-zhi-du-de-zi-xun-gong-zu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harltonslaw.com.cn/xiang-gang-jin-rong-guan-li-ju-fa-bu-jian-guan-yong-zuo-zhi-fu-yong-tu-de-wen-ding-bi-de-jian-yi" TargetMode="External"/><Relationship Id="rId12" Type="http://schemas.openxmlformats.org/officeDocument/2006/relationships/hyperlink" Target="https://www.sfc.hk/web/files/ER/PDF/20191106%20Position%20Paper%20and%20Appendix%201%20to%20Position%20Paper%20(Chi).pdf" TargetMode="External"/><Relationship Id="rId17" Type="http://schemas.openxmlformats.org/officeDocument/2006/relationships/hyperlink" Target="https://www.sfc.hk/web/files/ER/PDF/20191106%20Position%20Paper%20and%20Appendix%201%20to%20Position%20Paper%20(Chi).pdf" TargetMode="External"/><Relationship Id="rId2" Type="http://schemas.openxmlformats.org/officeDocument/2006/relationships/styles" Target="styles.xml"/><Relationship Id="rId16" Type="http://schemas.openxmlformats.org/officeDocument/2006/relationships/hyperlink" Target="https://www.hkma.gov.hk/media/gb_chi/doc/key-information/guidelines-and-circular/2022/20220128c3.pdf" TargetMode="External"/><Relationship Id="rId20"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blecoin_feedback@hkma.gov.hk" TargetMode="External"/><Relationship Id="rId5" Type="http://schemas.openxmlformats.org/officeDocument/2006/relationships/footnotes" Target="footnotes.xml"/><Relationship Id="rId15" Type="http://schemas.openxmlformats.org/officeDocument/2006/relationships/hyperlink" Target="https://www.hkma.gov.hk/media/eng/doc/key-information/press-release/2022/20220112e3a1.pdf" TargetMode="External"/><Relationship Id="rId10" Type="http://schemas.openxmlformats.org/officeDocument/2006/relationships/hyperlink" Target="https://www.hkma.gov.hk/media/eng/doc/key-information/guidelines-and-circular/2022/20220128e2.pdf" TargetMode="External"/><Relationship Id="rId19" Type="http://schemas.openxmlformats.org/officeDocument/2006/relationships/hyperlink" Target="https://www.charltonslaw.com.cn/xiang-gang-cai-jing-shi-wu-ji-ku-wu-ju-wan-cheng-dui-xiang-gang-xu-ni-zi-chan-jiao-yi-suo-fa-pai-zhi-du-de-zi-xun-gong-zuo/" TargetMode="External"/><Relationship Id="rId4" Type="http://schemas.openxmlformats.org/officeDocument/2006/relationships/webSettings" Target="webSettings.xml"/><Relationship Id="rId9" Type="http://schemas.openxmlformats.org/officeDocument/2006/relationships/hyperlink" Target="https://www.hkma.gov.hk/media/gb_chi/doc/key-information/guidelines-and-circular/2022/20220128c3.pdf" TargetMode="External"/><Relationship Id="rId14" Type="http://schemas.openxmlformats.org/officeDocument/2006/relationships/hyperlink" Target="https://www.charltonslaw.com.cn/xiang-gang-cai-jing-shi-wu-ji-ku-wu-ju-wan-cheng-dui-xiang-gang-xu-ni-zi-chan-jiao-yi-suo-fa-pai-zhi-du-de-zi-xun-gong-zu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1554</Words>
  <Characters>8863</Characters>
  <Application>Microsoft Office Word</Application>
  <DocSecurity>0</DocSecurity>
  <Lines>73</Lines>
  <Paragraphs>20</Paragraphs>
  <ScaleCrop>false</ScaleCrop>
  <Company>Charltons</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2022-05-12T09:30:00Z</dcterms:created>
  <dcterms:modified xsi:type="dcterms:W3CDTF">2022-05-12T09:31:00Z</dcterms:modified>
</cp:coreProperties>
</file>