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02D" w:rsidRDefault="006800E0">
      <w:pPr>
        <w:pStyle w:val="BlackStrips"/>
      </w:pPr>
      <w:r>
        <w:t xml:space="preserve">Charltons - </w:t>
      </w:r>
      <w:r>
        <w:t>香港法律</w:t>
      </w:r>
      <w:r>
        <w:t xml:space="preserve"> - 2022</w:t>
      </w:r>
      <w:r>
        <w:t>年</w:t>
      </w:r>
      <w:r>
        <w:t>7</w:t>
      </w:r>
      <w:r>
        <w:t>月</w:t>
      </w:r>
      <w:r>
        <w:t>25</w:t>
      </w:r>
      <w:r>
        <w:t>日</w:t>
      </w:r>
    </w:p>
    <w:p w:rsidR="0037202D" w:rsidRDefault="006800E0">
      <w:pPr>
        <w:pStyle w:val="ReadOnline"/>
        <w:rPr>
          <w:lang w:eastAsia="zh-CN"/>
        </w:rPr>
      </w:pPr>
      <w:hyperlink r:id="rId7">
        <w:r>
          <w:rPr>
            <w:lang w:eastAsia="zh-CN"/>
          </w:rPr>
          <w:t>online version</w:t>
        </w:r>
      </w:hyperlink>
    </w:p>
    <w:p w:rsidR="0037202D" w:rsidRDefault="006800E0">
      <w:pPr>
        <w:pStyle w:val="Title"/>
        <w:rPr>
          <w:lang w:eastAsia="zh-CN"/>
        </w:rPr>
      </w:pPr>
      <w:r>
        <w:rPr>
          <w:lang w:eastAsia="zh-CN"/>
        </w:rPr>
        <w:t>香港联交所和证监会在</w:t>
      </w:r>
      <w:r>
        <w:rPr>
          <w:lang w:eastAsia="zh-CN"/>
        </w:rPr>
        <w:t>2021</w:t>
      </w:r>
      <w:r>
        <w:rPr>
          <w:lang w:eastAsia="zh-CN"/>
        </w:rPr>
        <w:t>年</w:t>
      </w:r>
      <w:r>
        <w:rPr>
          <w:lang w:eastAsia="zh-CN"/>
        </w:rPr>
        <w:t>11</w:t>
      </w:r>
      <w:r>
        <w:rPr>
          <w:lang w:eastAsia="zh-CN"/>
        </w:rPr>
        <w:t>月至</w:t>
      </w:r>
      <w:r>
        <w:rPr>
          <w:lang w:eastAsia="zh-CN"/>
        </w:rPr>
        <w:t>12</w:t>
      </w:r>
      <w:r>
        <w:rPr>
          <w:lang w:eastAsia="zh-CN"/>
        </w:rPr>
        <w:t>月期间的纪律行动</w:t>
      </w:r>
    </w:p>
    <w:p w:rsidR="0037202D" w:rsidRDefault="006800E0">
      <w:pPr>
        <w:pStyle w:val="BodyText"/>
      </w:pPr>
      <w:r>
        <w:rPr>
          <w:lang w:eastAsia="zh-CN"/>
        </w:rPr>
        <w:t>香港证券及期货事务委员会（</w:t>
      </w:r>
      <w:r>
        <w:rPr>
          <w:b/>
          <w:lang w:eastAsia="zh-CN"/>
        </w:rPr>
        <w:t>证监会</w:t>
      </w:r>
      <w:r>
        <w:rPr>
          <w:lang w:eastAsia="zh-CN"/>
        </w:rPr>
        <w:t>）和香港联合证券交易所（</w:t>
      </w:r>
      <w:r>
        <w:rPr>
          <w:b/>
          <w:lang w:eastAsia="zh-CN"/>
        </w:rPr>
        <w:t>联交所</w:t>
      </w:r>
      <w:r>
        <w:rPr>
          <w:lang w:eastAsia="zh-CN"/>
        </w:rPr>
        <w:t>）对</w:t>
      </w:r>
      <w:r>
        <w:rPr>
          <w:lang w:eastAsia="zh-CN"/>
        </w:rPr>
        <w:t>2021</w:t>
      </w:r>
      <w:r>
        <w:rPr>
          <w:lang w:eastAsia="zh-CN"/>
        </w:rPr>
        <w:t>年最后两个月违反监管机构规定的持牌中介人以及联交所上市公司的企业失当行为采取了一系列纪律行动。</w:t>
      </w:r>
      <w:r>
        <w:t>纪律行动包括：</w:t>
      </w:r>
    </w:p>
    <w:p w:rsidR="0037202D" w:rsidRDefault="006800E0">
      <w:pPr>
        <w:pStyle w:val="Compact"/>
        <w:numPr>
          <w:ilvl w:val="0"/>
          <w:numId w:val="3"/>
        </w:numPr>
        <w:rPr>
          <w:lang w:eastAsia="zh-CN"/>
        </w:rPr>
      </w:pPr>
      <w:r>
        <w:rPr>
          <w:lang w:eastAsia="zh-CN"/>
        </w:rPr>
        <w:t>在证监会、新加坡金融管理局及香港警务处和新加坡警察部队采取的联合行动中指控个人在</w:t>
      </w:r>
      <w:r>
        <w:rPr>
          <w:lang w:eastAsia="zh-CN"/>
        </w:rPr>
        <w:t>“</w:t>
      </w:r>
      <w:r>
        <w:rPr>
          <w:lang w:eastAsia="zh-CN"/>
        </w:rPr>
        <w:t>唱高散货</w:t>
      </w:r>
      <w:r>
        <w:rPr>
          <w:lang w:eastAsia="zh-CN"/>
        </w:rPr>
        <w:t>”</w:t>
      </w:r>
      <w:r>
        <w:rPr>
          <w:lang w:eastAsia="zh-CN"/>
        </w:rPr>
        <w:t>骗局涉嫌洗钱及市场失当行为罪行；</w:t>
      </w:r>
    </w:p>
    <w:p w:rsidR="0037202D" w:rsidRDefault="006800E0">
      <w:pPr>
        <w:pStyle w:val="Compact"/>
        <w:numPr>
          <w:ilvl w:val="0"/>
          <w:numId w:val="3"/>
        </w:numPr>
        <w:rPr>
          <w:lang w:eastAsia="zh-CN"/>
        </w:rPr>
      </w:pPr>
      <w:r>
        <w:rPr>
          <w:lang w:eastAsia="zh-CN"/>
        </w:rPr>
        <w:t>就持牌中介人未能遵守打击洗钱</w:t>
      </w:r>
      <w:r>
        <w:rPr>
          <w:lang w:eastAsia="zh-CN"/>
        </w:rPr>
        <w:t>/</w:t>
      </w:r>
      <w:r>
        <w:rPr>
          <w:lang w:eastAsia="zh-CN"/>
        </w:rPr>
        <w:t>恐怖分子资金筹集及其他监管规定处以</w:t>
      </w:r>
      <w:r>
        <w:rPr>
          <w:lang w:eastAsia="zh-CN"/>
        </w:rPr>
        <w:t>8</w:t>
      </w:r>
      <w:r>
        <w:rPr>
          <w:lang w:eastAsia="zh-CN"/>
        </w:rPr>
        <w:t>百万港元的罚款；及</w:t>
      </w:r>
    </w:p>
    <w:p w:rsidR="0037202D" w:rsidRDefault="006800E0">
      <w:pPr>
        <w:pStyle w:val="Compact"/>
        <w:numPr>
          <w:ilvl w:val="0"/>
          <w:numId w:val="3"/>
        </w:numPr>
        <w:rPr>
          <w:lang w:eastAsia="zh-CN"/>
        </w:rPr>
      </w:pPr>
      <w:r>
        <w:rPr>
          <w:lang w:eastAsia="zh-CN"/>
        </w:rPr>
        <w:t>对于有不诚实行为和挪用款项的持牌人终身禁止颁发牌照。</w:t>
      </w:r>
    </w:p>
    <w:p w:rsidR="0037202D" w:rsidRDefault="006800E0">
      <w:pPr>
        <w:pStyle w:val="FirstParagraph"/>
        <w:rPr>
          <w:lang w:eastAsia="zh-CN"/>
        </w:rPr>
      </w:pPr>
      <w:r>
        <w:rPr>
          <w:lang w:eastAsia="zh-CN"/>
        </w:rPr>
        <w:t>香港与新加坡对怀疑跨境</w:t>
      </w:r>
      <w:r>
        <w:rPr>
          <w:lang w:eastAsia="zh-CN"/>
        </w:rPr>
        <w:t>“</w:t>
      </w:r>
      <w:r>
        <w:rPr>
          <w:lang w:eastAsia="zh-CN"/>
        </w:rPr>
        <w:t>唱高散货</w:t>
      </w:r>
      <w:r>
        <w:rPr>
          <w:lang w:eastAsia="zh-CN"/>
        </w:rPr>
        <w:t>”</w:t>
      </w:r>
      <w:r>
        <w:rPr>
          <w:lang w:eastAsia="zh-CN"/>
        </w:rPr>
        <w:t>集团采取联合行动</w:t>
      </w:r>
      <w:hyperlink w:anchor="footnote-598-1">
        <w:r>
          <w:rPr>
            <w:vertAlign w:val="superscript"/>
            <w:lang w:eastAsia="zh-CN"/>
          </w:rPr>
          <w:t>1</w:t>
        </w:r>
      </w:hyperlink>
    </w:p>
    <w:p w:rsidR="0037202D" w:rsidRDefault="006800E0">
      <w:pPr>
        <w:pStyle w:val="BodyText"/>
        <w:rPr>
          <w:lang w:eastAsia="zh-CN"/>
        </w:rPr>
      </w:pPr>
      <w:r>
        <w:rPr>
          <w:lang w:eastAsia="zh-CN"/>
        </w:rPr>
        <w:t>证监会与香港警务处、新加坡金融管理局和新加坡警察部队对一个组织严密及涉嫌于香港和新加坡进行</w:t>
      </w:r>
      <w:r>
        <w:rPr>
          <w:lang w:eastAsia="zh-CN"/>
        </w:rPr>
        <w:t>“</w:t>
      </w:r>
      <w:r>
        <w:rPr>
          <w:lang w:eastAsia="zh-CN"/>
        </w:rPr>
        <w:t>唱高散货</w:t>
      </w:r>
      <w:r>
        <w:rPr>
          <w:lang w:eastAsia="zh-CN"/>
        </w:rPr>
        <w:t>”</w:t>
      </w:r>
      <w:r>
        <w:rPr>
          <w:lang w:eastAsia="zh-CN"/>
        </w:rPr>
        <w:t>市场操纵计划的活跃集团采取联合行动。</w:t>
      </w:r>
      <w:r>
        <w:rPr>
          <w:lang w:eastAsia="zh-CN"/>
        </w:rPr>
        <w:t>“</w:t>
      </w:r>
      <w:r>
        <w:rPr>
          <w:lang w:eastAsia="zh-CN"/>
        </w:rPr>
        <w:t>唱高散货</w:t>
      </w:r>
      <w:r>
        <w:rPr>
          <w:lang w:eastAsia="zh-CN"/>
        </w:rPr>
        <w:t>”</w:t>
      </w:r>
      <w:r>
        <w:rPr>
          <w:lang w:eastAsia="zh-CN"/>
        </w:rPr>
        <w:t>骗局涉及推高某上市公司的股价，然后以人为抬高的价格抛售股票，以从抛售中获利，构成《证券及期货条例》下的市场失当行为。</w:t>
      </w:r>
    </w:p>
    <w:p w:rsidR="0037202D" w:rsidRDefault="006800E0">
      <w:pPr>
        <w:pStyle w:val="BodyText"/>
        <w:rPr>
          <w:lang w:eastAsia="zh-CN"/>
        </w:rPr>
      </w:pPr>
      <w:r>
        <w:rPr>
          <w:lang w:eastAsia="zh-CN"/>
        </w:rPr>
        <w:t>洗钱及市场失当行为罪行</w:t>
      </w:r>
    </w:p>
    <w:p w:rsidR="0037202D" w:rsidRDefault="006800E0">
      <w:pPr>
        <w:pStyle w:val="BodyText"/>
        <w:rPr>
          <w:lang w:eastAsia="zh-CN"/>
        </w:rPr>
      </w:pPr>
      <w:r>
        <w:rPr>
          <w:lang w:eastAsia="zh-CN"/>
        </w:rPr>
        <w:t>在联合行动中，确信是集团主脑及其党羽，以及一些香港上市公司的高层人员的</w:t>
      </w:r>
      <w:r>
        <w:rPr>
          <w:lang w:eastAsia="zh-CN"/>
        </w:rPr>
        <w:t>10</w:t>
      </w:r>
      <w:r>
        <w:rPr>
          <w:lang w:eastAsia="zh-CN"/>
        </w:rPr>
        <w:t>名人士被拘捕并被指控犯有《证券及期货条例》第</w:t>
      </w:r>
      <w:r>
        <w:rPr>
          <w:lang w:eastAsia="zh-CN"/>
        </w:rPr>
        <w:t>XIII</w:t>
      </w:r>
      <w:r>
        <w:rPr>
          <w:lang w:eastAsia="zh-CN"/>
        </w:rPr>
        <w:t>及</w:t>
      </w:r>
      <w:r>
        <w:rPr>
          <w:lang w:eastAsia="zh-CN"/>
        </w:rPr>
        <w:t>XIV</w:t>
      </w:r>
      <w:r>
        <w:rPr>
          <w:lang w:eastAsia="zh-CN"/>
        </w:rPr>
        <w:t>部下特定的市场失当行</w:t>
      </w:r>
      <w:r>
        <w:rPr>
          <w:lang w:eastAsia="zh-CN"/>
        </w:rPr>
        <w:t>为罪行（包括虚假交易、市场操纵和披露虚假或误导性信息诱导交易）外的洗钱罪行。</w:t>
      </w:r>
    </w:p>
    <w:p w:rsidR="0037202D" w:rsidRDefault="006800E0">
      <w:pPr>
        <w:pStyle w:val="BodyText"/>
        <w:rPr>
          <w:lang w:eastAsia="zh-CN"/>
        </w:rPr>
      </w:pPr>
      <w:r>
        <w:rPr>
          <w:lang w:eastAsia="zh-CN"/>
        </w:rPr>
        <w:t>针对网上平台的欺诈和骗局的执法行动</w:t>
      </w:r>
    </w:p>
    <w:p w:rsidR="0037202D" w:rsidRDefault="006800E0">
      <w:pPr>
        <w:pStyle w:val="BodyText"/>
        <w:rPr>
          <w:lang w:eastAsia="zh-CN"/>
        </w:rPr>
      </w:pPr>
      <w:r>
        <w:rPr>
          <w:lang w:eastAsia="zh-CN"/>
        </w:rPr>
        <w:t>基于当中的跨境因素及涉嫌洗钱罪行的规模，将个案转介至新加坡金管局及香港警务处跟进。这是新加坡和香港证券监管机构以及执法机构首次合作打击市场失当行为。该案件亦表明证监会打击网上平台的投资欺诈及骗局（如社交媒体</w:t>
      </w:r>
      <w:r>
        <w:rPr>
          <w:lang w:eastAsia="zh-CN"/>
        </w:rPr>
        <w:t>‘</w:t>
      </w:r>
      <w:r>
        <w:rPr>
          <w:lang w:eastAsia="zh-CN"/>
        </w:rPr>
        <w:t>唱高散货</w:t>
      </w:r>
      <w:r>
        <w:rPr>
          <w:lang w:eastAsia="zh-CN"/>
        </w:rPr>
        <w:t>’</w:t>
      </w:r>
      <w:r>
        <w:rPr>
          <w:lang w:eastAsia="zh-CN"/>
        </w:rPr>
        <w:t>骗局）的决心以及证监会与其他本地及海外执法机构及监管机构合作，处理更复杂的跨境案件的能力。</w:t>
      </w:r>
    </w:p>
    <w:p w:rsidR="0037202D" w:rsidRDefault="006800E0">
      <w:pPr>
        <w:pStyle w:val="BodyText"/>
        <w:rPr>
          <w:lang w:eastAsia="zh-CN"/>
        </w:rPr>
      </w:pPr>
      <w:r>
        <w:rPr>
          <w:lang w:eastAsia="zh-CN"/>
        </w:rPr>
        <w:t>违反了《证券及期货条例》第</w:t>
      </w:r>
      <w:r>
        <w:rPr>
          <w:lang w:eastAsia="zh-CN"/>
        </w:rPr>
        <w:t>XV</w:t>
      </w:r>
      <w:r>
        <w:rPr>
          <w:lang w:eastAsia="zh-CN"/>
        </w:rPr>
        <w:t>部的及时披露权益规定</w:t>
      </w:r>
      <w:hyperlink w:anchor="footnote-598-2">
        <w:r>
          <w:rPr>
            <w:vertAlign w:val="superscript"/>
            <w:lang w:eastAsia="zh-CN"/>
          </w:rPr>
          <w:t>2</w:t>
        </w:r>
      </w:hyperlink>
    </w:p>
    <w:p w:rsidR="0037202D" w:rsidRDefault="006800E0">
      <w:pPr>
        <w:pStyle w:val="BodyText"/>
        <w:rPr>
          <w:lang w:eastAsia="zh-CN"/>
        </w:rPr>
      </w:pPr>
      <w:r>
        <w:rPr>
          <w:lang w:eastAsia="zh-CN"/>
        </w:rPr>
        <w:t>伟俊控股集团有限公司（</w:t>
      </w:r>
      <w:r>
        <w:rPr>
          <w:b/>
          <w:lang w:eastAsia="zh-CN"/>
        </w:rPr>
        <w:t>伟俊</w:t>
      </w:r>
      <w:r>
        <w:rPr>
          <w:lang w:eastAsia="zh-CN"/>
        </w:rPr>
        <w:t>）及其董事林清渠（</w:t>
      </w:r>
      <w:r>
        <w:rPr>
          <w:b/>
          <w:lang w:eastAsia="zh-CN"/>
        </w:rPr>
        <w:t>林先生</w:t>
      </w:r>
      <w:r>
        <w:rPr>
          <w:lang w:eastAsia="zh-CN"/>
        </w:rPr>
        <w:t>）被指控</w:t>
      </w:r>
      <w:r>
        <w:rPr>
          <w:lang w:eastAsia="zh-CN"/>
        </w:rPr>
        <w:t>2017</w:t>
      </w:r>
      <w:r>
        <w:rPr>
          <w:lang w:eastAsia="zh-CN"/>
        </w:rPr>
        <w:t>年曾五度没有就取得华人策略控股有限公司（</w:t>
      </w:r>
      <w:r>
        <w:rPr>
          <w:b/>
          <w:lang w:eastAsia="zh-CN"/>
        </w:rPr>
        <w:t>华人策略</w:t>
      </w:r>
      <w:r>
        <w:rPr>
          <w:lang w:eastAsia="zh-CN"/>
        </w:rPr>
        <w:t>）的权益及时向联交所作出披露，违反了《证券及期货条例》第</w:t>
      </w:r>
      <w:r>
        <w:rPr>
          <w:lang w:eastAsia="zh-CN"/>
        </w:rPr>
        <w:t>XV</w:t>
      </w:r>
      <w:r>
        <w:rPr>
          <w:lang w:eastAsia="zh-CN"/>
        </w:rPr>
        <w:t>部。林先生于伟俊所持有的华人策略股份中拥有权益，伟俊为林先生的控权公司，原因是林有权在伟俊的成员大会上控制三分之一或以上投票权的行使。</w:t>
      </w:r>
    </w:p>
    <w:p w:rsidR="0037202D" w:rsidRDefault="006800E0">
      <w:pPr>
        <w:pStyle w:val="BodyText"/>
        <w:rPr>
          <w:lang w:eastAsia="zh-CN"/>
        </w:rPr>
      </w:pPr>
      <w:r>
        <w:rPr>
          <w:lang w:eastAsia="zh-CN"/>
        </w:rPr>
        <w:t>证监会对于未能披露采取的纪律处分</w:t>
      </w:r>
    </w:p>
    <w:p w:rsidR="0037202D" w:rsidRDefault="006800E0">
      <w:pPr>
        <w:pStyle w:val="BodyText"/>
        <w:rPr>
          <w:lang w:eastAsia="zh-CN"/>
        </w:rPr>
      </w:pPr>
      <w:r>
        <w:rPr>
          <w:lang w:eastAsia="zh-CN"/>
        </w:rPr>
        <w:t>东区法院于</w:t>
      </w:r>
      <w:r>
        <w:rPr>
          <w:lang w:eastAsia="zh-CN"/>
        </w:rPr>
        <w:t>2021</w:t>
      </w:r>
      <w:r>
        <w:rPr>
          <w:lang w:eastAsia="zh-CN"/>
        </w:rPr>
        <w:t>年</w:t>
      </w:r>
      <w:r>
        <w:rPr>
          <w:lang w:eastAsia="zh-CN"/>
        </w:rPr>
        <w:t>12</w:t>
      </w:r>
      <w:r>
        <w:rPr>
          <w:lang w:eastAsia="zh-CN"/>
        </w:rPr>
        <w:t>月</w:t>
      </w:r>
      <w:r>
        <w:rPr>
          <w:lang w:eastAsia="zh-CN"/>
        </w:rPr>
        <w:t>30</w:t>
      </w:r>
      <w:r>
        <w:rPr>
          <w:lang w:eastAsia="zh-CN"/>
        </w:rPr>
        <w:t>日裁定伟俊控股及林先生获《证券及期货条例》第</w:t>
      </w:r>
      <w:r>
        <w:rPr>
          <w:lang w:eastAsia="zh-CN"/>
        </w:rPr>
        <w:t>XV</w:t>
      </w:r>
      <w:r>
        <w:rPr>
          <w:lang w:eastAsia="zh-CN"/>
        </w:rPr>
        <w:t>部权益披露相关罪行，被判罚款合共</w:t>
      </w:r>
      <w:r>
        <w:rPr>
          <w:lang w:eastAsia="zh-CN"/>
        </w:rPr>
        <w:t>20,000</w:t>
      </w:r>
      <w:r>
        <w:rPr>
          <w:lang w:eastAsia="zh-CN"/>
        </w:rPr>
        <w:t>元，及</w:t>
      </w:r>
      <w:r>
        <w:rPr>
          <w:lang w:eastAsia="zh-CN"/>
        </w:rPr>
        <w:t>被命令支付证监会的调查费用。</w:t>
      </w:r>
    </w:p>
    <w:p w:rsidR="0037202D" w:rsidRDefault="006800E0">
      <w:pPr>
        <w:pStyle w:val="BodyText"/>
        <w:rPr>
          <w:lang w:eastAsia="zh-CN"/>
        </w:rPr>
      </w:pPr>
      <w:r>
        <w:rPr>
          <w:lang w:eastAsia="zh-CN"/>
        </w:rPr>
        <w:t>远大国际期货有限公司因违反监管规定遭证监会谴责和罚款</w:t>
      </w:r>
      <w:r>
        <w:rPr>
          <w:lang w:eastAsia="zh-CN"/>
        </w:rPr>
        <w:t>800</w:t>
      </w:r>
      <w:r>
        <w:rPr>
          <w:lang w:eastAsia="zh-CN"/>
        </w:rPr>
        <w:t>万元并暂时吊销其负责人员的牌照</w:t>
      </w:r>
      <w:hyperlink w:anchor="footnote-598-3">
        <w:r>
          <w:rPr>
            <w:vertAlign w:val="superscript"/>
            <w:lang w:eastAsia="zh-CN"/>
          </w:rPr>
          <w:t>3</w:t>
        </w:r>
      </w:hyperlink>
    </w:p>
    <w:p w:rsidR="0037202D" w:rsidRDefault="006800E0">
      <w:pPr>
        <w:pStyle w:val="BodyText"/>
        <w:rPr>
          <w:lang w:eastAsia="zh-CN"/>
        </w:rPr>
      </w:pPr>
      <w:r>
        <w:rPr>
          <w:lang w:eastAsia="zh-CN"/>
        </w:rPr>
        <w:t>没有遵守打击洗钱及恐怖分子资金筹集规定</w:t>
      </w:r>
    </w:p>
    <w:p w:rsidR="0037202D" w:rsidRDefault="006800E0">
      <w:pPr>
        <w:pStyle w:val="BodyText"/>
        <w:rPr>
          <w:lang w:eastAsia="zh-CN"/>
        </w:rPr>
      </w:pPr>
      <w:r>
        <w:rPr>
          <w:lang w:eastAsia="zh-CN"/>
        </w:rPr>
        <w:lastRenderedPageBreak/>
        <w:t>证监会调查发现，在</w:t>
      </w:r>
      <w:r>
        <w:rPr>
          <w:lang w:eastAsia="zh-CN"/>
        </w:rPr>
        <w:t>2017</w:t>
      </w:r>
      <w:r>
        <w:rPr>
          <w:lang w:eastAsia="zh-CN"/>
        </w:rPr>
        <w:t>年</w:t>
      </w:r>
      <w:r>
        <w:rPr>
          <w:lang w:eastAsia="zh-CN"/>
        </w:rPr>
        <w:t>10</w:t>
      </w:r>
      <w:r>
        <w:rPr>
          <w:lang w:eastAsia="zh-CN"/>
        </w:rPr>
        <w:t>月至</w:t>
      </w:r>
      <w:r>
        <w:rPr>
          <w:lang w:eastAsia="zh-CN"/>
        </w:rPr>
        <w:t>2018</w:t>
      </w:r>
      <w:r>
        <w:rPr>
          <w:lang w:eastAsia="zh-CN"/>
        </w:rPr>
        <w:t>年</w:t>
      </w:r>
      <w:r>
        <w:rPr>
          <w:lang w:eastAsia="zh-CN"/>
        </w:rPr>
        <w:t>10</w:t>
      </w:r>
      <w:r>
        <w:rPr>
          <w:lang w:eastAsia="zh-CN"/>
        </w:rPr>
        <w:t>月期间，远大国际期货有限公司（</w:t>
      </w:r>
      <w:r>
        <w:rPr>
          <w:b/>
          <w:lang w:eastAsia="zh-CN"/>
        </w:rPr>
        <w:t>远大</w:t>
      </w:r>
      <w:r>
        <w:rPr>
          <w:lang w:eastAsia="zh-CN"/>
        </w:rPr>
        <w:t>）（远大根据《证券及期货条例》获发牌进行第</w:t>
      </w:r>
      <w:r>
        <w:rPr>
          <w:lang w:eastAsia="zh-CN"/>
        </w:rPr>
        <w:t>2</w:t>
      </w:r>
      <w:r>
        <w:rPr>
          <w:lang w:eastAsia="zh-CN"/>
        </w:rPr>
        <w:t>类（期货合约交易）及第</w:t>
      </w:r>
      <w:r>
        <w:rPr>
          <w:lang w:eastAsia="zh-CN"/>
        </w:rPr>
        <w:t>5</w:t>
      </w:r>
      <w:r>
        <w:rPr>
          <w:lang w:eastAsia="zh-CN"/>
        </w:rPr>
        <w:t>类（就期货合约提供意见）受规管活动）没有对</w:t>
      </w:r>
      <w:r>
        <w:rPr>
          <w:lang w:eastAsia="zh-CN"/>
        </w:rPr>
        <w:t>103</w:t>
      </w:r>
      <w:r>
        <w:rPr>
          <w:lang w:eastAsia="zh-CN"/>
        </w:rPr>
        <w:t>名客户用以发出交易指示的客户自设系统进行任何尽职调查。客户自设系统是由客户开</w:t>
      </w:r>
      <w:r>
        <w:rPr>
          <w:lang w:eastAsia="zh-CN"/>
        </w:rPr>
        <w:t>发的交易软件，以便他们能够透过互联网、流动电话及其他电子途径进行电子交易。</w:t>
      </w:r>
    </w:p>
    <w:p w:rsidR="0037202D" w:rsidRDefault="006800E0">
      <w:pPr>
        <w:pStyle w:val="BodyText"/>
        <w:rPr>
          <w:lang w:eastAsia="zh-CN"/>
        </w:rPr>
      </w:pPr>
      <w:r>
        <w:rPr>
          <w:lang w:eastAsia="zh-CN"/>
        </w:rPr>
        <w:t>证监会还识别到存入四名客户的帐户内的款项与他们所声明的财政状况并不相称，远大没有设立有效的持续监察系统以侦测客户帐户内的可疑交易模式，导致其未能侦测出在九个客户帐户内进行的</w:t>
      </w:r>
      <w:r>
        <w:rPr>
          <w:lang w:eastAsia="zh-CN"/>
        </w:rPr>
        <w:t>100,000</w:t>
      </w:r>
      <w:r>
        <w:rPr>
          <w:lang w:eastAsia="zh-CN"/>
        </w:rPr>
        <w:t>项自我配对交易。自我配对交易指客户的交易指示与其本身的反向交易指示进行配对的交易，根据证监会的《打击洗钱及恐怖分子资金筹集指引》，显示出现操纵市场活动，因为该等买卖可能营造曾进行交易的假象。</w:t>
      </w:r>
    </w:p>
    <w:p w:rsidR="0037202D" w:rsidRDefault="006800E0">
      <w:pPr>
        <w:pStyle w:val="BodyText"/>
        <w:rPr>
          <w:lang w:eastAsia="zh-CN"/>
        </w:rPr>
      </w:pPr>
      <w:r>
        <w:rPr>
          <w:lang w:eastAsia="zh-CN"/>
        </w:rPr>
        <w:t>证监会认为，这些缺失表明远大的系统及监控措施并不足够或成效</w:t>
      </w:r>
      <w:r>
        <w:rPr>
          <w:lang w:eastAsia="zh-CN"/>
        </w:rPr>
        <w:t>不彰，且该公司没有确保遵守《打击洗钱及恐怖分子资金筹集条例》、《打击洗钱及恐怖分子资金筹集指引》和《操守准则》。</w:t>
      </w:r>
    </w:p>
    <w:p w:rsidR="0037202D" w:rsidRDefault="006800E0">
      <w:pPr>
        <w:pStyle w:val="BodyText"/>
        <w:rPr>
          <w:lang w:eastAsia="zh-CN"/>
        </w:rPr>
      </w:pPr>
      <w:r>
        <w:rPr>
          <w:lang w:eastAsia="zh-CN"/>
        </w:rPr>
        <w:t>违反负责人员的职责</w:t>
      </w:r>
    </w:p>
    <w:p w:rsidR="0037202D" w:rsidRDefault="006800E0">
      <w:pPr>
        <w:pStyle w:val="BodyText"/>
        <w:rPr>
          <w:lang w:eastAsia="zh-CN"/>
        </w:rPr>
      </w:pPr>
      <w:r>
        <w:rPr>
          <w:lang w:eastAsia="zh-CN"/>
        </w:rPr>
        <w:t>梁本有先生（</w:t>
      </w:r>
      <w:r>
        <w:rPr>
          <w:b/>
          <w:lang w:eastAsia="zh-CN"/>
        </w:rPr>
        <w:t>梁先生</w:t>
      </w:r>
      <w:r>
        <w:rPr>
          <w:lang w:eastAsia="zh-CN"/>
        </w:rPr>
        <w:t>）自</w:t>
      </w:r>
      <w:r>
        <w:rPr>
          <w:lang w:eastAsia="zh-CN"/>
        </w:rPr>
        <w:t>2017</w:t>
      </w:r>
      <w:r>
        <w:rPr>
          <w:lang w:eastAsia="zh-CN"/>
        </w:rPr>
        <w:t>年</w:t>
      </w:r>
      <w:r>
        <w:rPr>
          <w:lang w:eastAsia="zh-CN"/>
        </w:rPr>
        <w:t>10</w:t>
      </w:r>
      <w:r>
        <w:rPr>
          <w:lang w:eastAsia="zh-CN"/>
        </w:rPr>
        <w:t>月（尽职调查缺失开始的时间）以来，一直担任远大的负责人员，进行第</w:t>
      </w:r>
      <w:r>
        <w:rPr>
          <w:lang w:eastAsia="zh-CN"/>
        </w:rPr>
        <w:t>2</w:t>
      </w:r>
      <w:r>
        <w:rPr>
          <w:lang w:eastAsia="zh-CN"/>
        </w:rPr>
        <w:t>类及第</w:t>
      </w:r>
      <w:r>
        <w:rPr>
          <w:lang w:eastAsia="zh-CN"/>
        </w:rPr>
        <w:t>5</w:t>
      </w:r>
      <w:r>
        <w:rPr>
          <w:lang w:eastAsia="zh-CN"/>
        </w:rPr>
        <w:t>类受规管活动。自</w:t>
      </w:r>
      <w:r>
        <w:rPr>
          <w:lang w:eastAsia="zh-CN"/>
        </w:rPr>
        <w:t>2017</w:t>
      </w:r>
      <w:r>
        <w:rPr>
          <w:lang w:eastAsia="zh-CN"/>
        </w:rPr>
        <w:t>年</w:t>
      </w:r>
      <w:r>
        <w:rPr>
          <w:lang w:eastAsia="zh-CN"/>
        </w:rPr>
        <w:t>9</w:t>
      </w:r>
      <w:r>
        <w:rPr>
          <w:lang w:eastAsia="zh-CN"/>
        </w:rPr>
        <w:t>月以来，他还一直就整体管理监督、业务及营运监控与检讨、合规及资讯科技职能担任远大的核心职能主管。</w:t>
      </w:r>
    </w:p>
    <w:p w:rsidR="0037202D" w:rsidRDefault="006800E0">
      <w:pPr>
        <w:pStyle w:val="BodyText"/>
        <w:rPr>
          <w:lang w:eastAsia="zh-CN"/>
        </w:rPr>
      </w:pPr>
      <w:r>
        <w:rPr>
          <w:lang w:eastAsia="zh-CN"/>
        </w:rPr>
        <w:t>证监会发现远大的缺失乃归因于梁先生没有履行其作为负责人员及远大高级管理人员的职责。梁先生没有确保远大勤勉尽责地监察其客户活动，以及设立充足而有</w:t>
      </w:r>
      <w:r>
        <w:rPr>
          <w:lang w:eastAsia="zh-CN"/>
        </w:rPr>
        <w:t>效的打击洗钱及恐怖分子资金筹集制度和监控措施，证监会认为乃属严重缺失，因为这可能会损害公众对市场的信心和破坏市场的廉洁稳健。</w:t>
      </w:r>
    </w:p>
    <w:p w:rsidR="0037202D" w:rsidRDefault="006800E0">
      <w:pPr>
        <w:pStyle w:val="BodyText"/>
        <w:rPr>
          <w:lang w:eastAsia="zh-CN"/>
        </w:rPr>
      </w:pPr>
      <w:r>
        <w:rPr>
          <w:lang w:eastAsia="zh-CN"/>
        </w:rPr>
        <w:t>证监会对未遵守打击洗钱及恐怖分子资金筹集规定的纪律处分</w:t>
      </w:r>
    </w:p>
    <w:p w:rsidR="0037202D" w:rsidRDefault="006800E0">
      <w:pPr>
        <w:pStyle w:val="BodyText"/>
        <w:rPr>
          <w:lang w:eastAsia="zh-CN"/>
        </w:rPr>
      </w:pPr>
      <w:r>
        <w:rPr>
          <w:lang w:eastAsia="zh-CN"/>
        </w:rPr>
        <w:t>为向市场传递具阻吓力的强烈讯息，证监会就远大没有遵守打击洗钱及恐怖分子资金筹集规定和其他监管规定谴责远大并处以罚款</w:t>
      </w:r>
      <w:r>
        <w:rPr>
          <w:lang w:eastAsia="zh-CN"/>
        </w:rPr>
        <w:t>800</w:t>
      </w:r>
      <w:r>
        <w:rPr>
          <w:lang w:eastAsia="zh-CN"/>
        </w:rPr>
        <w:t>万元并暂时吊销梁先生的牌照，为期八个月。</w:t>
      </w:r>
    </w:p>
    <w:p w:rsidR="0037202D" w:rsidRDefault="006800E0">
      <w:pPr>
        <w:pStyle w:val="BodyText"/>
        <w:rPr>
          <w:lang w:eastAsia="zh-CN"/>
        </w:rPr>
      </w:pPr>
      <w:r>
        <w:rPr>
          <w:lang w:eastAsia="zh-CN"/>
        </w:rPr>
        <w:t>证监会谴责及罚款富昌证券有限公司</w:t>
      </w:r>
      <w:r>
        <w:rPr>
          <w:lang w:eastAsia="zh-CN"/>
        </w:rPr>
        <w:t>330</w:t>
      </w:r>
      <w:r>
        <w:rPr>
          <w:lang w:eastAsia="zh-CN"/>
        </w:rPr>
        <w:t>万元</w:t>
      </w:r>
      <w:hyperlink w:anchor="footnote-598-4">
        <w:r>
          <w:rPr>
            <w:vertAlign w:val="superscript"/>
            <w:lang w:eastAsia="zh-CN"/>
          </w:rPr>
          <w:t>4</w:t>
        </w:r>
      </w:hyperlink>
    </w:p>
    <w:p w:rsidR="0037202D" w:rsidRDefault="006800E0">
      <w:pPr>
        <w:pStyle w:val="BodyText"/>
        <w:rPr>
          <w:lang w:eastAsia="zh-CN"/>
        </w:rPr>
      </w:pPr>
      <w:r>
        <w:rPr>
          <w:lang w:eastAsia="zh-CN"/>
        </w:rPr>
        <w:t>配售活动没有实施足够的内部监控</w:t>
      </w:r>
    </w:p>
    <w:p w:rsidR="0037202D" w:rsidRDefault="006800E0">
      <w:pPr>
        <w:pStyle w:val="BodyText"/>
        <w:rPr>
          <w:lang w:eastAsia="zh-CN"/>
        </w:rPr>
      </w:pPr>
      <w:r>
        <w:rPr>
          <w:lang w:eastAsia="zh-CN"/>
        </w:rPr>
        <w:t>证监会发现富昌证券有限公司（</w:t>
      </w:r>
      <w:r>
        <w:rPr>
          <w:b/>
          <w:lang w:eastAsia="zh-CN"/>
        </w:rPr>
        <w:t>富昌证券</w:t>
      </w:r>
      <w:r>
        <w:rPr>
          <w:lang w:eastAsia="zh-CN"/>
        </w:rPr>
        <w:t>）于</w:t>
      </w:r>
      <w:r>
        <w:rPr>
          <w:lang w:eastAsia="zh-CN"/>
        </w:rPr>
        <w:t>2018</w:t>
      </w:r>
      <w:r>
        <w:rPr>
          <w:lang w:eastAsia="zh-CN"/>
        </w:rPr>
        <w:t>年</w:t>
      </w:r>
      <w:r>
        <w:rPr>
          <w:lang w:eastAsia="zh-CN"/>
        </w:rPr>
        <w:t>8</w:t>
      </w:r>
      <w:r>
        <w:rPr>
          <w:lang w:eastAsia="zh-CN"/>
        </w:rPr>
        <w:t>月为某香港上市公司的股份配售担任配售代理期间，没有确保就其配售活动及记录客户交易指示方面实施足够的内部监控措施。其发现富昌证券未能在配售过程中以维护客户最佳利益的态度行事，未能在配售过程中以适当的技能、小心审慎和勤勉尽责的态度行事，亦无持续监察其与客户的业务关系。</w:t>
      </w:r>
    </w:p>
    <w:p w:rsidR="0037202D" w:rsidRDefault="006800E0">
      <w:pPr>
        <w:pStyle w:val="BodyText"/>
        <w:rPr>
          <w:lang w:eastAsia="zh-CN"/>
        </w:rPr>
      </w:pPr>
      <w:r>
        <w:rPr>
          <w:lang w:eastAsia="zh-CN"/>
        </w:rPr>
        <w:t>负责人员的缺失</w:t>
      </w:r>
    </w:p>
    <w:p w:rsidR="0037202D" w:rsidRDefault="006800E0">
      <w:pPr>
        <w:pStyle w:val="BodyText"/>
        <w:rPr>
          <w:lang w:eastAsia="zh-CN"/>
        </w:rPr>
      </w:pPr>
      <w:r>
        <w:rPr>
          <w:lang w:eastAsia="zh-CN"/>
        </w:rPr>
        <w:t>在调查过程中，证监会发现富昌的缺失归于负责人员廖志明（</w:t>
      </w:r>
      <w:r>
        <w:rPr>
          <w:b/>
          <w:lang w:eastAsia="zh-CN"/>
        </w:rPr>
        <w:t>廖先生</w:t>
      </w:r>
      <w:r>
        <w:rPr>
          <w:lang w:eastAsia="zh-CN"/>
        </w:rPr>
        <w:t>）的缺失，其于关键时间负责管理及监督富昌公司在第</w:t>
      </w:r>
      <w:r>
        <w:rPr>
          <w:lang w:eastAsia="zh-CN"/>
        </w:rPr>
        <w:t>1</w:t>
      </w:r>
      <w:r>
        <w:rPr>
          <w:lang w:eastAsia="zh-CN"/>
        </w:rPr>
        <w:t>类（证券交易）及第</w:t>
      </w:r>
      <w:r>
        <w:rPr>
          <w:lang w:eastAsia="zh-CN"/>
        </w:rPr>
        <w:t>4</w:t>
      </w:r>
      <w:r>
        <w:rPr>
          <w:lang w:eastAsia="zh-CN"/>
        </w:rPr>
        <w:t>类（就证券提供意见）受规管活动方面的业务运作。他没有履行作为负责人员兼公司高级管理人员的职责。</w:t>
      </w:r>
    </w:p>
    <w:p w:rsidR="0037202D" w:rsidRDefault="006800E0">
      <w:pPr>
        <w:pStyle w:val="BodyText"/>
        <w:rPr>
          <w:lang w:eastAsia="zh-CN"/>
        </w:rPr>
      </w:pPr>
      <w:r>
        <w:rPr>
          <w:lang w:eastAsia="zh-CN"/>
        </w:rPr>
        <w:t>违反《内部监控指引》及《上市规则》</w:t>
      </w:r>
    </w:p>
    <w:p w:rsidR="0037202D" w:rsidRDefault="006800E0">
      <w:pPr>
        <w:pStyle w:val="BodyText"/>
        <w:rPr>
          <w:lang w:eastAsia="zh-CN"/>
        </w:rPr>
      </w:pPr>
      <w:r>
        <w:rPr>
          <w:lang w:eastAsia="zh-CN"/>
        </w:rPr>
        <w:t>除</w:t>
      </w:r>
      <w:r>
        <w:rPr>
          <w:lang w:eastAsia="zh-CN"/>
        </w:rPr>
        <w:t>2018</w:t>
      </w:r>
      <w:r>
        <w:rPr>
          <w:lang w:eastAsia="zh-CN"/>
        </w:rPr>
        <w:t>年</w:t>
      </w:r>
      <w:r>
        <w:rPr>
          <w:lang w:eastAsia="zh-CN"/>
        </w:rPr>
        <w:t>8</w:t>
      </w:r>
      <w:r>
        <w:rPr>
          <w:lang w:eastAsia="zh-CN"/>
        </w:rPr>
        <w:t>月的缺失，证监会还发现由于廖先生在</w:t>
      </w:r>
      <w:r>
        <w:rPr>
          <w:lang w:eastAsia="zh-CN"/>
        </w:rPr>
        <w:t>2017</w:t>
      </w:r>
      <w:r>
        <w:rPr>
          <w:lang w:eastAsia="zh-CN"/>
        </w:rPr>
        <w:t>年</w:t>
      </w:r>
      <w:r>
        <w:rPr>
          <w:lang w:eastAsia="zh-CN"/>
        </w:rPr>
        <w:t>11</w:t>
      </w:r>
      <w:r>
        <w:rPr>
          <w:lang w:eastAsia="zh-CN"/>
        </w:rPr>
        <w:t>月至</w:t>
      </w:r>
      <w:r>
        <w:rPr>
          <w:lang w:eastAsia="zh-CN"/>
        </w:rPr>
        <w:t>2019</w:t>
      </w:r>
      <w:r>
        <w:rPr>
          <w:lang w:eastAsia="zh-CN"/>
        </w:rPr>
        <w:t>年</w:t>
      </w:r>
      <w:r>
        <w:rPr>
          <w:lang w:eastAsia="zh-CN"/>
        </w:rPr>
        <w:t>7</w:t>
      </w:r>
      <w:r>
        <w:rPr>
          <w:lang w:eastAsia="zh-CN"/>
        </w:rPr>
        <w:t>月之间的缺失，富昌证券没有：</w:t>
      </w:r>
    </w:p>
    <w:p w:rsidR="0037202D" w:rsidRDefault="006800E0">
      <w:pPr>
        <w:pStyle w:val="Compact"/>
        <w:numPr>
          <w:ilvl w:val="0"/>
          <w:numId w:val="4"/>
        </w:numPr>
        <w:rPr>
          <w:lang w:eastAsia="zh-CN"/>
        </w:rPr>
      </w:pPr>
      <w:r>
        <w:rPr>
          <w:lang w:eastAsia="zh-CN"/>
        </w:rPr>
        <w:t>就合共</w:t>
      </w:r>
      <w:r>
        <w:rPr>
          <w:lang w:eastAsia="zh-CN"/>
        </w:rPr>
        <w:t>580</w:t>
      </w:r>
      <w:r>
        <w:rPr>
          <w:lang w:eastAsia="zh-CN"/>
        </w:rPr>
        <w:t>项客户交易指示，妥善地记录及备存交易指示；</w:t>
      </w:r>
    </w:p>
    <w:p w:rsidR="0037202D" w:rsidRDefault="006800E0">
      <w:pPr>
        <w:pStyle w:val="Compact"/>
        <w:numPr>
          <w:ilvl w:val="0"/>
          <w:numId w:val="4"/>
        </w:numPr>
        <w:rPr>
          <w:lang w:eastAsia="zh-CN"/>
        </w:rPr>
      </w:pPr>
      <w:r>
        <w:rPr>
          <w:lang w:eastAsia="zh-CN"/>
        </w:rPr>
        <w:t>制定并维持适当及有效的程序并监督其客户主任以确保客户交易指示的处理方式符合监管规定；</w:t>
      </w:r>
    </w:p>
    <w:p w:rsidR="0037202D" w:rsidRDefault="006800E0">
      <w:pPr>
        <w:pStyle w:val="Compact"/>
        <w:numPr>
          <w:ilvl w:val="0"/>
          <w:numId w:val="4"/>
        </w:numPr>
        <w:rPr>
          <w:lang w:eastAsia="zh-CN"/>
        </w:rPr>
      </w:pPr>
      <w:r>
        <w:rPr>
          <w:lang w:eastAsia="zh-CN"/>
        </w:rPr>
        <w:lastRenderedPageBreak/>
        <w:t>就检讨电话交易指示的合规情况制定标准化程序并确保检讨者之间的</w:t>
      </w:r>
      <w:r>
        <w:rPr>
          <w:lang w:eastAsia="zh-CN"/>
        </w:rPr>
        <w:t>适当协作；在察觉其客户主任违反有关电话交易指示监管规定后，立即向证监会作出汇报；</w:t>
      </w:r>
    </w:p>
    <w:p w:rsidR="0037202D" w:rsidRDefault="006800E0">
      <w:pPr>
        <w:pStyle w:val="Compact"/>
        <w:numPr>
          <w:ilvl w:val="0"/>
          <w:numId w:val="4"/>
        </w:numPr>
        <w:rPr>
          <w:lang w:eastAsia="zh-CN"/>
        </w:rPr>
      </w:pPr>
      <w:r>
        <w:rPr>
          <w:lang w:eastAsia="zh-CN"/>
        </w:rPr>
        <w:t>保持适当的会计、交易和其他记录，以充分说明其接收或持有的所有客户资产，以确保能够追踪到客户资产的所有流动；及</w:t>
      </w:r>
    </w:p>
    <w:p w:rsidR="0037202D" w:rsidRDefault="006800E0">
      <w:pPr>
        <w:pStyle w:val="Compact"/>
        <w:numPr>
          <w:ilvl w:val="0"/>
          <w:numId w:val="4"/>
        </w:numPr>
        <w:rPr>
          <w:lang w:eastAsia="zh-CN"/>
        </w:rPr>
      </w:pPr>
      <w:r>
        <w:rPr>
          <w:lang w:eastAsia="zh-CN"/>
        </w:rPr>
        <w:t>在察觉不符合上述规定后的一个工作日内，以书面形式通知证监会。</w:t>
      </w:r>
    </w:p>
    <w:p w:rsidR="0037202D" w:rsidRDefault="006800E0">
      <w:pPr>
        <w:pStyle w:val="FirstParagraph"/>
        <w:rPr>
          <w:lang w:eastAsia="zh-CN"/>
        </w:rPr>
      </w:pPr>
      <w:r>
        <w:rPr>
          <w:lang w:eastAsia="zh-CN"/>
        </w:rPr>
        <w:t>证监会发现这些缺失违反《操守准则》及《证监会管理、监督及内部监控指引》（</w:t>
      </w:r>
      <w:r>
        <w:rPr>
          <w:b/>
          <w:lang w:eastAsia="zh-CN"/>
        </w:rPr>
        <w:t>《内部监控指引》</w:t>
      </w:r>
      <w:r>
        <w:rPr>
          <w:lang w:eastAsia="zh-CN"/>
        </w:rPr>
        <w:t>）及《证券及期货（备存纪录）规则》（</w:t>
      </w:r>
      <w:r>
        <w:rPr>
          <w:b/>
          <w:lang w:eastAsia="zh-CN"/>
        </w:rPr>
        <w:t>《备存纪录规则》</w:t>
      </w:r>
      <w:r>
        <w:rPr>
          <w:lang w:eastAsia="zh-CN"/>
        </w:rPr>
        <w:t>）</w:t>
      </w:r>
    </w:p>
    <w:p w:rsidR="0037202D" w:rsidRDefault="006800E0">
      <w:pPr>
        <w:pStyle w:val="BodyText"/>
        <w:rPr>
          <w:lang w:eastAsia="zh-CN"/>
        </w:rPr>
      </w:pPr>
      <w:r>
        <w:rPr>
          <w:lang w:eastAsia="zh-CN"/>
        </w:rPr>
        <w:t>证监会对于未遵守《内部监控指引》及《备存纪录规则》的纪律处分</w:t>
      </w:r>
    </w:p>
    <w:p w:rsidR="0037202D" w:rsidRDefault="006800E0">
      <w:pPr>
        <w:pStyle w:val="BodyText"/>
        <w:rPr>
          <w:lang w:eastAsia="zh-CN"/>
        </w:rPr>
      </w:pPr>
      <w:r>
        <w:rPr>
          <w:lang w:eastAsia="zh-CN"/>
        </w:rPr>
        <w:t>根据《证券及期货条例》第</w:t>
      </w:r>
      <w:r>
        <w:rPr>
          <w:lang w:eastAsia="zh-CN"/>
        </w:rPr>
        <w:t>194</w:t>
      </w:r>
      <w:r>
        <w:rPr>
          <w:lang w:eastAsia="zh-CN"/>
        </w:rPr>
        <w:t>条，证监会就富昌证券违</w:t>
      </w:r>
      <w:r>
        <w:rPr>
          <w:lang w:eastAsia="zh-CN"/>
        </w:rPr>
        <w:t>反《内部监控指引》及《备存纪录规则》，谴责富昌证券并罚款</w:t>
      </w:r>
      <w:r>
        <w:rPr>
          <w:lang w:eastAsia="zh-CN"/>
        </w:rPr>
        <w:t>330</w:t>
      </w:r>
      <w:r>
        <w:rPr>
          <w:lang w:eastAsia="zh-CN"/>
        </w:rPr>
        <w:t>万元并暂时吊销其负责人员的牌照，为期</w:t>
      </w:r>
      <w:r>
        <w:rPr>
          <w:lang w:eastAsia="zh-CN"/>
        </w:rPr>
        <w:t>6</w:t>
      </w:r>
      <w:r>
        <w:rPr>
          <w:lang w:eastAsia="zh-CN"/>
        </w:rPr>
        <w:t>个月，自</w:t>
      </w:r>
      <w:r>
        <w:rPr>
          <w:lang w:eastAsia="zh-CN"/>
        </w:rPr>
        <w:t>2021</w:t>
      </w:r>
      <w:r>
        <w:rPr>
          <w:lang w:eastAsia="zh-CN"/>
        </w:rPr>
        <w:t>年</w:t>
      </w:r>
      <w:r>
        <w:rPr>
          <w:lang w:eastAsia="zh-CN"/>
        </w:rPr>
        <w:t>10</w:t>
      </w:r>
      <w:r>
        <w:rPr>
          <w:lang w:eastAsia="zh-CN"/>
        </w:rPr>
        <w:t>月至</w:t>
      </w:r>
      <w:r>
        <w:rPr>
          <w:lang w:eastAsia="zh-CN"/>
        </w:rPr>
        <w:t>2022</w:t>
      </w:r>
      <w:r>
        <w:rPr>
          <w:lang w:eastAsia="zh-CN"/>
        </w:rPr>
        <w:t>年</w:t>
      </w:r>
      <w:r>
        <w:rPr>
          <w:lang w:eastAsia="zh-CN"/>
        </w:rPr>
        <w:t>4</w:t>
      </w:r>
      <w:r>
        <w:rPr>
          <w:lang w:eastAsia="zh-CN"/>
        </w:rPr>
        <w:t>月。</w:t>
      </w:r>
    </w:p>
    <w:p w:rsidR="0037202D" w:rsidRDefault="006800E0">
      <w:pPr>
        <w:pStyle w:val="BodyText"/>
        <w:rPr>
          <w:lang w:eastAsia="zh-CN"/>
        </w:rPr>
      </w:pPr>
      <w:r>
        <w:rPr>
          <w:lang w:eastAsia="zh-CN"/>
        </w:rPr>
        <w:t>负责人员因监督缺失遭证监会禁止重投业界七个月</w:t>
      </w:r>
      <w:hyperlink w:anchor="footnote-598-5">
        <w:r>
          <w:rPr>
            <w:vertAlign w:val="superscript"/>
            <w:lang w:eastAsia="zh-CN"/>
          </w:rPr>
          <w:t>5</w:t>
        </w:r>
      </w:hyperlink>
    </w:p>
    <w:p w:rsidR="0037202D" w:rsidRDefault="006800E0">
      <w:pPr>
        <w:pStyle w:val="BodyText"/>
        <w:rPr>
          <w:lang w:eastAsia="zh-CN"/>
        </w:rPr>
      </w:pPr>
      <w:r>
        <w:rPr>
          <w:lang w:eastAsia="zh-CN"/>
        </w:rPr>
        <w:t>在</w:t>
      </w:r>
      <w:r>
        <w:rPr>
          <w:lang w:eastAsia="zh-CN"/>
        </w:rPr>
        <w:t>2016</w:t>
      </w:r>
      <w:r>
        <w:rPr>
          <w:lang w:eastAsia="zh-CN"/>
        </w:rPr>
        <w:t>年</w:t>
      </w:r>
      <w:r>
        <w:rPr>
          <w:lang w:eastAsia="zh-CN"/>
        </w:rPr>
        <w:t>11</w:t>
      </w:r>
      <w:r>
        <w:rPr>
          <w:lang w:eastAsia="zh-CN"/>
        </w:rPr>
        <w:t>月</w:t>
      </w:r>
      <w:r>
        <w:rPr>
          <w:lang w:eastAsia="zh-CN"/>
        </w:rPr>
        <w:t>4</w:t>
      </w:r>
      <w:r>
        <w:rPr>
          <w:lang w:eastAsia="zh-CN"/>
        </w:rPr>
        <w:t>日至</w:t>
      </w:r>
      <w:r>
        <w:rPr>
          <w:lang w:eastAsia="zh-CN"/>
        </w:rPr>
        <w:t>2021</w:t>
      </w:r>
      <w:r>
        <w:rPr>
          <w:lang w:eastAsia="zh-CN"/>
        </w:rPr>
        <w:t>年</w:t>
      </w:r>
      <w:r>
        <w:rPr>
          <w:lang w:eastAsia="zh-CN"/>
        </w:rPr>
        <w:t>6</w:t>
      </w:r>
      <w:r>
        <w:rPr>
          <w:lang w:eastAsia="zh-CN"/>
        </w:rPr>
        <w:t>月</w:t>
      </w:r>
      <w:r>
        <w:rPr>
          <w:lang w:eastAsia="zh-CN"/>
        </w:rPr>
        <w:t>9</w:t>
      </w:r>
      <w:r>
        <w:rPr>
          <w:lang w:eastAsia="zh-CN"/>
        </w:rPr>
        <w:t>日期间，朱俊伟（</w:t>
      </w:r>
      <w:r>
        <w:rPr>
          <w:b/>
          <w:lang w:eastAsia="zh-CN"/>
        </w:rPr>
        <w:t>朱先生</w:t>
      </w:r>
      <w:r>
        <w:rPr>
          <w:lang w:eastAsia="zh-CN"/>
        </w:rPr>
        <w:t>）获核准出任中辉国际期货有限公司（</w:t>
      </w:r>
      <w:r>
        <w:rPr>
          <w:b/>
          <w:lang w:eastAsia="zh-CN"/>
        </w:rPr>
        <w:t>中辉</w:t>
      </w:r>
      <w:r>
        <w:rPr>
          <w:lang w:eastAsia="zh-CN"/>
        </w:rPr>
        <w:t>）的负责人员，进行第</w:t>
      </w:r>
      <w:r>
        <w:rPr>
          <w:lang w:eastAsia="zh-CN"/>
        </w:rPr>
        <w:t>2</w:t>
      </w:r>
      <w:r>
        <w:rPr>
          <w:lang w:eastAsia="zh-CN"/>
        </w:rPr>
        <w:t>类（期货合约交易）受规管活动，自</w:t>
      </w:r>
      <w:r>
        <w:rPr>
          <w:lang w:eastAsia="zh-CN"/>
        </w:rPr>
        <w:t>2017</w:t>
      </w:r>
      <w:r>
        <w:rPr>
          <w:lang w:eastAsia="zh-CN"/>
        </w:rPr>
        <w:t>年以来，还出任公司核心职能主管，主管整体管理、风险管理、业务及营运监督及检讨。</w:t>
      </w:r>
    </w:p>
    <w:p w:rsidR="0037202D" w:rsidRDefault="006800E0">
      <w:pPr>
        <w:pStyle w:val="BodyText"/>
        <w:rPr>
          <w:lang w:eastAsia="zh-CN"/>
        </w:rPr>
      </w:pPr>
      <w:r>
        <w:rPr>
          <w:lang w:eastAsia="zh-CN"/>
        </w:rPr>
        <w:t>证监</w:t>
      </w:r>
      <w:r>
        <w:rPr>
          <w:lang w:eastAsia="zh-CN"/>
        </w:rPr>
        <w:t>会发现在</w:t>
      </w:r>
      <w:r>
        <w:rPr>
          <w:lang w:eastAsia="zh-CN"/>
        </w:rPr>
        <w:t>2017</w:t>
      </w:r>
      <w:r>
        <w:rPr>
          <w:lang w:eastAsia="zh-CN"/>
        </w:rPr>
        <w:t>年</w:t>
      </w:r>
      <w:r>
        <w:rPr>
          <w:lang w:eastAsia="zh-CN"/>
        </w:rPr>
        <w:t>5</w:t>
      </w:r>
      <w:r>
        <w:rPr>
          <w:lang w:eastAsia="zh-CN"/>
        </w:rPr>
        <w:t>月至</w:t>
      </w:r>
      <w:r>
        <w:rPr>
          <w:lang w:eastAsia="zh-CN"/>
        </w:rPr>
        <w:t>2018</w:t>
      </w:r>
      <w:r>
        <w:rPr>
          <w:lang w:eastAsia="zh-CN"/>
        </w:rPr>
        <w:t>年</w:t>
      </w:r>
      <w:r>
        <w:rPr>
          <w:lang w:eastAsia="zh-CN"/>
        </w:rPr>
        <w:t>7</w:t>
      </w:r>
      <w:r>
        <w:rPr>
          <w:lang w:eastAsia="zh-CN"/>
        </w:rPr>
        <w:t>月期间，朱先生（作为中辉的负责人员及高级管理人员），没有确保中辉维持适当的操守标准、风险管理，就以下方面遵守恰当的程序：</w:t>
      </w:r>
      <w:r>
        <w:rPr>
          <w:lang w:eastAsia="zh-CN"/>
        </w:rPr>
        <w:t>(i)</w:t>
      </w:r>
      <w:r>
        <w:rPr>
          <w:lang w:eastAsia="zh-CN"/>
        </w:rPr>
        <w:t>中辉客户发出交易指示所使用的客户自设系统；</w:t>
      </w:r>
      <w:r>
        <w:rPr>
          <w:lang w:eastAsia="zh-CN"/>
        </w:rPr>
        <w:t>(ii)</w:t>
      </w:r>
      <w:r>
        <w:rPr>
          <w:lang w:eastAsia="zh-CN"/>
        </w:rPr>
        <w:t>批准客户设立第三方操作账户的要求；及</w:t>
      </w:r>
      <w:r>
        <w:rPr>
          <w:lang w:eastAsia="zh-CN"/>
        </w:rPr>
        <w:t>(iii)</w:t>
      </w:r>
      <w:r>
        <w:rPr>
          <w:lang w:eastAsia="zh-CN"/>
        </w:rPr>
        <w:t>监察客户账户中的可疑交易。</w:t>
      </w:r>
    </w:p>
    <w:p w:rsidR="0037202D" w:rsidRDefault="006800E0">
      <w:pPr>
        <w:pStyle w:val="BodyText"/>
        <w:rPr>
          <w:lang w:eastAsia="zh-CN"/>
        </w:rPr>
      </w:pPr>
      <w:r>
        <w:rPr>
          <w:lang w:eastAsia="zh-CN"/>
        </w:rPr>
        <w:t>证监会对于监督缺失的纪律处分</w:t>
      </w:r>
    </w:p>
    <w:p w:rsidR="0037202D" w:rsidRDefault="006800E0">
      <w:pPr>
        <w:pStyle w:val="BodyText"/>
        <w:rPr>
          <w:lang w:eastAsia="zh-CN"/>
        </w:rPr>
      </w:pPr>
      <w:r>
        <w:rPr>
          <w:lang w:eastAsia="zh-CN"/>
        </w:rPr>
        <w:t>虽然证监会针对朱的纪律行动，与本会正在对中辉采取的纪律行动有关，其对朱采取的纪律行动的详情将不会披露，证监会暂时吊销朱先生的牌照，并禁止其重投业界，为期七个月，由</w:t>
      </w:r>
      <w:r>
        <w:rPr>
          <w:lang w:eastAsia="zh-CN"/>
        </w:rPr>
        <w:t>2021</w:t>
      </w:r>
      <w:r>
        <w:rPr>
          <w:lang w:eastAsia="zh-CN"/>
        </w:rPr>
        <w:t>年</w:t>
      </w:r>
      <w:r>
        <w:rPr>
          <w:lang w:eastAsia="zh-CN"/>
        </w:rPr>
        <w:t>12</w:t>
      </w:r>
      <w:r>
        <w:rPr>
          <w:lang w:eastAsia="zh-CN"/>
        </w:rPr>
        <w:t>月起至</w:t>
      </w:r>
      <w:r>
        <w:rPr>
          <w:lang w:eastAsia="zh-CN"/>
        </w:rPr>
        <w:t>2022</w:t>
      </w:r>
      <w:r>
        <w:rPr>
          <w:lang w:eastAsia="zh-CN"/>
        </w:rPr>
        <w:t>年</w:t>
      </w:r>
      <w:r>
        <w:rPr>
          <w:lang w:eastAsia="zh-CN"/>
        </w:rPr>
        <w:t>7</w:t>
      </w:r>
      <w:r>
        <w:rPr>
          <w:lang w:eastAsia="zh-CN"/>
        </w:rPr>
        <w:t>月</w:t>
      </w:r>
      <w:r>
        <w:rPr>
          <w:lang w:eastAsia="zh-CN"/>
        </w:rPr>
        <w:t>止。</w:t>
      </w:r>
    </w:p>
    <w:p w:rsidR="0037202D" w:rsidRDefault="006800E0">
      <w:pPr>
        <w:pStyle w:val="BodyText"/>
        <w:rPr>
          <w:lang w:eastAsia="zh-CN"/>
        </w:rPr>
      </w:pPr>
      <w:r>
        <w:rPr>
          <w:lang w:eastAsia="zh-CN"/>
        </w:rPr>
        <w:t>茂宸证券有限公司因违反打击洗钱的监管规定遭证监会谴责及罚款</w:t>
      </w:r>
      <w:r>
        <w:rPr>
          <w:lang w:eastAsia="zh-CN"/>
        </w:rPr>
        <w:t>360</w:t>
      </w:r>
      <w:r>
        <w:rPr>
          <w:lang w:eastAsia="zh-CN"/>
        </w:rPr>
        <w:t>万元</w:t>
      </w:r>
      <w:hyperlink w:anchor="footnote-598-6">
        <w:r>
          <w:rPr>
            <w:vertAlign w:val="superscript"/>
            <w:lang w:eastAsia="zh-CN"/>
          </w:rPr>
          <w:t>6</w:t>
        </w:r>
      </w:hyperlink>
    </w:p>
    <w:p w:rsidR="0037202D" w:rsidRDefault="006800E0">
      <w:pPr>
        <w:pStyle w:val="BodyText"/>
        <w:rPr>
          <w:lang w:eastAsia="zh-CN"/>
        </w:rPr>
      </w:pPr>
      <w:r>
        <w:rPr>
          <w:lang w:eastAsia="zh-CN"/>
        </w:rPr>
        <w:t>证监会发现，在</w:t>
      </w:r>
      <w:r>
        <w:rPr>
          <w:lang w:eastAsia="zh-CN"/>
        </w:rPr>
        <w:t>2014</w:t>
      </w:r>
      <w:r>
        <w:rPr>
          <w:lang w:eastAsia="zh-CN"/>
        </w:rPr>
        <w:t>年</w:t>
      </w:r>
      <w:r>
        <w:rPr>
          <w:lang w:eastAsia="zh-CN"/>
        </w:rPr>
        <w:t>12</w:t>
      </w:r>
      <w:r>
        <w:rPr>
          <w:lang w:eastAsia="zh-CN"/>
        </w:rPr>
        <w:t>月至</w:t>
      </w:r>
      <w:r>
        <w:rPr>
          <w:lang w:eastAsia="zh-CN"/>
        </w:rPr>
        <w:t>2015</w:t>
      </w:r>
      <w:r>
        <w:rPr>
          <w:lang w:eastAsia="zh-CN"/>
        </w:rPr>
        <w:t>年</w:t>
      </w:r>
      <w:r>
        <w:rPr>
          <w:lang w:eastAsia="zh-CN"/>
        </w:rPr>
        <w:t>1</w:t>
      </w:r>
      <w:r>
        <w:rPr>
          <w:lang w:eastAsia="zh-CN"/>
        </w:rPr>
        <w:t>月期间，当时称为国浩资本的茂宸证券在批核六名客户以非亲身方式开立帐户前，没有进行适当的客户尽职审查，违反了《打击洗钱及恐怖主义资金筹集指引》及规定。没有对客户的身分证明文件进行认证，文件没有通过合适的独立证明人的认证，与《打击洗钱及恐怖主义资金筹集指引》规定相悖。</w:t>
      </w:r>
    </w:p>
    <w:p w:rsidR="0037202D" w:rsidRDefault="006800E0">
      <w:pPr>
        <w:pStyle w:val="BodyText"/>
        <w:rPr>
          <w:lang w:eastAsia="zh-CN"/>
        </w:rPr>
      </w:pPr>
      <w:r>
        <w:rPr>
          <w:lang w:eastAsia="zh-CN"/>
        </w:rPr>
        <w:t>证监会还发现在</w:t>
      </w:r>
      <w:r>
        <w:rPr>
          <w:lang w:eastAsia="zh-CN"/>
        </w:rPr>
        <w:t>2016</w:t>
      </w:r>
      <w:r>
        <w:rPr>
          <w:lang w:eastAsia="zh-CN"/>
        </w:rPr>
        <w:t>年</w:t>
      </w:r>
      <w:r>
        <w:rPr>
          <w:lang w:eastAsia="zh-CN"/>
        </w:rPr>
        <w:t>5</w:t>
      </w:r>
      <w:r>
        <w:rPr>
          <w:lang w:eastAsia="zh-CN"/>
        </w:rPr>
        <w:t>月至</w:t>
      </w:r>
      <w:r>
        <w:rPr>
          <w:lang w:eastAsia="zh-CN"/>
        </w:rPr>
        <w:t>7</w:t>
      </w:r>
      <w:r>
        <w:rPr>
          <w:lang w:eastAsia="zh-CN"/>
        </w:rPr>
        <w:t>月期间，茂宸证券没</w:t>
      </w:r>
      <w:r>
        <w:rPr>
          <w:lang w:eastAsia="zh-CN"/>
        </w:rPr>
        <w:t>有采取与识别和处理第三方存款有关的合理措施，以致没有识别出有</w:t>
      </w:r>
      <w:r>
        <w:rPr>
          <w:lang w:eastAsia="zh-CN"/>
        </w:rPr>
        <w:t>15</w:t>
      </w:r>
      <w:r>
        <w:rPr>
          <w:lang w:eastAsia="zh-CN"/>
        </w:rPr>
        <w:t>张由第三者发出的支票存入了五名客户的帐户中，违反了《打击洗钱及恐怖主义资金筹集指引》。</w:t>
      </w:r>
    </w:p>
    <w:p w:rsidR="0037202D" w:rsidRDefault="006800E0">
      <w:pPr>
        <w:pStyle w:val="BodyText"/>
        <w:rPr>
          <w:lang w:eastAsia="zh-CN"/>
        </w:rPr>
      </w:pPr>
      <w:r>
        <w:rPr>
          <w:lang w:eastAsia="zh-CN"/>
        </w:rPr>
        <w:t>证监会对于反洗钱</w:t>
      </w:r>
      <w:r>
        <w:rPr>
          <w:lang w:eastAsia="zh-CN"/>
        </w:rPr>
        <w:t>/</w:t>
      </w:r>
      <w:r>
        <w:rPr>
          <w:lang w:eastAsia="zh-CN"/>
        </w:rPr>
        <w:t>反对恐怖主义资金筹集规定的纪律处分</w:t>
      </w:r>
    </w:p>
    <w:p w:rsidR="0037202D" w:rsidRDefault="006800E0">
      <w:pPr>
        <w:pStyle w:val="BodyText"/>
        <w:rPr>
          <w:lang w:eastAsia="zh-CN"/>
        </w:rPr>
      </w:pPr>
      <w:r>
        <w:rPr>
          <w:lang w:eastAsia="zh-CN"/>
        </w:rPr>
        <w:t>证监会认为，茂宸证券的违规行为是由于其确保设有合适的保障措施，借以在识别和处理第三方存款时减低洗钱及恐怖分子资金筹集的风险。该证券行应该有足够的政策和程序来识别第三方存款，但茂宸证券在很长一段时间内（自</w:t>
      </w:r>
      <w:r>
        <w:rPr>
          <w:lang w:eastAsia="zh-CN"/>
        </w:rPr>
        <w:t>2009</w:t>
      </w:r>
      <w:r>
        <w:rPr>
          <w:lang w:eastAsia="zh-CN"/>
        </w:rPr>
        <w:t>年以来）没有采取任何此类措施。</w:t>
      </w:r>
    </w:p>
    <w:p w:rsidR="0037202D" w:rsidRDefault="006800E0">
      <w:pPr>
        <w:pStyle w:val="BodyText"/>
        <w:rPr>
          <w:lang w:eastAsia="zh-CN"/>
        </w:rPr>
      </w:pPr>
      <w:r>
        <w:rPr>
          <w:lang w:eastAsia="zh-CN"/>
        </w:rPr>
        <w:t>为开创先例，阻止市场上类似失当行为，证监会谴责并罚款茂宸证券</w:t>
      </w:r>
      <w:r>
        <w:rPr>
          <w:lang w:eastAsia="zh-CN"/>
        </w:rPr>
        <w:t>36</w:t>
      </w:r>
      <w:r>
        <w:rPr>
          <w:lang w:eastAsia="zh-CN"/>
        </w:rPr>
        <w:t>0</w:t>
      </w:r>
      <w:r>
        <w:rPr>
          <w:lang w:eastAsia="zh-CN"/>
        </w:rPr>
        <w:t>万元。</w:t>
      </w:r>
    </w:p>
    <w:p w:rsidR="0037202D" w:rsidRDefault="006800E0">
      <w:pPr>
        <w:pStyle w:val="BodyText"/>
        <w:rPr>
          <w:lang w:eastAsia="zh-CN"/>
        </w:rPr>
      </w:pPr>
      <w:r>
        <w:rPr>
          <w:lang w:eastAsia="zh-CN"/>
        </w:rPr>
        <w:t>证监会因个人挪用投资者款项禁止其终身重投业界</w:t>
      </w:r>
      <w:hyperlink w:anchor="footnote-598-7">
        <w:r>
          <w:rPr>
            <w:vertAlign w:val="superscript"/>
            <w:lang w:eastAsia="zh-CN"/>
          </w:rPr>
          <w:t>7</w:t>
        </w:r>
      </w:hyperlink>
    </w:p>
    <w:p w:rsidR="0037202D" w:rsidRDefault="006800E0">
      <w:pPr>
        <w:pStyle w:val="BodyText"/>
        <w:rPr>
          <w:lang w:eastAsia="zh-CN"/>
        </w:rPr>
      </w:pPr>
      <w:r>
        <w:rPr>
          <w:lang w:eastAsia="zh-CN"/>
        </w:rPr>
        <w:lastRenderedPageBreak/>
        <w:t>证监会发现潘振庆（</w:t>
      </w:r>
      <w:r>
        <w:rPr>
          <w:b/>
          <w:lang w:eastAsia="zh-CN"/>
        </w:rPr>
        <w:t>潘先生</w:t>
      </w:r>
      <w:r>
        <w:rPr>
          <w:lang w:eastAsia="zh-CN"/>
        </w:rPr>
        <w:t>）在</w:t>
      </w:r>
      <w:r>
        <w:rPr>
          <w:lang w:eastAsia="zh-CN"/>
        </w:rPr>
        <w:t>2015</w:t>
      </w:r>
      <w:r>
        <w:rPr>
          <w:lang w:eastAsia="zh-CN"/>
        </w:rPr>
        <w:t>年</w:t>
      </w:r>
      <w:r>
        <w:rPr>
          <w:lang w:eastAsia="zh-CN"/>
        </w:rPr>
        <w:t>5</w:t>
      </w:r>
      <w:r>
        <w:rPr>
          <w:lang w:eastAsia="zh-CN"/>
        </w:rPr>
        <w:t>月至</w:t>
      </w:r>
      <w:r>
        <w:rPr>
          <w:lang w:eastAsia="zh-CN"/>
        </w:rPr>
        <w:t>2017</w:t>
      </w:r>
      <w:r>
        <w:rPr>
          <w:lang w:eastAsia="zh-CN"/>
        </w:rPr>
        <w:t>年</w:t>
      </w:r>
      <w:r>
        <w:rPr>
          <w:lang w:eastAsia="zh-CN"/>
        </w:rPr>
        <w:t>9</w:t>
      </w:r>
      <w:r>
        <w:rPr>
          <w:lang w:eastAsia="zh-CN"/>
        </w:rPr>
        <w:t>月期间，挪用两名曾出席由他任教的财务策划或会计课程的学员合共</w:t>
      </w:r>
      <w:r>
        <w:rPr>
          <w:lang w:eastAsia="zh-CN"/>
        </w:rPr>
        <w:t>160,000</w:t>
      </w:r>
      <w:r>
        <w:rPr>
          <w:lang w:eastAsia="zh-CN"/>
        </w:rPr>
        <w:t>元的款项。潘先生与投资者签订投资相关的协议但未进行证券及期货投资，相反，其挪用款项作私人用途及</w:t>
      </w:r>
      <w:r>
        <w:rPr>
          <w:lang w:eastAsia="zh-CN"/>
        </w:rPr>
        <w:t>/</w:t>
      </w:r>
      <w:r>
        <w:rPr>
          <w:lang w:eastAsia="zh-CN"/>
        </w:rPr>
        <w:t>或取出款项。</w:t>
      </w:r>
    </w:p>
    <w:p w:rsidR="0037202D" w:rsidRDefault="006800E0">
      <w:pPr>
        <w:pStyle w:val="BodyText"/>
        <w:rPr>
          <w:lang w:eastAsia="zh-CN"/>
        </w:rPr>
      </w:pPr>
      <w:r>
        <w:rPr>
          <w:lang w:eastAsia="zh-CN"/>
        </w:rPr>
        <w:t>证监会对于挪用款项的纪律处分</w:t>
      </w:r>
    </w:p>
    <w:p w:rsidR="0037202D" w:rsidRDefault="006800E0">
      <w:pPr>
        <w:pStyle w:val="BodyText"/>
        <w:rPr>
          <w:lang w:eastAsia="zh-CN"/>
        </w:rPr>
      </w:pPr>
      <w:r>
        <w:rPr>
          <w:lang w:eastAsia="zh-CN"/>
        </w:rPr>
        <w:t>鉴于潘的不诚实行为，令人对他的诚实及品格产生极大怀疑，鉴于他的行为的严重性，证监会认为他并非担任受规管人士的适当人选，禁止其终身进入业界。</w:t>
      </w:r>
    </w:p>
    <w:p w:rsidR="0037202D" w:rsidRDefault="006800E0">
      <w:pPr>
        <w:pStyle w:val="BodyText"/>
        <w:rPr>
          <w:lang w:eastAsia="zh-CN"/>
        </w:rPr>
      </w:pPr>
      <w:r>
        <w:rPr>
          <w:lang w:eastAsia="zh-CN"/>
        </w:rPr>
        <w:t>证监会禁止持牌银行总监王郁晴重投业界十年</w:t>
      </w:r>
      <w:hyperlink w:anchor="footnote-598-8">
        <w:r>
          <w:rPr>
            <w:vertAlign w:val="superscript"/>
            <w:lang w:eastAsia="zh-CN"/>
          </w:rPr>
          <w:t>8</w:t>
        </w:r>
      </w:hyperlink>
    </w:p>
    <w:p w:rsidR="0037202D" w:rsidRDefault="006800E0">
      <w:pPr>
        <w:pStyle w:val="BodyText"/>
        <w:rPr>
          <w:lang w:eastAsia="zh-CN"/>
        </w:rPr>
      </w:pPr>
      <w:r>
        <w:rPr>
          <w:lang w:eastAsia="zh-CN"/>
        </w:rPr>
        <w:t>证监会发现王郁晴（</w:t>
      </w:r>
      <w:r>
        <w:rPr>
          <w:b/>
          <w:lang w:eastAsia="zh-CN"/>
        </w:rPr>
        <w:t>王小姐</w:t>
      </w:r>
      <w:r>
        <w:rPr>
          <w:lang w:eastAsia="zh-CN"/>
        </w:rPr>
        <w:t>），为新加坡银行（</w:t>
      </w:r>
      <w:r>
        <w:rPr>
          <w:lang w:eastAsia="zh-CN"/>
        </w:rPr>
        <w:t>Bank of Singapore</w:t>
      </w:r>
      <w:r>
        <w:rPr>
          <w:lang w:eastAsia="zh-CN"/>
        </w:rPr>
        <w:t>，简称</w:t>
      </w:r>
      <w:r>
        <w:rPr>
          <w:b/>
          <w:lang w:eastAsia="zh-CN"/>
        </w:rPr>
        <w:t>BOS</w:t>
      </w:r>
      <w:r>
        <w:rPr>
          <w:lang w:eastAsia="zh-CN"/>
        </w:rPr>
        <w:t>）及</w:t>
      </w:r>
      <w:r>
        <w:rPr>
          <w:lang w:eastAsia="zh-CN"/>
        </w:rPr>
        <w:t>Bank Julius Baer &amp; Co. Ltd</w:t>
      </w:r>
      <w:r>
        <w:rPr>
          <w:lang w:eastAsia="zh-CN"/>
        </w:rPr>
        <w:t>（</w:t>
      </w:r>
      <w:r>
        <w:rPr>
          <w:b/>
          <w:lang w:eastAsia="zh-CN"/>
        </w:rPr>
        <w:t>BJB</w:t>
      </w:r>
      <w:r>
        <w:rPr>
          <w:lang w:eastAsia="zh-CN"/>
        </w:rPr>
        <w:t>）前高级客户关系经理及总监及进行第</w:t>
      </w:r>
      <w:r>
        <w:rPr>
          <w:lang w:eastAsia="zh-CN"/>
        </w:rPr>
        <w:t>1</w:t>
      </w:r>
      <w:r>
        <w:rPr>
          <w:lang w:eastAsia="zh-CN"/>
        </w:rPr>
        <w:t>类（证券交易）及第</w:t>
      </w:r>
      <w:r>
        <w:rPr>
          <w:lang w:eastAsia="zh-CN"/>
        </w:rPr>
        <w:t>4</w:t>
      </w:r>
      <w:r>
        <w:rPr>
          <w:lang w:eastAsia="zh-CN"/>
        </w:rPr>
        <w:t>类（就证券提供意见）受规管活动的注册人士，王为</w:t>
      </w:r>
      <w:r>
        <w:rPr>
          <w:lang w:eastAsia="zh-CN"/>
        </w:rPr>
        <w:t>了支持其求职申请，分别在</w:t>
      </w:r>
      <w:r>
        <w:rPr>
          <w:lang w:eastAsia="zh-CN"/>
        </w:rPr>
        <w:t>2012</w:t>
      </w:r>
      <w:r>
        <w:rPr>
          <w:lang w:eastAsia="zh-CN"/>
        </w:rPr>
        <w:t>年及</w:t>
      </w:r>
      <w:r>
        <w:rPr>
          <w:lang w:eastAsia="zh-CN"/>
        </w:rPr>
        <w:t>2018</w:t>
      </w:r>
      <w:r>
        <w:rPr>
          <w:lang w:eastAsia="zh-CN"/>
        </w:rPr>
        <w:t>年就其学术资历向</w:t>
      </w:r>
      <w:r>
        <w:rPr>
          <w:lang w:eastAsia="zh-CN"/>
        </w:rPr>
        <w:t>BJB</w:t>
      </w:r>
      <w:r>
        <w:rPr>
          <w:lang w:eastAsia="zh-CN"/>
        </w:rPr>
        <w:t>及</w:t>
      </w:r>
      <w:r>
        <w:rPr>
          <w:lang w:eastAsia="zh-CN"/>
        </w:rPr>
        <w:t>BOS</w:t>
      </w:r>
      <w:r>
        <w:rPr>
          <w:lang w:eastAsia="zh-CN"/>
        </w:rPr>
        <w:t>作出失实陈述。她亦在</w:t>
      </w:r>
      <w:r>
        <w:rPr>
          <w:lang w:eastAsia="zh-CN"/>
        </w:rPr>
        <w:t>2019</w:t>
      </w:r>
      <w:r>
        <w:rPr>
          <w:lang w:eastAsia="zh-CN"/>
        </w:rPr>
        <w:t>年多次向</w:t>
      </w:r>
      <w:r>
        <w:rPr>
          <w:lang w:eastAsia="zh-CN"/>
        </w:rPr>
        <w:t>BOS</w:t>
      </w:r>
      <w:r>
        <w:rPr>
          <w:lang w:eastAsia="zh-CN"/>
        </w:rPr>
        <w:t>出示虚假学位证书的副本。</w:t>
      </w:r>
    </w:p>
    <w:p w:rsidR="0037202D" w:rsidRDefault="006800E0">
      <w:pPr>
        <w:pStyle w:val="BodyText"/>
        <w:rPr>
          <w:lang w:eastAsia="zh-CN"/>
        </w:rPr>
      </w:pPr>
      <w:r>
        <w:rPr>
          <w:lang w:eastAsia="zh-CN"/>
        </w:rPr>
        <w:t>证监会对于失实陈述学术资历的纪律处分</w:t>
      </w:r>
    </w:p>
    <w:p w:rsidR="0037202D" w:rsidRDefault="006800E0">
      <w:pPr>
        <w:pStyle w:val="BodyText"/>
        <w:rPr>
          <w:lang w:eastAsia="zh-CN"/>
        </w:rPr>
      </w:pPr>
      <w:r>
        <w:rPr>
          <w:lang w:eastAsia="zh-CN"/>
        </w:rPr>
        <w:t>证监会认为王并非作为受规管人士的适当人选，</w:t>
      </w:r>
      <w:r>
        <w:rPr>
          <w:lang w:eastAsia="zh-CN"/>
        </w:rPr>
        <w:t xml:space="preserve"> </w:t>
      </w:r>
      <w:r>
        <w:rPr>
          <w:lang w:eastAsia="zh-CN"/>
        </w:rPr>
        <w:t>因其不诚实的行为，证监会禁止其重投业界十年。</w:t>
      </w:r>
    </w:p>
    <w:p w:rsidR="0037202D" w:rsidRDefault="006800E0">
      <w:pPr>
        <w:pStyle w:val="BodyText"/>
        <w:rPr>
          <w:lang w:eastAsia="zh-CN"/>
        </w:rPr>
      </w:pPr>
      <w:r>
        <w:rPr>
          <w:lang w:eastAsia="zh-CN"/>
        </w:rPr>
        <w:t>联交所对博尼国际控股有限公司及其两名董事违反联交所《上市规则》采取的纪律行动</w:t>
      </w:r>
      <w:hyperlink w:anchor="footnote-598-9">
        <w:r>
          <w:rPr>
            <w:vertAlign w:val="superscript"/>
            <w:lang w:eastAsia="zh-CN"/>
          </w:rPr>
          <w:t>9</w:t>
        </w:r>
      </w:hyperlink>
    </w:p>
    <w:p w:rsidR="0037202D" w:rsidRDefault="006800E0">
      <w:pPr>
        <w:pStyle w:val="BodyText"/>
        <w:rPr>
          <w:lang w:eastAsia="zh-CN"/>
        </w:rPr>
      </w:pPr>
      <w:r>
        <w:rPr>
          <w:lang w:eastAsia="zh-CN"/>
        </w:rPr>
        <w:t>联交所发现博尼国际控股有限公司违反了联交所《上市规则》，其按照这些采购协议向关联方支付了巨额预付款，实际上构成向该关连方提供财务资助及贷款。</w:t>
      </w:r>
    </w:p>
    <w:p w:rsidR="0037202D" w:rsidRDefault="006800E0">
      <w:pPr>
        <w:pStyle w:val="BodyText"/>
        <w:rPr>
          <w:lang w:eastAsia="zh-CN"/>
        </w:rPr>
      </w:pPr>
      <w:r>
        <w:rPr>
          <w:lang w:eastAsia="zh-CN"/>
        </w:rPr>
        <w:t>博尼国际控股有限公司执行董事金国军（</w:t>
      </w:r>
      <w:r>
        <w:rPr>
          <w:b/>
          <w:lang w:eastAsia="zh-CN"/>
        </w:rPr>
        <w:t>金先生</w:t>
      </w:r>
      <w:r>
        <w:rPr>
          <w:lang w:eastAsia="zh-CN"/>
        </w:rPr>
        <w:t>）及赵辉（</w:t>
      </w:r>
      <w:r>
        <w:rPr>
          <w:b/>
          <w:lang w:eastAsia="zh-CN"/>
        </w:rPr>
        <w:t>赵先生</w:t>
      </w:r>
      <w:r>
        <w:rPr>
          <w:lang w:eastAsia="zh-CN"/>
        </w:rPr>
        <w:t>）负责处理上述预付款，联交所发现其违反受信责任，未有充分保障资产及确保公司遵守联交所《上市规则》。</w:t>
      </w:r>
    </w:p>
    <w:p w:rsidR="0037202D" w:rsidRDefault="006800E0">
      <w:pPr>
        <w:pStyle w:val="BodyText"/>
        <w:rPr>
          <w:lang w:eastAsia="zh-CN"/>
        </w:rPr>
      </w:pPr>
      <w:r>
        <w:rPr>
          <w:lang w:eastAsia="zh-CN"/>
        </w:rPr>
        <w:t>给予某实体的贷款及对关联方的金融援助的预付款总额</w:t>
      </w:r>
    </w:p>
    <w:p w:rsidR="0037202D" w:rsidRDefault="006800E0">
      <w:pPr>
        <w:pStyle w:val="BodyText"/>
        <w:rPr>
          <w:lang w:eastAsia="zh-CN"/>
        </w:rPr>
      </w:pPr>
      <w:r>
        <w:rPr>
          <w:lang w:eastAsia="zh-CN"/>
        </w:rPr>
        <w:t>博尼国际控股有限公司与浙江德施普新材料科技有限公司（</w:t>
      </w:r>
      <w:r>
        <w:rPr>
          <w:b/>
          <w:lang w:eastAsia="zh-CN"/>
        </w:rPr>
        <w:t>德施普</w:t>
      </w:r>
      <w:r>
        <w:rPr>
          <w:lang w:eastAsia="zh-CN"/>
        </w:rPr>
        <w:t>）订立了</w:t>
      </w:r>
      <w:r>
        <w:rPr>
          <w:lang w:eastAsia="zh-CN"/>
        </w:rPr>
        <w:t>51</w:t>
      </w:r>
      <w:r>
        <w:rPr>
          <w:lang w:eastAsia="zh-CN"/>
        </w:rPr>
        <w:t>份采购协议（</w:t>
      </w:r>
      <w:r>
        <w:rPr>
          <w:b/>
          <w:lang w:eastAsia="zh-CN"/>
        </w:rPr>
        <w:t>协议</w:t>
      </w:r>
      <w:r>
        <w:rPr>
          <w:lang w:eastAsia="zh-CN"/>
        </w:rPr>
        <w:t>），博尼国际控股有限公司预付了德施普约人民币</w:t>
      </w:r>
      <w:r>
        <w:rPr>
          <w:lang w:eastAsia="zh-CN"/>
        </w:rPr>
        <w:t>2.508</w:t>
      </w:r>
      <w:r>
        <w:rPr>
          <w:lang w:eastAsia="zh-CN"/>
        </w:rPr>
        <w:t>亿元（</w:t>
      </w:r>
      <w:r>
        <w:rPr>
          <w:b/>
          <w:lang w:eastAsia="zh-CN"/>
        </w:rPr>
        <w:t>预付款</w:t>
      </w:r>
      <w:r>
        <w:rPr>
          <w:lang w:eastAsia="zh-CN"/>
        </w:rPr>
        <w:t>）。德施普</w:t>
      </w:r>
      <w:r>
        <w:rPr>
          <w:lang w:eastAsia="zh-CN"/>
        </w:rPr>
        <w:t>为金先生的联系人，因此属博尼国际控股有限公司的关连人士。</w:t>
      </w:r>
      <w:r>
        <w:rPr>
          <w:lang w:eastAsia="zh-CN"/>
        </w:rPr>
        <w:t>51</w:t>
      </w:r>
      <w:r>
        <w:rPr>
          <w:lang w:eastAsia="zh-CN"/>
        </w:rPr>
        <w:t>份采购协议中有</w:t>
      </w:r>
      <w:r>
        <w:rPr>
          <w:lang w:eastAsia="zh-CN"/>
        </w:rPr>
        <w:t>35</w:t>
      </w:r>
      <w:r>
        <w:rPr>
          <w:lang w:eastAsia="zh-CN"/>
        </w:rPr>
        <w:t>份在订立后不久便被取消（只有</w:t>
      </w:r>
      <w:r>
        <w:rPr>
          <w:lang w:eastAsia="zh-CN"/>
        </w:rPr>
        <w:t>31%</w:t>
      </w:r>
      <w:r>
        <w:rPr>
          <w:lang w:eastAsia="zh-CN"/>
        </w:rPr>
        <w:t>的订单完成），德施普为此向该公司退还了约人民币</w:t>
      </w:r>
      <w:r>
        <w:rPr>
          <w:lang w:eastAsia="zh-CN"/>
        </w:rPr>
        <w:t>2.206</w:t>
      </w:r>
      <w:r>
        <w:rPr>
          <w:lang w:eastAsia="zh-CN"/>
        </w:rPr>
        <w:t>亿元的预付款。</w:t>
      </w:r>
    </w:p>
    <w:p w:rsidR="0037202D" w:rsidRDefault="006800E0">
      <w:pPr>
        <w:pStyle w:val="BodyText"/>
        <w:rPr>
          <w:lang w:eastAsia="zh-CN"/>
        </w:rPr>
      </w:pPr>
      <w:r>
        <w:rPr>
          <w:lang w:eastAsia="zh-CN"/>
        </w:rPr>
        <w:t>联交所认为预付款构成「给予某实体的贷款」，根据《上市规则》第</w:t>
      </w:r>
      <w:r>
        <w:rPr>
          <w:lang w:eastAsia="zh-CN"/>
        </w:rPr>
        <w:t>13</w:t>
      </w:r>
      <w:r>
        <w:rPr>
          <w:lang w:eastAsia="zh-CN"/>
        </w:rPr>
        <w:t>章须予披露及关连交易，因其：</w:t>
      </w:r>
      <w:r>
        <w:rPr>
          <w:lang w:eastAsia="zh-CN"/>
        </w:rPr>
        <w:t>(1)</w:t>
      </w:r>
      <w:r>
        <w:rPr>
          <w:lang w:eastAsia="zh-CN"/>
        </w:rPr>
        <w:t>预付款金额巨大（几乎购买订单的全部预付款都支付给德施普，尽管只有</w:t>
      </w:r>
      <w:r>
        <w:rPr>
          <w:lang w:eastAsia="zh-CN"/>
        </w:rPr>
        <w:t>31%</w:t>
      </w:r>
      <w:r>
        <w:rPr>
          <w:lang w:eastAsia="zh-CN"/>
        </w:rPr>
        <w:t>订单完成）；</w:t>
      </w:r>
      <w:r>
        <w:rPr>
          <w:lang w:eastAsia="zh-CN"/>
        </w:rPr>
        <w:t>(2)</w:t>
      </w:r>
      <w:r>
        <w:rPr>
          <w:lang w:eastAsia="zh-CN"/>
        </w:rPr>
        <w:t>根据上市前的订单数据，采购订单数量远远超出博尼国际控股有限公司之前在其正常业务过程中发出的采购订单数量；</w:t>
      </w:r>
      <w:r>
        <w:rPr>
          <w:lang w:eastAsia="zh-CN"/>
        </w:rPr>
        <w:t>(3)</w:t>
      </w:r>
      <w:r>
        <w:rPr>
          <w:lang w:eastAsia="zh-CN"/>
        </w:rPr>
        <w:t>有关的订单频频取消，而且大多是在</w:t>
      </w:r>
      <w:r>
        <w:rPr>
          <w:lang w:eastAsia="zh-CN"/>
        </w:rPr>
        <w:t>协议签订后不久便已被取消；及</w:t>
      </w:r>
      <w:r>
        <w:rPr>
          <w:lang w:eastAsia="zh-CN"/>
        </w:rPr>
        <w:t xml:space="preserve">(4) </w:t>
      </w:r>
      <w:r>
        <w:rPr>
          <w:lang w:eastAsia="zh-CN"/>
        </w:rPr>
        <w:t>订单取消后，德施普经过很长时间才退还预付款，最长的退款期为</w:t>
      </w:r>
      <w:r>
        <w:rPr>
          <w:lang w:eastAsia="zh-CN"/>
        </w:rPr>
        <w:t>183</w:t>
      </w:r>
      <w:r>
        <w:rPr>
          <w:lang w:eastAsia="zh-CN"/>
        </w:rPr>
        <w:t>天。</w:t>
      </w:r>
    </w:p>
    <w:p w:rsidR="0037202D" w:rsidRDefault="006800E0">
      <w:pPr>
        <w:pStyle w:val="BodyText"/>
        <w:rPr>
          <w:lang w:eastAsia="zh-CN"/>
        </w:rPr>
      </w:pPr>
      <w:r>
        <w:rPr>
          <w:lang w:eastAsia="zh-CN"/>
        </w:rPr>
        <w:t>证监会对于违反联交所《上市规则》及董事诚信责任的纪律处分</w:t>
      </w:r>
    </w:p>
    <w:p w:rsidR="0037202D" w:rsidRDefault="006800E0">
      <w:pPr>
        <w:pStyle w:val="BodyText"/>
        <w:rPr>
          <w:lang w:eastAsia="zh-CN"/>
        </w:rPr>
      </w:pPr>
      <w:r>
        <w:rPr>
          <w:lang w:eastAsia="zh-CN"/>
        </w:rPr>
        <w:t>执行董事金先生及赵先生虽知悉并负责处理上述预付款，但没有将此事告知董事会或获得交易批准。博尼国际控股有限公司没有遵守联交所《上市规则》第十三、十四和十四</w:t>
      </w:r>
      <w:r>
        <w:rPr>
          <w:lang w:eastAsia="zh-CN"/>
        </w:rPr>
        <w:t>A</w:t>
      </w:r>
      <w:r>
        <w:rPr>
          <w:lang w:eastAsia="zh-CN"/>
        </w:rPr>
        <w:t>章有关公告、通函、独立股东批准及汇报的规定。董事应熟悉联交所《上市规则》，并在适当的情况下，应寻求专业建议和</w:t>
      </w:r>
      <w:r>
        <w:rPr>
          <w:lang w:eastAsia="zh-CN"/>
        </w:rPr>
        <w:t>/</w:t>
      </w:r>
      <w:r>
        <w:rPr>
          <w:lang w:eastAsia="zh-CN"/>
        </w:rPr>
        <w:t>或进一步澄清，以履行其对公司的诚信责任。</w:t>
      </w:r>
    </w:p>
    <w:p w:rsidR="0037202D" w:rsidRDefault="006800E0">
      <w:pPr>
        <w:pStyle w:val="BodyText"/>
        <w:rPr>
          <w:lang w:eastAsia="zh-CN"/>
        </w:rPr>
      </w:pPr>
      <w:r>
        <w:rPr>
          <w:lang w:eastAsia="zh-CN"/>
        </w:rPr>
        <w:t>联交所公开谴责博尼国际控股有限公司及其董事</w:t>
      </w:r>
      <w:r>
        <w:rPr>
          <w:lang w:eastAsia="zh-CN"/>
        </w:rPr>
        <w:t>，并进一步指令相关董事各接受有关法律及监管议题（包括《上市规则》合规事宜）的培训。</w:t>
      </w:r>
    </w:p>
    <w:p w:rsidR="0037202D" w:rsidRDefault="006800E0">
      <w:pPr>
        <w:pStyle w:val="BodyText"/>
        <w:rPr>
          <w:lang w:eastAsia="zh-CN"/>
        </w:rPr>
      </w:pPr>
      <w:r>
        <w:rPr>
          <w:lang w:eastAsia="zh-CN"/>
        </w:rPr>
        <w:t>证监会对浙江展望股份有限公司、</w:t>
      </w:r>
      <w:r>
        <w:rPr>
          <w:lang w:eastAsia="zh-CN"/>
        </w:rPr>
        <w:t>10</w:t>
      </w:r>
      <w:r>
        <w:rPr>
          <w:lang w:eastAsia="zh-CN"/>
        </w:rPr>
        <w:t>名董事及</w:t>
      </w:r>
      <w:r>
        <w:rPr>
          <w:lang w:eastAsia="zh-CN"/>
        </w:rPr>
        <w:t>5</w:t>
      </w:r>
      <w:r>
        <w:rPr>
          <w:lang w:eastAsia="zh-CN"/>
        </w:rPr>
        <w:t>名监事采取的纪律行动</w:t>
      </w:r>
      <w:hyperlink w:anchor="footnote-598-10">
        <w:r>
          <w:rPr>
            <w:vertAlign w:val="superscript"/>
            <w:lang w:eastAsia="zh-CN"/>
          </w:rPr>
          <w:t>10</w:t>
        </w:r>
      </w:hyperlink>
    </w:p>
    <w:p w:rsidR="0037202D" w:rsidRDefault="006800E0">
      <w:pPr>
        <w:pStyle w:val="BodyText"/>
        <w:rPr>
          <w:lang w:eastAsia="zh-CN"/>
        </w:rPr>
      </w:pPr>
      <w:r>
        <w:rPr>
          <w:lang w:eastAsia="zh-CN"/>
        </w:rPr>
        <w:lastRenderedPageBreak/>
        <w:t>联交所发现</w:t>
      </w:r>
      <w:r>
        <w:rPr>
          <w:lang w:eastAsia="zh-CN"/>
        </w:rPr>
        <w:t>2017</w:t>
      </w:r>
      <w:r>
        <w:rPr>
          <w:lang w:eastAsia="zh-CN"/>
        </w:rPr>
        <w:t>至</w:t>
      </w:r>
      <w:r>
        <w:rPr>
          <w:lang w:eastAsia="zh-CN"/>
        </w:rPr>
        <w:t>2018</w:t>
      </w:r>
      <w:r>
        <w:rPr>
          <w:lang w:eastAsia="zh-CN"/>
        </w:rPr>
        <w:t>年间，浙江展望股份有限公司达成了</w:t>
      </w:r>
      <w:r>
        <w:rPr>
          <w:lang w:eastAsia="zh-CN"/>
        </w:rPr>
        <w:t>28</w:t>
      </w:r>
      <w:r>
        <w:rPr>
          <w:lang w:eastAsia="zh-CN"/>
        </w:rPr>
        <w:t>宗关于购买钢材及</w:t>
      </w:r>
      <w:r>
        <w:rPr>
          <w:lang w:eastAsia="zh-CN"/>
        </w:rPr>
        <w:t>/</w:t>
      </w:r>
      <w:r>
        <w:rPr>
          <w:lang w:eastAsia="zh-CN"/>
        </w:rPr>
        <w:t>或银行承兑汇票（</w:t>
      </w:r>
      <w:r>
        <w:rPr>
          <w:b/>
          <w:lang w:eastAsia="zh-CN"/>
        </w:rPr>
        <w:t>交易</w:t>
      </w:r>
      <w:r>
        <w:rPr>
          <w:lang w:eastAsia="zh-CN"/>
        </w:rPr>
        <w:t>）的交易，其中涉及通过预付或保证金的方式流出人民币</w:t>
      </w:r>
      <w:r>
        <w:rPr>
          <w:lang w:eastAsia="zh-CN"/>
        </w:rPr>
        <w:t>3.654</w:t>
      </w:r>
      <w:r>
        <w:rPr>
          <w:lang w:eastAsia="zh-CN"/>
        </w:rPr>
        <w:t>亿元，其中部分交易对手方是浙江展望股份有限公司的关连人士或关联方。</w:t>
      </w:r>
    </w:p>
    <w:p w:rsidR="0037202D" w:rsidRDefault="006800E0">
      <w:pPr>
        <w:pStyle w:val="BodyText"/>
        <w:rPr>
          <w:lang w:eastAsia="zh-CN"/>
        </w:rPr>
      </w:pPr>
      <w:r>
        <w:rPr>
          <w:lang w:eastAsia="zh-CN"/>
        </w:rPr>
        <w:t>所有交易均在一个月内便告取消，对手方将预付款或保证金</w:t>
      </w:r>
      <w:r>
        <w:rPr>
          <w:lang w:eastAsia="zh-CN"/>
        </w:rPr>
        <w:t>亦退还给浙江展望股份有限公司。联交所发现，交易的总体效果类似于浙江展望股份有限公司向交易对手方提供循环贷款。特别是，其中四笔交易在浙江展望股份有限公司的银行对账单中被标记为</w:t>
      </w:r>
      <w:r>
        <w:rPr>
          <w:lang w:eastAsia="zh-CN"/>
        </w:rPr>
        <w:t>“</w:t>
      </w:r>
      <w:r>
        <w:rPr>
          <w:lang w:eastAsia="zh-CN"/>
        </w:rPr>
        <w:t>贷款</w:t>
      </w:r>
      <w:r>
        <w:rPr>
          <w:lang w:eastAsia="zh-CN"/>
        </w:rPr>
        <w:t>”</w:t>
      </w:r>
      <w:r>
        <w:rPr>
          <w:lang w:eastAsia="zh-CN"/>
        </w:rPr>
        <w:t>。</w:t>
      </w:r>
    </w:p>
    <w:p w:rsidR="0037202D" w:rsidRDefault="006800E0">
      <w:pPr>
        <w:pStyle w:val="BodyText"/>
        <w:rPr>
          <w:lang w:eastAsia="zh-CN"/>
        </w:rPr>
      </w:pPr>
      <w:r>
        <w:rPr>
          <w:lang w:eastAsia="zh-CN"/>
        </w:rPr>
        <w:t>GEM</w:t>
      </w:r>
      <w:r>
        <w:rPr>
          <w:lang w:eastAsia="zh-CN"/>
        </w:rPr>
        <w:t>上市委员会对违反规定的调查结果</w:t>
      </w:r>
    </w:p>
    <w:p w:rsidR="0037202D" w:rsidRDefault="006800E0">
      <w:pPr>
        <w:pStyle w:val="BodyText"/>
        <w:rPr>
          <w:lang w:eastAsia="zh-CN"/>
        </w:rPr>
      </w:pPr>
      <w:r>
        <w:rPr>
          <w:lang w:eastAsia="zh-CN"/>
        </w:rPr>
        <w:t>该交易由浙江展望股份有限公司的执行董事费国杨（费先生）审批，但未汇报董事会。此外其未采取合适的步骤确保符合《</w:t>
      </w:r>
      <w:r>
        <w:rPr>
          <w:lang w:eastAsia="zh-CN"/>
        </w:rPr>
        <w:t>GEM</w:t>
      </w:r>
      <w:r>
        <w:rPr>
          <w:lang w:eastAsia="zh-CN"/>
        </w:rPr>
        <w:t>上市规则》，造成浙江展望股份有限公司在以下方面的缺失：</w:t>
      </w:r>
      <w:r>
        <w:rPr>
          <w:lang w:eastAsia="zh-CN"/>
        </w:rPr>
        <w:t>(1)</w:t>
      </w:r>
      <w:r>
        <w:rPr>
          <w:lang w:eastAsia="zh-CN"/>
        </w:rPr>
        <w:t>包括该公司进行交易须遵守的《</w:t>
      </w:r>
      <w:r>
        <w:rPr>
          <w:lang w:eastAsia="zh-CN"/>
        </w:rPr>
        <w:t>GEM</w:t>
      </w:r>
      <w:r>
        <w:rPr>
          <w:lang w:eastAsia="zh-CN"/>
        </w:rPr>
        <w:t>上市规则》规定事宜咨询专业顾问意见；</w:t>
      </w:r>
      <w:r>
        <w:rPr>
          <w:lang w:eastAsia="zh-CN"/>
        </w:rPr>
        <w:t>(2)</w:t>
      </w:r>
      <w:r>
        <w:rPr>
          <w:lang w:eastAsia="zh-CN"/>
        </w:rPr>
        <w:t>遵守公告、通函、股东批准的规定；及</w:t>
      </w:r>
      <w:r>
        <w:rPr>
          <w:lang w:eastAsia="zh-CN"/>
        </w:rPr>
        <w:t>(3)</w:t>
      </w:r>
      <w:r>
        <w:rPr>
          <w:lang w:eastAsia="zh-CN"/>
        </w:rPr>
        <w:t>在进行交易后，按要求向其股东发布各种财务结果和年度报告。</w:t>
      </w:r>
    </w:p>
    <w:p w:rsidR="0037202D" w:rsidRDefault="006800E0">
      <w:pPr>
        <w:pStyle w:val="BodyText"/>
        <w:rPr>
          <w:lang w:eastAsia="zh-CN"/>
        </w:rPr>
      </w:pPr>
      <w:r>
        <w:rPr>
          <w:lang w:eastAsia="zh-CN"/>
        </w:rPr>
        <w:t>因此，董事未能履行其董事在利益冲突和公司内部控制的有效性方面的职责。</w:t>
      </w:r>
    </w:p>
    <w:p w:rsidR="0037202D" w:rsidRDefault="006800E0">
      <w:pPr>
        <w:pStyle w:val="BodyText"/>
        <w:rPr>
          <w:lang w:eastAsia="zh-CN"/>
        </w:rPr>
      </w:pPr>
      <w:r>
        <w:rPr>
          <w:lang w:eastAsia="zh-CN"/>
        </w:rPr>
        <w:t>GEM</w:t>
      </w:r>
      <w:r>
        <w:rPr>
          <w:lang w:eastAsia="zh-CN"/>
        </w:rPr>
        <w:t>上市委员会的纪律处分</w:t>
      </w:r>
    </w:p>
    <w:p w:rsidR="0037202D" w:rsidRDefault="006800E0">
      <w:pPr>
        <w:pStyle w:val="BodyText"/>
        <w:rPr>
          <w:lang w:eastAsia="zh-CN"/>
        </w:rPr>
      </w:pPr>
      <w:r>
        <w:rPr>
          <w:lang w:eastAsia="zh-CN"/>
        </w:rPr>
        <w:t>联交所公开谴责浙江展望股份有限公司及其董事，并声明，如一些董事（包括费先生）仍继续留任，将会损害投资者的利益。其中两名董事还被指令参加董事的培训。</w:t>
      </w:r>
    </w:p>
    <w:p w:rsidR="0037202D" w:rsidRDefault="006800E0" w:rsidP="006800E0">
      <w:pPr>
        <w:pStyle w:val="BodyText"/>
        <w:jc w:val="left"/>
      </w:pPr>
      <w:hyperlink w:anchor="footnote-598-1-backlink">
        <w:r>
          <w:t>1</w:t>
        </w:r>
      </w:hyperlink>
      <w:r>
        <w:t xml:space="preserve"> </w:t>
      </w:r>
      <w:hyperlink r:id="rId8">
        <w:r>
          <w:t>https://apps.sfc.hk/edistributionWeb/gateway/EN/news-and-announcements/news/doc?refNo=21PR125</w:t>
        </w:r>
      </w:hyperlink>
    </w:p>
    <w:p w:rsidR="0037202D" w:rsidRDefault="006800E0" w:rsidP="006800E0">
      <w:pPr>
        <w:pStyle w:val="BodyText"/>
        <w:jc w:val="left"/>
      </w:pPr>
      <w:hyperlink w:anchor="footnote-598-2-backlink">
        <w:r>
          <w:t>2</w:t>
        </w:r>
      </w:hyperlink>
      <w:r>
        <w:t xml:space="preserve"> </w:t>
      </w:r>
      <w:hyperlink r:id="rId9">
        <w:r>
          <w:t>https://apps.sfc.hk/edistributionWeb/gateway/EN/news-and-announcements/news/doc?refNo=21PR132</w:t>
        </w:r>
      </w:hyperlink>
      <w:bookmarkStart w:id="0" w:name="_GoBack"/>
      <w:bookmarkEnd w:id="0"/>
    </w:p>
    <w:p w:rsidR="0037202D" w:rsidRDefault="006800E0" w:rsidP="006800E0">
      <w:pPr>
        <w:pStyle w:val="BodyText"/>
        <w:jc w:val="left"/>
      </w:pPr>
      <w:hyperlink w:anchor="footnote-598-3-backlink">
        <w:r>
          <w:t>3</w:t>
        </w:r>
      </w:hyperlink>
      <w:r>
        <w:t xml:space="preserve"> </w:t>
      </w:r>
      <w:hyperlink r:id="rId10">
        <w:r>
          <w:t>https://apps.sfc.hk/edistributionWeb/gateway/EN/news-and-announcements/news/doc?refNo=21PR130</w:t>
        </w:r>
      </w:hyperlink>
    </w:p>
    <w:p w:rsidR="0037202D" w:rsidRDefault="006800E0" w:rsidP="006800E0">
      <w:pPr>
        <w:pStyle w:val="BodyText"/>
        <w:jc w:val="left"/>
      </w:pPr>
      <w:hyperlink w:anchor="footnote-598-4-backlink">
        <w:r>
          <w:t>4</w:t>
        </w:r>
      </w:hyperlink>
      <w:r>
        <w:t xml:space="preserve"> </w:t>
      </w:r>
      <w:hyperlink r:id="rId11">
        <w:r>
          <w:t>https://apps.sfc.hk/edistributionWeb/gateway/EN/news-and-announcements/news/doc?refNo=21PR107</w:t>
        </w:r>
      </w:hyperlink>
    </w:p>
    <w:p w:rsidR="0037202D" w:rsidRDefault="006800E0" w:rsidP="006800E0">
      <w:pPr>
        <w:pStyle w:val="BodyText"/>
        <w:jc w:val="left"/>
      </w:pPr>
      <w:hyperlink r:id="rId12">
        <w:r>
          <w:t>https://apps.sfc.hk/edistributionWeb/api/news/openAppendix?lang=EN&amp;refNo=21PR107&amp;appendix=0</w:t>
        </w:r>
      </w:hyperlink>
    </w:p>
    <w:p w:rsidR="0037202D" w:rsidRDefault="006800E0" w:rsidP="006800E0">
      <w:pPr>
        <w:pStyle w:val="BodyText"/>
        <w:jc w:val="left"/>
      </w:pPr>
      <w:hyperlink w:anchor="footnote-598-5-backlink">
        <w:r>
          <w:t>5</w:t>
        </w:r>
      </w:hyperlink>
      <w:r>
        <w:t xml:space="preserve"> </w:t>
      </w:r>
      <w:hyperlink r:id="rId13">
        <w:r>
          <w:t>https://apps.sfc.hk/edistributionWeb/gateway/EN/news-and-announcements/news/doc?refNo=21PR129</w:t>
        </w:r>
      </w:hyperlink>
    </w:p>
    <w:p w:rsidR="0037202D" w:rsidRDefault="006800E0" w:rsidP="006800E0">
      <w:pPr>
        <w:pStyle w:val="BodyText"/>
        <w:jc w:val="left"/>
      </w:pPr>
      <w:hyperlink w:anchor="footnote-598-6-backlink">
        <w:r>
          <w:t>6</w:t>
        </w:r>
      </w:hyperlink>
      <w:r>
        <w:t xml:space="preserve"> </w:t>
      </w:r>
      <w:hyperlink r:id="rId14">
        <w:r>
          <w:t>https://apps.sfc.hk/edistributionWeb/gateway/EN/news-and-announcements/news/doc?refNo=21PR123</w:t>
        </w:r>
      </w:hyperlink>
    </w:p>
    <w:p w:rsidR="0037202D" w:rsidRDefault="006800E0" w:rsidP="006800E0">
      <w:pPr>
        <w:pStyle w:val="BodyText"/>
        <w:jc w:val="left"/>
      </w:pPr>
      <w:hyperlink w:anchor="footnote-598-7-backlink">
        <w:r>
          <w:t>7</w:t>
        </w:r>
      </w:hyperlink>
      <w:r>
        <w:t xml:space="preserve"> </w:t>
      </w:r>
      <w:hyperlink r:id="rId15">
        <w:r>
          <w:t>htt</w:t>
        </w:r>
        <w:r>
          <w:t>ps://apps.sfc.hk/edistributionWeb/api/news/openAppendix?lang=EN&amp;refNo=21PR119&amp;appendix=0</w:t>
        </w:r>
      </w:hyperlink>
    </w:p>
    <w:p w:rsidR="0037202D" w:rsidRDefault="006800E0" w:rsidP="006800E0">
      <w:pPr>
        <w:pStyle w:val="BodyText"/>
        <w:jc w:val="left"/>
      </w:pPr>
      <w:hyperlink w:anchor="footnote-598-8-backlink">
        <w:r>
          <w:t>8</w:t>
        </w:r>
      </w:hyperlink>
      <w:r>
        <w:t xml:space="preserve"> </w:t>
      </w:r>
      <w:hyperlink r:id="rId16">
        <w:r>
          <w:t>https:</w:t>
        </w:r>
        <w:r>
          <w:t>//apps.sfc.hk/edistributionWeb/gateway/EN/news-and-announcements/news/doc?refNo=21PR118</w:t>
        </w:r>
      </w:hyperlink>
    </w:p>
    <w:p w:rsidR="0037202D" w:rsidRDefault="006800E0" w:rsidP="006800E0">
      <w:pPr>
        <w:pStyle w:val="BodyText"/>
        <w:jc w:val="left"/>
      </w:pPr>
      <w:hyperlink w:anchor="footnote-598-9-backlink">
        <w:r>
          <w:t>9</w:t>
        </w:r>
      </w:hyperlink>
      <w:r>
        <w:t xml:space="preserve"> </w:t>
      </w:r>
      <w:hyperlink r:id="rId17">
        <w:r>
          <w:t>https://www.hkex.com</w:t>
        </w:r>
        <w:r>
          <w:t>.hk/News/Regulatory-Announcements/2021/211216news?sc_lang=en</w:t>
        </w:r>
      </w:hyperlink>
    </w:p>
    <w:p w:rsidR="0037202D" w:rsidRDefault="006800E0" w:rsidP="006800E0">
      <w:pPr>
        <w:pStyle w:val="BodyText"/>
        <w:jc w:val="left"/>
      </w:pPr>
      <w:hyperlink r:id="rId18">
        <w:r>
          <w:t>https://www.hkex.com.hk/-/media</w:t>
        </w:r>
        <w:r>
          <w:t>/HKEX-Market/Listing/Rules-and-Guidance/Disciplinary-and-Enforcement/Disciplinary-Sanctions/211216_SoDA.pdf?la=en</w:t>
        </w:r>
      </w:hyperlink>
    </w:p>
    <w:p w:rsidR="0037202D" w:rsidRDefault="006800E0" w:rsidP="006800E0">
      <w:pPr>
        <w:pStyle w:val="BodyText"/>
        <w:jc w:val="left"/>
      </w:pPr>
      <w:hyperlink w:anchor="footnote-598-10-backlink">
        <w:r>
          <w:t>10</w:t>
        </w:r>
      </w:hyperlink>
      <w:r>
        <w:t xml:space="preserve"> </w:t>
      </w:r>
      <w:hyperlink r:id="rId19">
        <w:r>
          <w:t>https://www.hkex.com.hk/News/Regulatory-Announcements/2021/211207news?sc_lang=en</w:t>
        </w:r>
      </w:hyperlink>
    </w:p>
    <w:p w:rsidR="0037202D" w:rsidRDefault="006800E0" w:rsidP="006800E0">
      <w:pPr>
        <w:pStyle w:val="BodyText"/>
        <w:jc w:val="left"/>
      </w:pPr>
      <w:hyperlink r:id="rId20">
        <w:r>
          <w:t>htt</w:t>
        </w:r>
        <w:r>
          <w:t>ps://www.hkex.com.hk/-/media/HKEX-Market/Listing/Rules-and-Guidance/Disciplinary-and-Enforcement/Disciplinary-Sanctions/211207_SoDA.pdf?la=en</w:t>
        </w:r>
      </w:hyperlink>
    </w:p>
    <w:p w:rsidR="0037202D" w:rsidRDefault="006800E0">
      <w:pPr>
        <w:pStyle w:val="DisclaimerBold"/>
        <w:rPr>
          <w:lang w:eastAsia="zh-CN"/>
        </w:rPr>
      </w:pPr>
      <w:r>
        <w:rPr>
          <w:lang w:eastAsia="zh-CN"/>
        </w:rPr>
        <w:t>此法讯仅为提供相关资料信息之用，其内容并</w:t>
      </w:r>
    </w:p>
    <w:p w:rsidR="0037202D" w:rsidRDefault="006800E0">
      <w:pPr>
        <w:pStyle w:val="Disclaimer"/>
        <w:rPr>
          <w:lang w:eastAsia="zh-CN"/>
        </w:rPr>
      </w:pPr>
      <w:r>
        <w:rPr>
          <w:lang w:eastAsia="zh-CN"/>
        </w:rPr>
        <w:t>不构成法律建议及个案的法律分析。</w:t>
      </w:r>
    </w:p>
    <w:p w:rsidR="0037202D" w:rsidRDefault="006800E0">
      <w:pPr>
        <w:pStyle w:val="Disclaimer"/>
        <w:rPr>
          <w:lang w:eastAsia="zh-CN"/>
        </w:rPr>
      </w:pPr>
      <w:r>
        <w:rPr>
          <w:lang w:eastAsia="zh-CN"/>
        </w:rPr>
        <w:t>此法讯的发送并不是为了在易周律师行与用户或浏览者之间建立一种律师与客户之关系。</w:t>
      </w:r>
    </w:p>
    <w:p w:rsidR="0037202D" w:rsidRDefault="006800E0">
      <w:pPr>
        <w:pStyle w:val="Disclaimer"/>
        <w:rPr>
          <w:lang w:eastAsia="zh-CN"/>
        </w:rPr>
      </w:pPr>
      <w:r>
        <w:rPr>
          <w:lang w:eastAsia="zh-CN"/>
        </w:rPr>
        <w:t>易周律师行并不对可从互联网获得的任何第三方内容负责。</w:t>
      </w:r>
    </w:p>
    <w:p w:rsidR="0037202D" w:rsidRDefault="006800E0">
      <w:pPr>
        <w:pStyle w:val="Disclaimer"/>
        <w:rPr>
          <w:lang w:eastAsia="zh-CN"/>
        </w:rPr>
      </w:pPr>
      <w:r>
        <w:rPr>
          <w:lang w:eastAsia="zh-CN"/>
        </w:rPr>
        <w:t>如你不希望再收到易</w:t>
      </w:r>
      <w:r>
        <w:rPr>
          <w:lang w:eastAsia="zh-CN"/>
        </w:rPr>
        <w:t>周法讯，请发送电邮至</w:t>
      </w:r>
      <w:r>
        <w:rPr>
          <w:lang w:eastAsia="zh-CN"/>
        </w:rPr>
        <w:t xml:space="preserve">  </w:t>
      </w:r>
      <w:hyperlink r:id="rId21">
        <w:r>
          <w:rPr>
            <w:lang w:eastAsia="zh-CN"/>
          </w:rPr>
          <w:t>unsubscribe@charltonslaw.com</w:t>
        </w:r>
      </w:hyperlink>
    </w:p>
    <w:p w:rsidR="0037202D" w:rsidRDefault="006800E0">
      <w:pPr>
        <w:pStyle w:val="BlackStrips"/>
      </w:pPr>
      <w:r>
        <w:t xml:space="preserve">Charltons - </w:t>
      </w:r>
      <w:r>
        <w:t>香港法律</w:t>
      </w:r>
      <w:r>
        <w:t xml:space="preserve"> - 2022</w:t>
      </w:r>
      <w:r>
        <w:t>年</w:t>
      </w:r>
      <w:r>
        <w:t>7</w:t>
      </w:r>
      <w:r>
        <w:t>月</w:t>
      </w:r>
      <w:r>
        <w:t>25</w:t>
      </w:r>
      <w:r>
        <w:t>日</w:t>
      </w:r>
    </w:p>
    <w:sectPr w:rsidR="0037202D">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800E0">
      <w:pPr>
        <w:spacing w:after="0"/>
      </w:pPr>
      <w:r>
        <w:separator/>
      </w:r>
    </w:p>
  </w:endnote>
  <w:endnote w:type="continuationSeparator" w:id="0">
    <w:p w:rsidR="00000000" w:rsidRDefault="006800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2D" w:rsidRDefault="006800E0">
      <w:r>
        <w:separator/>
      </w:r>
    </w:p>
  </w:footnote>
  <w:footnote w:type="continuationSeparator" w:id="0">
    <w:p w:rsidR="0037202D" w:rsidRDefault="00680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924272B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809699A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000C31B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37202D"/>
    <w:rsid w:val="004E29B3"/>
    <w:rsid w:val="00590D07"/>
    <w:rsid w:val="006800E0"/>
    <w:rsid w:val="00777ED4"/>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A9FE"/>
  <w15:docId w15:val="{B0675927-EC57-4A43-8546-7ECC24CC4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gateway/EN/news-and-announcements/news/doc?refNo=21PR125" TargetMode="External"/><Relationship Id="rId13" Type="http://schemas.openxmlformats.org/officeDocument/2006/relationships/hyperlink" Target="https://apps.sfc.hk/edistributionWeb/gateway/EN/news-and-announcements/news/doc?refNo=21PR129" TargetMode="External"/><Relationship Id="rId18" Type="http://schemas.openxmlformats.org/officeDocument/2006/relationships/hyperlink" Target="https://www.hkex.com.hk/-/media/HKEX-Market/Listing/Rules-and-Guidance/Disciplinary-and-Enforcement/Disciplinary-Sanctions/211216_SoDA.pdf?la=en" TargetMode="External"/><Relationship Id="rId3" Type="http://schemas.openxmlformats.org/officeDocument/2006/relationships/settings" Target="settings.xml"/><Relationship Id="rId21" Type="http://schemas.openxmlformats.org/officeDocument/2006/relationships/hyperlink" Target="mailto:unsubscribe@charltonslaw.com?subject=unsubscribe%20-Hong%20Kong%20Law-" TargetMode="External"/><Relationship Id="rId7" Type="http://schemas.openxmlformats.org/officeDocument/2006/relationships/hyperlink" Target="http://www.charltonslaw.com.cn/xiang-gang-lian-jiao-suo-he-zheng-jian-hui-zai-2021nian-11yue-zhi-12yue-qi-jian-de-ji-lu-xing-dong" TargetMode="External"/><Relationship Id="rId12" Type="http://schemas.openxmlformats.org/officeDocument/2006/relationships/hyperlink" Target="https://apps.sfc.hk/edistributionWeb/api/news/openAppendix?lang=EN&amp;refNo=21PR107&amp;appendix=0" TargetMode="External"/><Relationship Id="rId17" Type="http://schemas.openxmlformats.org/officeDocument/2006/relationships/hyperlink" Target="https://www.hkex.com.hk/News/Regulatory-Announcements/2021/211216news?sc_lang=en" TargetMode="External"/><Relationship Id="rId2" Type="http://schemas.openxmlformats.org/officeDocument/2006/relationships/styles" Target="styles.xml"/><Relationship Id="rId16" Type="http://schemas.openxmlformats.org/officeDocument/2006/relationships/hyperlink" Target="https://apps.sfc.hk/edistributionWeb/gateway/EN/news-and-announcements/news/doc?refNo=21PR118" TargetMode="External"/><Relationship Id="rId20" Type="http://schemas.openxmlformats.org/officeDocument/2006/relationships/hyperlink" Target="https://www.hkex.com.hk/-/media/HKEX-Market/Listing/Rules-and-Guidance/Disciplinary-and-Enforcement/Disciplinary-Sanctions/211207_SoDA.pdf?la=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sfc.hk/edistributionWeb/gateway/EN/news-and-announcements/news/doc?refNo=21PR107" TargetMode="External"/><Relationship Id="rId5" Type="http://schemas.openxmlformats.org/officeDocument/2006/relationships/footnotes" Target="footnotes.xml"/><Relationship Id="rId15" Type="http://schemas.openxmlformats.org/officeDocument/2006/relationships/hyperlink" Target="https://apps.sfc.hk/edistributionWeb/api/news/openAppendix?lang=EN&amp;refNo=21PR119&amp;appendix=0" TargetMode="External"/><Relationship Id="rId23" Type="http://schemas.openxmlformats.org/officeDocument/2006/relationships/theme" Target="theme/theme1.xml"/><Relationship Id="rId10" Type="http://schemas.openxmlformats.org/officeDocument/2006/relationships/hyperlink" Target="https://apps.sfc.hk/edistributionWeb/gateway/EN/news-and-announcements/news/doc?refNo=21PR130" TargetMode="External"/><Relationship Id="rId19" Type="http://schemas.openxmlformats.org/officeDocument/2006/relationships/hyperlink" Target="https://www.hkex.com.hk/News/Regulatory-Announcements/2021/211207news?sc_lang=en" TargetMode="External"/><Relationship Id="rId4" Type="http://schemas.openxmlformats.org/officeDocument/2006/relationships/webSettings" Target="webSettings.xml"/><Relationship Id="rId9" Type="http://schemas.openxmlformats.org/officeDocument/2006/relationships/hyperlink" Target="https://apps.sfc.hk/edistributionWeb/gateway/EN/news-and-announcements/news/doc?refNo=21PR132" TargetMode="External"/><Relationship Id="rId14" Type="http://schemas.openxmlformats.org/officeDocument/2006/relationships/hyperlink" Target="https://apps.sfc.hk/edistributionWeb/gateway/EN/news-and-announcements/news/doc?refNo=21PR123"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1446</Words>
  <Characters>8245</Characters>
  <Application>Microsoft Office Word</Application>
  <DocSecurity>0</DocSecurity>
  <Lines>68</Lines>
  <Paragraphs>19</Paragraphs>
  <ScaleCrop>false</ScaleCrop>
  <Company>Charltons</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2022-07-25T07:28:00Z</dcterms:created>
  <dcterms:modified xsi:type="dcterms:W3CDTF">2022-07-25T07:29:00Z</dcterms:modified>
</cp:coreProperties>
</file>