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C4" w:rsidRDefault="00040B61">
      <w:pPr>
        <w:pStyle w:val="BlackStrips"/>
      </w:pPr>
      <w:r>
        <w:t xml:space="preserve">Charltons - </w:t>
      </w:r>
      <w:r>
        <w:t>香港法律</w:t>
      </w:r>
      <w:r>
        <w:t xml:space="preserve"> - 2022</w:t>
      </w:r>
      <w:r>
        <w:t>年</w:t>
      </w:r>
      <w:r>
        <w:t>9</w:t>
      </w:r>
      <w:r>
        <w:t>月</w:t>
      </w:r>
      <w:r>
        <w:t>21</w:t>
      </w:r>
      <w:r>
        <w:t>日</w:t>
      </w:r>
    </w:p>
    <w:p w:rsidR="00D948C4" w:rsidRDefault="00040B61">
      <w:pPr>
        <w:pStyle w:val="ReadOnline"/>
      </w:pPr>
      <w:hyperlink r:id="rId7">
        <w:r>
          <w:t>online version</w:t>
        </w:r>
      </w:hyperlink>
    </w:p>
    <w:p w:rsidR="00D948C4" w:rsidRDefault="00040B61">
      <w:pPr>
        <w:pStyle w:val="Title"/>
      </w:pPr>
      <w:r>
        <w:t>香港交易所及证监会于</w:t>
      </w:r>
      <w:r>
        <w:t>2022</w:t>
      </w:r>
      <w:r>
        <w:t>年</w:t>
      </w:r>
      <w:r>
        <w:t>3</w:t>
      </w:r>
      <w:r>
        <w:t>月份采取的纪律行动</w:t>
      </w:r>
    </w:p>
    <w:p w:rsidR="00D948C4" w:rsidRDefault="00040B61">
      <w:pPr>
        <w:pStyle w:val="FirstParagraph"/>
        <w:rPr>
          <w:lang w:eastAsia="zh-CN"/>
        </w:rPr>
      </w:pPr>
      <w:r>
        <w:rPr>
          <w:lang w:eastAsia="zh-CN"/>
        </w:rPr>
        <w:t>2022</w:t>
      </w:r>
      <w:r>
        <w:rPr>
          <w:lang w:eastAsia="zh-CN"/>
        </w:rPr>
        <w:t>年</w:t>
      </w:r>
      <w:r>
        <w:rPr>
          <w:lang w:eastAsia="zh-CN"/>
        </w:rPr>
        <w:t>3</w:t>
      </w:r>
      <w:r>
        <w:rPr>
          <w:lang w:eastAsia="zh-CN"/>
        </w:rPr>
        <w:t>月，香港联合交易所有限公司（</w:t>
      </w:r>
      <w:r>
        <w:rPr>
          <w:b/>
          <w:lang w:eastAsia="zh-CN"/>
        </w:rPr>
        <w:t>香港交易所</w:t>
      </w:r>
      <w:r>
        <w:rPr>
          <w:lang w:eastAsia="zh-CN"/>
        </w:rPr>
        <w:t>）公布了其因应一家在第</w:t>
      </w:r>
      <w:r>
        <w:rPr>
          <w:lang w:eastAsia="zh-CN"/>
        </w:rPr>
        <w:t>21</w:t>
      </w:r>
      <w:r>
        <w:rPr>
          <w:lang w:eastAsia="zh-CN"/>
        </w:rPr>
        <w:t>章载列的投资公司前董事滥用该公司基金而对其采取纪律行动的结果，而证券及期货事务监察委员会（</w:t>
      </w:r>
      <w:r>
        <w:rPr>
          <w:b/>
          <w:lang w:eastAsia="zh-CN"/>
        </w:rPr>
        <w:t>证监会</w:t>
      </w:r>
      <w:r>
        <w:rPr>
          <w:lang w:eastAsia="zh-CN"/>
        </w:rPr>
        <w:t>）则刊发了</w:t>
      </w:r>
      <w:r>
        <w:rPr>
          <w:lang w:eastAsia="zh-CN"/>
        </w:rPr>
        <w:t>4</w:t>
      </w:r>
      <w:r>
        <w:rPr>
          <w:lang w:eastAsia="zh-CN"/>
        </w:rPr>
        <w:t>项纪律行动的结果。该等证监会执法行动是针对</w:t>
      </w:r>
      <w:r>
        <w:rPr>
          <w:lang w:eastAsia="zh-CN"/>
        </w:rPr>
        <w:t>DBA</w:t>
      </w:r>
      <w:r>
        <w:rPr>
          <w:lang w:eastAsia="zh-CN"/>
        </w:rPr>
        <w:t>电讯（亚洲）控股有限公司前董事，英皇证券</w:t>
      </w:r>
      <w:r>
        <w:rPr>
          <w:lang w:eastAsia="zh-CN"/>
        </w:rPr>
        <w:t>(</w:t>
      </w:r>
      <w:r>
        <w:rPr>
          <w:lang w:eastAsia="zh-CN"/>
        </w:rPr>
        <w:t>香港</w:t>
      </w:r>
      <w:r>
        <w:rPr>
          <w:lang w:eastAsia="zh-CN"/>
        </w:rPr>
        <w:t>)</w:t>
      </w:r>
      <w:r>
        <w:rPr>
          <w:lang w:eastAsia="zh-CN"/>
        </w:rPr>
        <w:t>有限公司及英皇期货有限公司，皓天财经集团控股有限公司及金范锡先生而提出。</w:t>
      </w:r>
    </w:p>
    <w:p w:rsidR="00D948C4" w:rsidRDefault="00040B61">
      <w:pPr>
        <w:pStyle w:val="BodyText"/>
        <w:rPr>
          <w:lang w:eastAsia="zh-CN"/>
        </w:rPr>
      </w:pPr>
      <w:r>
        <w:rPr>
          <w:lang w:eastAsia="zh-CN"/>
        </w:rPr>
        <w:t>香港交易所对国盛投资基金有限公司六名前任董事的纪律行动</w:t>
      </w:r>
    </w:p>
    <w:p w:rsidR="00D948C4" w:rsidRDefault="00040B61">
      <w:pPr>
        <w:pStyle w:val="BodyText"/>
        <w:rPr>
          <w:lang w:eastAsia="zh-CN"/>
        </w:rPr>
      </w:pPr>
      <w:r>
        <w:rPr>
          <w:lang w:eastAsia="zh-CN"/>
        </w:rPr>
        <w:t>2022</w:t>
      </w:r>
      <w:r>
        <w:rPr>
          <w:lang w:eastAsia="zh-CN"/>
        </w:rPr>
        <w:t>年</w:t>
      </w:r>
      <w:r>
        <w:rPr>
          <w:lang w:eastAsia="zh-CN"/>
        </w:rPr>
        <w:t>3</w:t>
      </w:r>
      <w:r>
        <w:rPr>
          <w:lang w:eastAsia="zh-CN"/>
        </w:rPr>
        <w:t>月</w:t>
      </w:r>
      <w:r>
        <w:rPr>
          <w:lang w:eastAsia="zh-CN"/>
        </w:rPr>
        <w:t>17</w:t>
      </w:r>
      <w:r>
        <w:rPr>
          <w:lang w:eastAsia="zh-CN"/>
        </w:rPr>
        <w:t>日，香港交易所制裁了国盛投资基金有限公司（根据香港交易所《主板上市规则》第二十一章上市的投资公司）六名前任董事。因应汪晓峰先生（国盛投</w:t>
      </w:r>
      <w:r>
        <w:rPr>
          <w:lang w:eastAsia="zh-CN"/>
        </w:rPr>
        <w:t>资基金有限公司前主席兼执行董事），以及刘进先生（国盛投资基金有限公司前独立非执行董事）滥用该公司资金，香港交易所对其公开谴责并作出损害投资者权益声明。香港交易所还谴责了该公司另外两名前执行董事以及另外两名前独立非执行董事，原因是他们违反了其在香港交易所《上市规则》第</w:t>
      </w:r>
      <w:r>
        <w:rPr>
          <w:lang w:eastAsia="zh-CN"/>
        </w:rPr>
        <w:t>3.08</w:t>
      </w:r>
      <w:r>
        <w:rPr>
          <w:lang w:eastAsia="zh-CN"/>
        </w:rPr>
        <w:t>条下作为董事的责任。上述人员中有三人还被指令须各自接受董事培训。香港交易所的《纪律行动声明》载列于</w:t>
      </w:r>
      <w:hyperlink r:id="rId8">
        <w:r>
          <w:rPr>
            <w:lang w:eastAsia="zh-CN"/>
          </w:rPr>
          <w:t>此处</w:t>
        </w:r>
      </w:hyperlink>
      <w:r>
        <w:rPr>
          <w:lang w:eastAsia="zh-CN"/>
        </w:rPr>
        <w:t>。</w:t>
      </w:r>
    </w:p>
    <w:p w:rsidR="00D948C4" w:rsidRDefault="00040B61">
      <w:pPr>
        <w:pStyle w:val="BodyText"/>
        <w:rPr>
          <w:lang w:eastAsia="zh-CN"/>
        </w:rPr>
      </w:pPr>
      <w:r>
        <w:rPr>
          <w:lang w:eastAsia="zh-CN"/>
        </w:rPr>
        <w:t>滥用公司资金及违反香港交易所董事责任</w:t>
      </w:r>
    </w:p>
    <w:p w:rsidR="00D948C4" w:rsidRDefault="00040B61">
      <w:pPr>
        <w:pStyle w:val="BodyText"/>
        <w:rPr>
          <w:lang w:eastAsia="zh-CN"/>
        </w:rPr>
      </w:pPr>
      <w:r>
        <w:rPr>
          <w:lang w:eastAsia="zh-CN"/>
        </w:rPr>
        <w:t>作为根据香港交易所《主板上市规则》第二十一章上市的公司，国盛投资基金有限公司的主要投资目标是透过投资主要位于香港及中国内地的上市及非上市公司，来达致中短期（一年至五年）资本增值。该公司董事会负责批准投资决定，制定该公司的投资目标及政策，以及监督该公司投资经理。所有投资及管理职</w:t>
      </w:r>
      <w:r>
        <w:rPr>
          <w:lang w:eastAsia="zh-CN"/>
        </w:rPr>
        <w:t>责由投资经理按董事会制定的投资政策执行。</w:t>
      </w:r>
    </w:p>
    <w:p w:rsidR="00D948C4" w:rsidRDefault="00040B61">
      <w:pPr>
        <w:pStyle w:val="BodyText"/>
        <w:rPr>
          <w:lang w:eastAsia="zh-CN"/>
        </w:rPr>
      </w:pPr>
      <w:r>
        <w:rPr>
          <w:lang w:eastAsia="zh-CN"/>
        </w:rPr>
        <w:t>国盛投资基金有限公司于</w:t>
      </w:r>
      <w:r>
        <w:rPr>
          <w:lang w:eastAsia="zh-CN"/>
        </w:rPr>
        <w:t>2011</w:t>
      </w:r>
      <w:r>
        <w:rPr>
          <w:lang w:eastAsia="zh-CN"/>
        </w:rPr>
        <w:t>年至</w:t>
      </w:r>
      <w:r>
        <w:rPr>
          <w:lang w:eastAsia="zh-CN"/>
        </w:rPr>
        <w:t>2018</w:t>
      </w:r>
      <w:r>
        <w:rPr>
          <w:lang w:eastAsia="zh-CN"/>
        </w:rPr>
        <w:t>年间均录得亏损（</w:t>
      </w:r>
      <w:r>
        <w:rPr>
          <w:lang w:eastAsia="zh-CN"/>
        </w:rPr>
        <w:t>2012</w:t>
      </w:r>
      <w:r>
        <w:rPr>
          <w:lang w:eastAsia="zh-CN"/>
        </w:rPr>
        <w:t>年除外），</w:t>
      </w:r>
      <w:r>
        <w:rPr>
          <w:lang w:eastAsia="zh-CN"/>
        </w:rPr>
        <w:t>2012</w:t>
      </w:r>
      <w:r>
        <w:rPr>
          <w:lang w:eastAsia="zh-CN"/>
        </w:rPr>
        <w:t>年至</w:t>
      </w:r>
      <w:r>
        <w:rPr>
          <w:lang w:eastAsia="zh-CN"/>
        </w:rPr>
        <w:t>2018</w:t>
      </w:r>
      <w:r>
        <w:rPr>
          <w:lang w:eastAsia="zh-CN"/>
        </w:rPr>
        <w:t>年出现经营现金净流出（</w:t>
      </w:r>
      <w:r>
        <w:rPr>
          <w:lang w:eastAsia="zh-CN"/>
        </w:rPr>
        <w:t>2013</w:t>
      </w:r>
      <w:r>
        <w:rPr>
          <w:lang w:eastAsia="zh-CN"/>
        </w:rPr>
        <w:t>年除外），以及于</w:t>
      </w:r>
      <w:r>
        <w:rPr>
          <w:lang w:eastAsia="zh-CN"/>
        </w:rPr>
        <w:t>2011</w:t>
      </w:r>
      <w:r>
        <w:rPr>
          <w:lang w:eastAsia="zh-CN"/>
        </w:rPr>
        <w:t>年至</w:t>
      </w:r>
      <w:r>
        <w:rPr>
          <w:lang w:eastAsia="zh-CN"/>
        </w:rPr>
        <w:t>2017</w:t>
      </w:r>
      <w:r>
        <w:rPr>
          <w:lang w:eastAsia="zh-CN"/>
        </w:rPr>
        <w:t>年出现投资现金净流出。该公司的现金及银行结余由</w:t>
      </w:r>
      <w:r>
        <w:rPr>
          <w:lang w:eastAsia="zh-CN"/>
        </w:rPr>
        <w:t>2011</w:t>
      </w:r>
      <w:r>
        <w:rPr>
          <w:lang w:eastAsia="zh-CN"/>
        </w:rPr>
        <w:t>年的</w:t>
      </w:r>
      <w:r>
        <w:rPr>
          <w:lang w:eastAsia="zh-CN"/>
        </w:rPr>
        <w:t>5,900</w:t>
      </w:r>
      <w:r>
        <w:rPr>
          <w:lang w:eastAsia="zh-CN"/>
        </w:rPr>
        <w:t>万港元跌至</w:t>
      </w:r>
      <w:r>
        <w:rPr>
          <w:lang w:eastAsia="zh-CN"/>
        </w:rPr>
        <w:t>2018</w:t>
      </w:r>
      <w:r>
        <w:rPr>
          <w:lang w:eastAsia="zh-CN"/>
        </w:rPr>
        <w:t>年仅</w:t>
      </w:r>
      <w:r>
        <w:rPr>
          <w:lang w:eastAsia="zh-CN"/>
        </w:rPr>
        <w:t>10</w:t>
      </w:r>
      <w:r>
        <w:rPr>
          <w:lang w:eastAsia="zh-CN"/>
        </w:rPr>
        <w:t>万港元。在</w:t>
      </w:r>
      <w:r>
        <w:rPr>
          <w:lang w:eastAsia="zh-CN"/>
        </w:rPr>
        <w:t>2011</w:t>
      </w:r>
      <w:r>
        <w:rPr>
          <w:lang w:eastAsia="zh-CN"/>
        </w:rPr>
        <w:t>年至</w:t>
      </w:r>
      <w:r>
        <w:rPr>
          <w:lang w:eastAsia="zh-CN"/>
        </w:rPr>
        <w:t>2015</w:t>
      </w:r>
      <w:r>
        <w:rPr>
          <w:lang w:eastAsia="zh-CN"/>
        </w:rPr>
        <w:t>年间，国盛投资基金有限公司花费超过</w:t>
      </w:r>
      <w:r>
        <w:rPr>
          <w:lang w:eastAsia="zh-CN"/>
        </w:rPr>
        <w:t>6,100</w:t>
      </w:r>
      <w:r>
        <w:rPr>
          <w:lang w:eastAsia="zh-CN"/>
        </w:rPr>
        <w:t>万港元购买奢侈品资产，包括价值</w:t>
      </w:r>
      <w:r>
        <w:rPr>
          <w:lang w:eastAsia="zh-CN"/>
        </w:rPr>
        <w:t>2,450</w:t>
      </w:r>
      <w:r>
        <w:rPr>
          <w:lang w:eastAsia="zh-CN"/>
        </w:rPr>
        <w:t>万港元的游艇、价值</w:t>
      </w:r>
      <w:r>
        <w:rPr>
          <w:lang w:eastAsia="zh-CN"/>
        </w:rPr>
        <w:t>2,000</w:t>
      </w:r>
      <w:r>
        <w:rPr>
          <w:lang w:eastAsia="zh-CN"/>
        </w:rPr>
        <w:t>万港元的钻石、共逾</w:t>
      </w:r>
      <w:r>
        <w:rPr>
          <w:lang w:eastAsia="zh-CN"/>
        </w:rPr>
        <w:t>848</w:t>
      </w:r>
      <w:r>
        <w:rPr>
          <w:lang w:eastAsia="zh-CN"/>
        </w:rPr>
        <w:t>万元的汽车、家俬、油画、会所会籍、钻石戒指。该公</w:t>
      </w:r>
      <w:r>
        <w:rPr>
          <w:lang w:eastAsia="zh-CN"/>
        </w:rPr>
        <w:t>司购买这些奢侈品资产时财务状况明显恶化，且不符合其投资目标。汪先生在</w:t>
      </w:r>
      <w:r>
        <w:rPr>
          <w:lang w:eastAsia="zh-CN"/>
        </w:rPr>
        <w:t>2010</w:t>
      </w:r>
      <w:r>
        <w:rPr>
          <w:lang w:eastAsia="zh-CN"/>
        </w:rPr>
        <w:t>年至</w:t>
      </w:r>
      <w:r>
        <w:rPr>
          <w:lang w:eastAsia="zh-CN"/>
        </w:rPr>
        <w:t>2018</w:t>
      </w:r>
      <w:r>
        <w:rPr>
          <w:lang w:eastAsia="zh-CN"/>
        </w:rPr>
        <w:t>年是该公司主席兼唯一大股东。他批准购置该等奢侈品资产，且并无召开任何董事会会议。他还批阅该公司财务总监发送予公司董事的每月财务更新。他表示，该等投资乃用作会见和接待投资者所需要，属另类投资，以提升该公司的形象及声誉。</w:t>
      </w:r>
    </w:p>
    <w:p w:rsidR="00D948C4" w:rsidRDefault="00040B61">
      <w:pPr>
        <w:pStyle w:val="BodyText"/>
        <w:rPr>
          <w:lang w:eastAsia="zh-CN"/>
        </w:rPr>
      </w:pPr>
      <w:r>
        <w:rPr>
          <w:lang w:eastAsia="zh-CN"/>
        </w:rPr>
        <w:t>该公司于</w:t>
      </w:r>
      <w:r>
        <w:rPr>
          <w:lang w:eastAsia="zh-CN"/>
        </w:rPr>
        <w:t>2014</w:t>
      </w:r>
      <w:r>
        <w:rPr>
          <w:lang w:eastAsia="zh-CN"/>
        </w:rPr>
        <w:t>年及</w:t>
      </w:r>
      <w:r>
        <w:rPr>
          <w:lang w:eastAsia="zh-CN"/>
        </w:rPr>
        <w:t>2018</w:t>
      </w:r>
      <w:r>
        <w:rPr>
          <w:lang w:eastAsia="zh-CN"/>
        </w:rPr>
        <w:t>年分别出售游艇及钻石，分别亏损</w:t>
      </w:r>
      <w:r>
        <w:rPr>
          <w:lang w:eastAsia="zh-CN"/>
        </w:rPr>
        <w:t>450</w:t>
      </w:r>
      <w:r>
        <w:rPr>
          <w:lang w:eastAsia="zh-CN"/>
        </w:rPr>
        <w:t>万港元及</w:t>
      </w:r>
      <w:r>
        <w:rPr>
          <w:lang w:eastAsia="zh-CN"/>
        </w:rPr>
        <w:t>400</w:t>
      </w:r>
      <w:r>
        <w:rPr>
          <w:lang w:eastAsia="zh-CN"/>
        </w:rPr>
        <w:t>万港元。</w:t>
      </w:r>
      <w:r>
        <w:rPr>
          <w:lang w:eastAsia="zh-CN"/>
        </w:rPr>
        <w:t>2019</w:t>
      </w:r>
      <w:r>
        <w:rPr>
          <w:lang w:eastAsia="zh-CN"/>
        </w:rPr>
        <w:t>年，国盛投资基金有限公司宣布进行关连交易，涉及向汪先生（已于该公告发出前数日辞任）出售奢侈品资产。该公司声称出售</w:t>
      </w:r>
      <w:r>
        <w:rPr>
          <w:lang w:eastAsia="zh-CN"/>
        </w:rPr>
        <w:t>奢侈品资产是为了偿还该公司拖欠汪先生的贷款，且该公司就这些资产</w:t>
      </w:r>
      <w:r>
        <w:rPr>
          <w:lang w:eastAsia="zh-CN"/>
        </w:rPr>
        <w:t>╱</w:t>
      </w:r>
      <w:r>
        <w:rPr>
          <w:lang w:eastAsia="zh-CN"/>
        </w:rPr>
        <w:t>声称投资录得亏损近</w:t>
      </w:r>
      <w:r>
        <w:rPr>
          <w:lang w:eastAsia="zh-CN"/>
        </w:rPr>
        <w:t>620</w:t>
      </w:r>
      <w:r>
        <w:rPr>
          <w:lang w:eastAsia="zh-CN"/>
        </w:rPr>
        <w:t>万港元。刘先生没有响应上市科的查询，亦没有以书面通知联交所其最新联络资料。</w:t>
      </w:r>
    </w:p>
    <w:p w:rsidR="00D948C4" w:rsidRDefault="00040B61" w:rsidP="00C52B48">
      <w:pPr>
        <w:pStyle w:val="BodyText"/>
        <w:jc w:val="left"/>
        <w:rPr>
          <w:lang w:eastAsia="zh-CN"/>
        </w:rPr>
      </w:pPr>
      <w:r>
        <w:rPr>
          <w:lang w:eastAsia="zh-CN"/>
        </w:rPr>
        <w:t>按香港交易所《上市规则》第</w:t>
      </w:r>
      <w:r>
        <w:rPr>
          <w:lang w:eastAsia="zh-CN"/>
        </w:rPr>
        <w:t xml:space="preserve"> 21.12(3)</w:t>
      </w:r>
      <w:r>
        <w:rPr>
          <w:lang w:eastAsia="zh-CN"/>
        </w:rPr>
        <w:t>条规定，国盛投资基金有限公司须每月公布其每股资产净值，由其他董事对该等公告予以批准。该公司财务总监每月都寄发最新财务资料，载列（其中包括）非流动资产的价值、个别资产项目的明细、已付款项及其他有形资产的总值，而相关董事每月收到更新的财务资料后透过书面决议案给予批准。</w:t>
      </w:r>
    </w:p>
    <w:p w:rsidR="00D948C4" w:rsidRDefault="00040B61">
      <w:pPr>
        <w:pStyle w:val="BodyText"/>
        <w:rPr>
          <w:lang w:eastAsia="zh-CN"/>
        </w:rPr>
      </w:pPr>
      <w:r>
        <w:rPr>
          <w:lang w:eastAsia="zh-CN"/>
        </w:rPr>
        <w:lastRenderedPageBreak/>
        <w:t>董事违反香港交易所《上市规则》规定</w:t>
      </w:r>
    </w:p>
    <w:p w:rsidR="00D948C4" w:rsidRDefault="00040B61">
      <w:pPr>
        <w:pStyle w:val="BodyText"/>
        <w:rPr>
          <w:lang w:eastAsia="zh-CN"/>
        </w:rPr>
      </w:pPr>
      <w:r>
        <w:rPr>
          <w:lang w:eastAsia="zh-CN"/>
        </w:rPr>
        <w:t>香</w:t>
      </w:r>
      <w:r>
        <w:rPr>
          <w:lang w:eastAsia="zh-CN"/>
        </w:rPr>
        <w:t>港交易所《上市规则》第</w:t>
      </w:r>
      <w:r>
        <w:rPr>
          <w:lang w:eastAsia="zh-CN"/>
        </w:rPr>
        <w:t>3.08</w:t>
      </w:r>
      <w:r>
        <w:rPr>
          <w:lang w:eastAsia="zh-CN"/>
        </w:rPr>
        <w:t>条规定，上市公司董事须履行诚信责任及以应有技能、谨慎和勤勉行事的责任，而履行上述责任时，至少须符合香港法例所确立的标准。董事还必须诚实及善意地以该公司的整体利益为前提行事、为适当目的行事、对公司资产的运用或滥用向公司负责，以及以应有的技能、谨慎和勤勉行事，程度相当于别人合理地预期一名具备相同知识及经验，并担任该公司董事职务的人士所应有的程度。董事还在其向香港交易所作出的《董事承诺》（载列于香港交易所《上市规则》附录五</w:t>
      </w:r>
      <w:r>
        <w:rPr>
          <w:lang w:eastAsia="zh-CN"/>
        </w:rPr>
        <w:t>B</w:t>
      </w:r>
      <w:r>
        <w:rPr>
          <w:lang w:eastAsia="zh-CN"/>
        </w:rPr>
        <w:t>表格）中承诺尽力遵守香港交易所《上巿规则》、在香港交易所所进</w:t>
      </w:r>
      <w:r>
        <w:rPr>
          <w:lang w:eastAsia="zh-CN"/>
        </w:rPr>
        <w:t>行的任何调查中给予合作，及向香港交易所及时更新其联络数据。</w:t>
      </w:r>
    </w:p>
    <w:p w:rsidR="00D948C4" w:rsidRDefault="00040B61">
      <w:pPr>
        <w:pStyle w:val="BodyText"/>
        <w:rPr>
          <w:lang w:eastAsia="zh-CN"/>
        </w:rPr>
      </w:pPr>
      <w:r>
        <w:rPr>
          <w:lang w:eastAsia="zh-CN"/>
        </w:rPr>
        <w:t>香港交易所上市委员会裁定，在批准国盛投资基金有限公司购置奢侈品资产一事上，汪先生违反了其在香港交易所《上市规则》第</w:t>
      </w:r>
      <w:r>
        <w:rPr>
          <w:lang w:eastAsia="zh-CN"/>
        </w:rPr>
        <w:t>3.08</w:t>
      </w:r>
      <w:r>
        <w:rPr>
          <w:lang w:eastAsia="zh-CN"/>
        </w:rPr>
        <w:t>条下的诚信责任及以应有技能、谨慎和勤勉行事的责任。他未有留意或没有关心这些资产整体而言是否适合该公司、是否有必要及可带来的裨益，包括必须至少考虑到在该公司的业务性质、投资目标及政策、雇员对资产的使用程度、该公司于关键期间的财务表现、戒指及油画的估计市值以及该公司可从有关资产得到的利益等方面。他亦违反了其将尽力遵守香港交易所《上市</w:t>
      </w:r>
      <w:r>
        <w:rPr>
          <w:lang w:eastAsia="zh-CN"/>
        </w:rPr>
        <w:t>规则》的承诺。</w:t>
      </w:r>
    </w:p>
    <w:p w:rsidR="00D948C4" w:rsidRDefault="00040B61">
      <w:pPr>
        <w:pStyle w:val="BodyText"/>
        <w:rPr>
          <w:lang w:eastAsia="zh-CN"/>
        </w:rPr>
      </w:pPr>
      <w:r>
        <w:rPr>
          <w:lang w:eastAsia="zh-CN"/>
        </w:rPr>
        <w:t>虽然其他董事声称他们并无参与购置各类奢侈品资产，但他们被裁定违反了其在香港交易所《上市规则》第</w:t>
      </w:r>
      <w:r>
        <w:rPr>
          <w:lang w:eastAsia="zh-CN"/>
        </w:rPr>
        <w:t>3.08</w:t>
      </w:r>
      <w:r>
        <w:rPr>
          <w:lang w:eastAsia="zh-CN"/>
        </w:rPr>
        <w:t>条下的诚信责任及董事责任，未有积极关注该公司事务并主动跟进他们注意到的特殊情况（指尽管存在该公司的相关财务状况而仍然购入奢侈品资产）相关的责任。其还违反了他们将尽力遵守香港交易所《上市规则》的承诺。</w:t>
      </w:r>
    </w:p>
    <w:p w:rsidR="00D948C4" w:rsidRDefault="00040B61">
      <w:pPr>
        <w:pStyle w:val="BodyText"/>
        <w:rPr>
          <w:lang w:eastAsia="zh-CN"/>
        </w:rPr>
      </w:pPr>
      <w:r>
        <w:rPr>
          <w:lang w:eastAsia="zh-CN"/>
        </w:rPr>
        <w:t>刘先生没有响应上市科的查询及跟进，也违反了其会配合香港交易所调查的承诺。他亦违反了会向联交所更新联络数据的承诺。</w:t>
      </w:r>
    </w:p>
    <w:p w:rsidR="00D948C4" w:rsidRDefault="00040B61">
      <w:pPr>
        <w:pStyle w:val="BodyText"/>
        <w:rPr>
          <w:lang w:eastAsia="zh-CN"/>
        </w:rPr>
      </w:pPr>
      <w:r>
        <w:rPr>
          <w:lang w:eastAsia="zh-CN"/>
        </w:rPr>
        <w:t>鉴于汪先生及刘先生未能履行其在香港交易所《上市规则》下的董事责任，香港交易所发出</w:t>
      </w:r>
      <w:r>
        <w:rPr>
          <w:lang w:eastAsia="zh-CN"/>
        </w:rPr>
        <w:t>一份公开声明，表示若其仍留任该公司的董事，将有损投资者的利益。</w:t>
      </w:r>
    </w:p>
    <w:p w:rsidR="00D948C4" w:rsidRDefault="00040B61">
      <w:pPr>
        <w:pStyle w:val="BodyText"/>
        <w:rPr>
          <w:lang w:eastAsia="zh-CN"/>
        </w:rPr>
      </w:pPr>
      <w:r>
        <w:rPr>
          <w:lang w:eastAsia="zh-CN"/>
        </w:rPr>
        <w:t>证监会取得法庭命令取消</w:t>
      </w:r>
      <w:r>
        <w:rPr>
          <w:lang w:eastAsia="zh-CN"/>
        </w:rPr>
        <w:t>DBA</w:t>
      </w:r>
      <w:r>
        <w:rPr>
          <w:lang w:eastAsia="zh-CN"/>
        </w:rPr>
        <w:t>电讯（亚洲）控股有限公司前董事担任董事的资格</w:t>
      </w:r>
    </w:p>
    <w:p w:rsidR="00D948C4" w:rsidRDefault="00040B61">
      <w:pPr>
        <w:pStyle w:val="BodyText"/>
        <w:rPr>
          <w:lang w:eastAsia="zh-CN"/>
        </w:rPr>
      </w:pPr>
      <w:r>
        <w:rPr>
          <w:lang w:eastAsia="zh-CN"/>
        </w:rPr>
        <w:t>2022</w:t>
      </w:r>
      <w:r>
        <w:rPr>
          <w:lang w:eastAsia="zh-CN"/>
        </w:rPr>
        <w:t>年</w:t>
      </w:r>
      <w:r>
        <w:rPr>
          <w:lang w:eastAsia="zh-CN"/>
        </w:rPr>
        <w:t>3</w:t>
      </w:r>
      <w:r>
        <w:rPr>
          <w:lang w:eastAsia="zh-CN"/>
        </w:rPr>
        <w:t>月</w:t>
      </w:r>
      <w:r>
        <w:rPr>
          <w:lang w:eastAsia="zh-CN"/>
        </w:rPr>
        <w:t>9</w:t>
      </w:r>
      <w:r>
        <w:rPr>
          <w:lang w:eastAsia="zh-CN"/>
        </w:rPr>
        <w:t>日，证监会在原讼法庭取得针对</w:t>
      </w:r>
      <w:r>
        <w:rPr>
          <w:lang w:eastAsia="zh-CN"/>
        </w:rPr>
        <w:t>DBA</w:t>
      </w:r>
      <w:r>
        <w:rPr>
          <w:lang w:eastAsia="zh-CN"/>
        </w:rPr>
        <w:t>电讯（亚洲）控股有限公司（</w:t>
      </w:r>
      <w:r>
        <w:rPr>
          <w:b/>
          <w:lang w:eastAsia="zh-CN"/>
        </w:rPr>
        <w:t>DBA</w:t>
      </w:r>
      <w:r>
        <w:rPr>
          <w:lang w:eastAsia="zh-CN"/>
        </w:rPr>
        <w:t>）前执行董事陈伟铨先生及前独立非执行董事忻乐明先生的取消资格令。原讼法庭授予该项取消资格令的根据是《证券及期货条例》第</w:t>
      </w:r>
      <w:r>
        <w:rPr>
          <w:lang w:eastAsia="zh-CN"/>
        </w:rPr>
        <w:t>214</w:t>
      </w:r>
      <w:r>
        <w:rPr>
          <w:lang w:eastAsia="zh-CN"/>
        </w:rPr>
        <w:t>条规定。该第</w:t>
      </w:r>
      <w:r>
        <w:rPr>
          <w:lang w:eastAsia="zh-CN"/>
        </w:rPr>
        <w:t>214</w:t>
      </w:r>
      <w:r>
        <w:rPr>
          <w:lang w:eastAsia="zh-CN"/>
        </w:rPr>
        <w:t>条准许证监会在认为某上市公司已采用具以下特征的方式进行其业务或者事务时请求原讼法庭颁发该节中订明的各类命令：</w:t>
      </w:r>
    </w:p>
    <w:p w:rsidR="00D948C4" w:rsidRDefault="00040B61">
      <w:pPr>
        <w:pStyle w:val="Compact"/>
        <w:numPr>
          <w:ilvl w:val="0"/>
          <w:numId w:val="3"/>
        </w:numPr>
        <w:rPr>
          <w:lang w:eastAsia="zh-CN"/>
        </w:rPr>
      </w:pPr>
      <w:r>
        <w:rPr>
          <w:lang w:eastAsia="zh-CN"/>
        </w:rPr>
        <w:t>对其成员或者部分成员不公；</w:t>
      </w:r>
    </w:p>
    <w:p w:rsidR="00D948C4" w:rsidRDefault="00040B61">
      <w:pPr>
        <w:pStyle w:val="Compact"/>
        <w:numPr>
          <w:ilvl w:val="0"/>
          <w:numId w:val="3"/>
        </w:numPr>
        <w:rPr>
          <w:lang w:eastAsia="zh-CN"/>
        </w:rPr>
      </w:pPr>
      <w:r>
        <w:rPr>
          <w:lang w:eastAsia="zh-CN"/>
        </w:rPr>
        <w:t>涉及对其或其</w:t>
      </w:r>
      <w:r>
        <w:rPr>
          <w:lang w:eastAsia="zh-CN"/>
        </w:rPr>
        <w:t>成员或其任何成员挪用公款、欺诈、不当行为或其他失当行为；</w:t>
      </w:r>
    </w:p>
    <w:p w:rsidR="00D948C4" w:rsidRDefault="00040B61">
      <w:pPr>
        <w:pStyle w:val="Compact"/>
        <w:numPr>
          <w:ilvl w:val="0"/>
          <w:numId w:val="3"/>
        </w:numPr>
        <w:rPr>
          <w:lang w:eastAsia="zh-CN"/>
        </w:rPr>
      </w:pPr>
      <w:r>
        <w:rPr>
          <w:lang w:eastAsia="zh-CN"/>
        </w:rPr>
        <w:t>导致其成员或其任何部分成员无法获得其可合理期望的有关其业务或事务的全部信息；或</w:t>
      </w:r>
    </w:p>
    <w:p w:rsidR="00D948C4" w:rsidRDefault="00040B61">
      <w:pPr>
        <w:pStyle w:val="Compact"/>
        <w:numPr>
          <w:ilvl w:val="0"/>
          <w:numId w:val="3"/>
        </w:numPr>
        <w:rPr>
          <w:lang w:eastAsia="zh-CN"/>
        </w:rPr>
      </w:pPr>
      <w:r>
        <w:rPr>
          <w:lang w:eastAsia="zh-CN"/>
        </w:rPr>
        <w:t>对其成员或其任何部分成员有不公正的损害。</w:t>
      </w:r>
    </w:p>
    <w:p w:rsidR="00D948C4" w:rsidRDefault="00040B61">
      <w:pPr>
        <w:pStyle w:val="FirstParagraph"/>
        <w:rPr>
          <w:lang w:eastAsia="zh-CN"/>
        </w:rPr>
      </w:pPr>
      <w:r>
        <w:rPr>
          <w:lang w:eastAsia="zh-CN"/>
        </w:rPr>
        <w:t>原讼法庭的判案书载列于</w:t>
      </w:r>
      <w:hyperlink r:id="rId9">
        <w:r>
          <w:rPr>
            <w:lang w:eastAsia="zh-CN"/>
          </w:rPr>
          <w:t>此处</w:t>
        </w:r>
      </w:hyperlink>
      <w:r>
        <w:rPr>
          <w:lang w:eastAsia="zh-CN"/>
        </w:rPr>
        <w:t>。</w:t>
      </w:r>
    </w:p>
    <w:p w:rsidR="00D948C4" w:rsidRDefault="00040B61">
      <w:pPr>
        <w:pStyle w:val="BodyText"/>
        <w:rPr>
          <w:lang w:eastAsia="zh-CN"/>
        </w:rPr>
      </w:pPr>
      <w:r>
        <w:rPr>
          <w:lang w:eastAsia="zh-CN"/>
        </w:rPr>
        <w:t>上市公司财务状况的失实陈述</w:t>
      </w:r>
    </w:p>
    <w:p w:rsidR="00D948C4" w:rsidRDefault="00040B61">
      <w:pPr>
        <w:pStyle w:val="BodyText"/>
        <w:rPr>
          <w:lang w:eastAsia="zh-CN"/>
        </w:rPr>
      </w:pPr>
      <w:r>
        <w:rPr>
          <w:lang w:eastAsia="zh-CN"/>
        </w:rPr>
        <w:t>DBA</w:t>
      </w:r>
      <w:r>
        <w:rPr>
          <w:lang w:eastAsia="zh-CN"/>
        </w:rPr>
        <w:t>自</w:t>
      </w:r>
      <w:r>
        <w:rPr>
          <w:lang w:eastAsia="zh-CN"/>
        </w:rPr>
        <w:t>2006</w:t>
      </w:r>
      <w:r>
        <w:rPr>
          <w:lang w:eastAsia="zh-CN"/>
        </w:rPr>
        <w:t>年</w:t>
      </w:r>
      <w:r>
        <w:rPr>
          <w:lang w:eastAsia="zh-CN"/>
        </w:rPr>
        <w:t>5</w:t>
      </w:r>
      <w:r>
        <w:rPr>
          <w:lang w:eastAsia="zh-CN"/>
        </w:rPr>
        <w:t>月在香港交</w:t>
      </w:r>
      <w:r>
        <w:rPr>
          <w:lang w:eastAsia="zh-CN"/>
        </w:rPr>
        <w:t>易所主板市场上市，主要从事电讯设备的生产及销售以及公用事业的支付服务，例如预付费电话卡。</w:t>
      </w:r>
    </w:p>
    <w:p w:rsidR="00D948C4" w:rsidRDefault="00040B61">
      <w:pPr>
        <w:pStyle w:val="BodyText"/>
        <w:rPr>
          <w:lang w:eastAsia="zh-CN"/>
        </w:rPr>
      </w:pPr>
      <w:r>
        <w:rPr>
          <w:lang w:eastAsia="zh-CN"/>
        </w:rPr>
        <w:t>证监会发现</w:t>
      </w:r>
      <w:r>
        <w:rPr>
          <w:lang w:eastAsia="zh-CN"/>
        </w:rPr>
        <w:t>DBA</w:t>
      </w:r>
      <w:r>
        <w:rPr>
          <w:lang w:eastAsia="zh-CN"/>
        </w:rPr>
        <w:t>在</w:t>
      </w:r>
      <w:r>
        <w:rPr>
          <w:lang w:eastAsia="zh-CN"/>
        </w:rPr>
        <w:t>2010</w:t>
      </w:r>
      <w:r>
        <w:rPr>
          <w:lang w:eastAsia="zh-CN"/>
        </w:rPr>
        <w:t>年</w:t>
      </w:r>
      <w:r>
        <w:rPr>
          <w:lang w:eastAsia="zh-CN"/>
        </w:rPr>
        <w:t>12</w:t>
      </w:r>
      <w:r>
        <w:rPr>
          <w:lang w:eastAsia="zh-CN"/>
        </w:rPr>
        <w:t>月</w:t>
      </w:r>
      <w:r>
        <w:rPr>
          <w:lang w:eastAsia="zh-CN"/>
        </w:rPr>
        <w:t>31</w:t>
      </w:r>
      <w:r>
        <w:rPr>
          <w:lang w:eastAsia="zh-CN"/>
        </w:rPr>
        <w:t>日至</w:t>
      </w:r>
      <w:r>
        <w:rPr>
          <w:lang w:eastAsia="zh-CN"/>
        </w:rPr>
        <w:t>2012</w:t>
      </w:r>
      <w:r>
        <w:rPr>
          <w:lang w:eastAsia="zh-CN"/>
        </w:rPr>
        <w:t>年期间的财务报表载有大量失实陈述，将</w:t>
      </w:r>
      <w:r>
        <w:rPr>
          <w:lang w:eastAsia="zh-CN"/>
        </w:rPr>
        <w:t>DBA</w:t>
      </w:r>
      <w:r>
        <w:rPr>
          <w:lang w:eastAsia="zh-CN"/>
        </w:rPr>
        <w:t>的财务状况描绘成远较实际表现为佳。</w:t>
      </w:r>
      <w:r>
        <w:rPr>
          <w:lang w:eastAsia="zh-CN"/>
        </w:rPr>
        <w:t>2013</w:t>
      </w:r>
      <w:r>
        <w:rPr>
          <w:lang w:eastAsia="zh-CN"/>
        </w:rPr>
        <w:t>年</w:t>
      </w:r>
      <w:r>
        <w:rPr>
          <w:lang w:eastAsia="zh-CN"/>
        </w:rPr>
        <w:t>3</w:t>
      </w:r>
      <w:r>
        <w:rPr>
          <w:lang w:eastAsia="zh-CN"/>
        </w:rPr>
        <w:t>月</w:t>
      </w:r>
      <w:r>
        <w:rPr>
          <w:lang w:eastAsia="zh-CN"/>
        </w:rPr>
        <w:t>28</w:t>
      </w:r>
      <w:r>
        <w:rPr>
          <w:lang w:eastAsia="zh-CN"/>
        </w:rPr>
        <w:t>日，</w:t>
      </w:r>
      <w:r>
        <w:rPr>
          <w:lang w:eastAsia="zh-CN"/>
        </w:rPr>
        <w:t>DBA</w:t>
      </w:r>
      <w:r>
        <w:rPr>
          <w:lang w:eastAsia="zh-CN"/>
        </w:rPr>
        <w:t>在香港交易所网站上刊发截至</w:t>
      </w:r>
      <w:r>
        <w:rPr>
          <w:lang w:eastAsia="zh-CN"/>
        </w:rPr>
        <w:t>2012</w:t>
      </w:r>
      <w:r>
        <w:rPr>
          <w:lang w:eastAsia="zh-CN"/>
        </w:rPr>
        <w:t>年</w:t>
      </w:r>
      <w:r>
        <w:rPr>
          <w:lang w:eastAsia="zh-CN"/>
        </w:rPr>
        <w:t>12</w:t>
      </w:r>
      <w:r>
        <w:rPr>
          <w:lang w:eastAsia="zh-CN"/>
        </w:rPr>
        <w:t>月</w:t>
      </w:r>
      <w:r>
        <w:rPr>
          <w:lang w:eastAsia="zh-CN"/>
        </w:rPr>
        <w:t>31</w:t>
      </w:r>
      <w:r>
        <w:rPr>
          <w:lang w:eastAsia="zh-CN"/>
        </w:rPr>
        <w:t>日止年度的业绩公告，其中明确陈述「</w:t>
      </w:r>
      <w:r>
        <w:rPr>
          <w:i/>
          <w:lang w:eastAsia="zh-CN"/>
        </w:rPr>
        <w:t>这些财务报表也符合香港交易所《上市规则》中的适用披露条文</w:t>
      </w:r>
      <w:r>
        <w:rPr>
          <w:lang w:eastAsia="zh-CN"/>
        </w:rPr>
        <w:t>」。根据香港交易所《上市规则》第</w:t>
      </w:r>
      <w:r>
        <w:rPr>
          <w:lang w:eastAsia="zh-CN"/>
        </w:rPr>
        <w:t>13.49</w:t>
      </w:r>
      <w:r>
        <w:rPr>
          <w:lang w:eastAsia="zh-CN"/>
        </w:rPr>
        <w:t>条及附录</w:t>
      </w:r>
      <w:r>
        <w:rPr>
          <w:lang w:eastAsia="zh-CN"/>
        </w:rPr>
        <w:t>16</w:t>
      </w:r>
      <w:r>
        <w:rPr>
          <w:lang w:eastAsia="zh-CN"/>
        </w:rPr>
        <w:t>，该公告被裁定暗示披露的财务报表已「</w:t>
      </w:r>
      <w:r>
        <w:rPr>
          <w:i/>
          <w:lang w:eastAsia="zh-CN"/>
        </w:rPr>
        <w:t>获得公司核数师同意</w:t>
      </w:r>
      <w:r>
        <w:rPr>
          <w:lang w:eastAsia="zh-CN"/>
        </w:rPr>
        <w:t>」。事实并非如此。该公司</w:t>
      </w:r>
      <w:r>
        <w:rPr>
          <w:lang w:eastAsia="zh-CN"/>
        </w:rPr>
        <w:t>随后发布澄清公告，承认该业绩公告中载列出的合并财务报表未经审计或获核数师同意。公司董事会知悉，在公司公布业绩时，核数师</w:t>
      </w:r>
      <w:r>
        <w:rPr>
          <w:lang w:eastAsia="zh-CN"/>
        </w:rPr>
        <w:lastRenderedPageBreak/>
        <w:t>尚未同意财务报表。核数师明确表示其没有同意据称在业绩公告中披露的财务报表，且在他们完成审计工作之前，必须进行进一步的审计程序。</w:t>
      </w:r>
    </w:p>
    <w:p w:rsidR="00D948C4" w:rsidRDefault="00040B61">
      <w:pPr>
        <w:pStyle w:val="BodyText"/>
        <w:rPr>
          <w:lang w:eastAsia="zh-CN"/>
        </w:rPr>
      </w:pPr>
      <w:r>
        <w:rPr>
          <w:lang w:eastAsia="zh-CN"/>
        </w:rPr>
        <w:t>该公告违反了香港交易所《上市规则》规定，且其向证监会提供特定的虚假或具误导性资料亦构成《证券及期货条例》第</w:t>
      </w:r>
      <w:r>
        <w:rPr>
          <w:lang w:eastAsia="zh-CN"/>
        </w:rPr>
        <w:t>384</w:t>
      </w:r>
      <w:r>
        <w:rPr>
          <w:lang w:eastAsia="zh-CN"/>
        </w:rPr>
        <w:t>条中的刑事犯罪。</w:t>
      </w:r>
      <w:r>
        <w:rPr>
          <w:lang w:eastAsia="zh-CN"/>
        </w:rPr>
        <w:t>DBA</w:t>
      </w:r>
      <w:r>
        <w:rPr>
          <w:lang w:eastAsia="zh-CN"/>
        </w:rPr>
        <w:t>没有试图纠正或者澄清这一状况。参与该公告刊发及拟备过程并且知悉财务报表并未获得核数师同意的陈先生被裁定罪名成立并遭罚款</w:t>
      </w:r>
      <w:r>
        <w:rPr>
          <w:lang w:eastAsia="zh-CN"/>
        </w:rPr>
        <w:t>6</w:t>
      </w:r>
      <w:r>
        <w:rPr>
          <w:lang w:eastAsia="zh-CN"/>
        </w:rPr>
        <w:t>万港元。</w:t>
      </w:r>
    </w:p>
    <w:p w:rsidR="00D948C4" w:rsidRDefault="00040B61">
      <w:pPr>
        <w:pStyle w:val="BodyText"/>
        <w:rPr>
          <w:lang w:eastAsia="zh-CN"/>
        </w:rPr>
      </w:pPr>
      <w:r>
        <w:rPr>
          <w:lang w:eastAsia="zh-CN"/>
        </w:rPr>
        <w:t>该公司股票买卖于</w:t>
      </w:r>
      <w:r>
        <w:rPr>
          <w:lang w:eastAsia="zh-CN"/>
        </w:rPr>
        <w:t>2013</w:t>
      </w:r>
      <w:r>
        <w:rPr>
          <w:lang w:eastAsia="zh-CN"/>
        </w:rPr>
        <w:t>年</w:t>
      </w:r>
      <w:r>
        <w:rPr>
          <w:lang w:eastAsia="zh-CN"/>
        </w:rPr>
        <w:t>6</w:t>
      </w:r>
      <w:r>
        <w:rPr>
          <w:lang w:eastAsia="zh-CN"/>
        </w:rPr>
        <w:t>月停牌，而</w:t>
      </w:r>
      <w:r>
        <w:rPr>
          <w:lang w:eastAsia="zh-CN"/>
        </w:rPr>
        <w:t>DBA</w:t>
      </w:r>
      <w:r>
        <w:rPr>
          <w:lang w:eastAsia="zh-CN"/>
        </w:rPr>
        <w:t>于</w:t>
      </w:r>
      <w:r>
        <w:rPr>
          <w:lang w:eastAsia="zh-CN"/>
        </w:rPr>
        <w:t>2020</w:t>
      </w:r>
      <w:r>
        <w:rPr>
          <w:lang w:eastAsia="zh-CN"/>
        </w:rPr>
        <w:t>年</w:t>
      </w:r>
      <w:r>
        <w:rPr>
          <w:lang w:eastAsia="zh-CN"/>
        </w:rPr>
        <w:t>11</w:t>
      </w:r>
      <w:r>
        <w:rPr>
          <w:lang w:eastAsia="zh-CN"/>
        </w:rPr>
        <w:t>月</w:t>
      </w:r>
      <w:r>
        <w:rPr>
          <w:lang w:eastAsia="zh-CN"/>
        </w:rPr>
        <w:t>30</w:t>
      </w:r>
      <w:r>
        <w:rPr>
          <w:lang w:eastAsia="zh-CN"/>
        </w:rPr>
        <w:t>日被除牌。</w:t>
      </w:r>
    </w:p>
    <w:p w:rsidR="00D948C4" w:rsidRDefault="00040B61">
      <w:pPr>
        <w:pStyle w:val="BodyText"/>
        <w:rPr>
          <w:lang w:eastAsia="zh-CN"/>
        </w:rPr>
      </w:pPr>
      <w:r>
        <w:rPr>
          <w:lang w:eastAsia="zh-CN"/>
        </w:rPr>
        <w:t>2022</w:t>
      </w:r>
      <w:r>
        <w:rPr>
          <w:lang w:eastAsia="zh-CN"/>
        </w:rPr>
        <w:t>年</w:t>
      </w:r>
      <w:r>
        <w:rPr>
          <w:lang w:eastAsia="zh-CN"/>
        </w:rPr>
        <w:t>3</w:t>
      </w:r>
      <w:r>
        <w:rPr>
          <w:lang w:eastAsia="zh-CN"/>
        </w:rPr>
        <w:t>月</w:t>
      </w:r>
      <w:r>
        <w:rPr>
          <w:lang w:eastAsia="zh-CN"/>
        </w:rPr>
        <w:t>9</w:t>
      </w:r>
      <w:r>
        <w:rPr>
          <w:lang w:eastAsia="zh-CN"/>
        </w:rPr>
        <w:t>日，原讼法庭针对陈先生及忻先生发出了取消资格令，分别为期</w:t>
      </w:r>
      <w:r>
        <w:rPr>
          <w:lang w:eastAsia="zh-CN"/>
        </w:rPr>
        <w:t>6</w:t>
      </w:r>
      <w:r>
        <w:rPr>
          <w:lang w:eastAsia="zh-CN"/>
        </w:rPr>
        <w:t>年及</w:t>
      </w:r>
      <w:r>
        <w:rPr>
          <w:lang w:eastAsia="zh-CN"/>
        </w:rPr>
        <w:t>18</w:t>
      </w:r>
      <w:r>
        <w:rPr>
          <w:lang w:eastAsia="zh-CN"/>
        </w:rPr>
        <w:t>个月。法庭是在陈及忻承认他们没有以应有的技能及谨慎态度行事（程度相当于别人合理地预期一名具备相同知识及专长的人士所应有的程度），以及已违反各自对</w:t>
      </w:r>
      <w:r>
        <w:rPr>
          <w:lang w:eastAsia="zh-CN"/>
        </w:rPr>
        <w:t>DBA</w:t>
      </w:r>
      <w:r>
        <w:rPr>
          <w:lang w:eastAsia="zh-CN"/>
        </w:rPr>
        <w:t>的责任后，作出上述取消资格命令。由于公司的财务状况被严重歪曲，陈先生被发现在行为上严重无能或疏忽；该等失实陈述对公司股东和投资大众造成损害；涉嫌欺诈；且该等失实陈述至少持续了三年（从</w:t>
      </w:r>
      <w:r>
        <w:rPr>
          <w:lang w:eastAsia="zh-CN"/>
        </w:rPr>
        <w:t>2010</w:t>
      </w:r>
      <w:r>
        <w:rPr>
          <w:lang w:eastAsia="zh-CN"/>
        </w:rPr>
        <w:t>年到</w:t>
      </w:r>
      <w:r>
        <w:rPr>
          <w:lang w:eastAsia="zh-CN"/>
        </w:rPr>
        <w:t>2012</w:t>
      </w:r>
      <w:r>
        <w:rPr>
          <w:lang w:eastAsia="zh-CN"/>
        </w:rPr>
        <w:t>年</w:t>
      </w:r>
      <w:r>
        <w:rPr>
          <w:lang w:eastAsia="zh-CN"/>
        </w:rPr>
        <w:t>)</w:t>
      </w:r>
      <w:r>
        <w:rPr>
          <w:lang w:eastAsia="zh-CN"/>
        </w:rPr>
        <w:t>。他被裁定对已采用《证券及期货条例》第</w:t>
      </w:r>
      <w:r>
        <w:rPr>
          <w:lang w:eastAsia="zh-CN"/>
        </w:rPr>
        <w:t>214(b)–(d)</w:t>
      </w:r>
      <w:r>
        <w:rPr>
          <w:lang w:eastAsia="zh-CN"/>
        </w:rPr>
        <w:t>条所描述的方式开展的公司业务或者事务负责。</w:t>
      </w:r>
    </w:p>
    <w:p w:rsidR="00D948C4" w:rsidRDefault="00040B61">
      <w:pPr>
        <w:pStyle w:val="BodyText"/>
        <w:rPr>
          <w:lang w:eastAsia="zh-CN"/>
        </w:rPr>
      </w:pPr>
      <w:r>
        <w:rPr>
          <w:lang w:eastAsia="zh-CN"/>
        </w:rPr>
        <w:t>忻先生是公司的独立非执行董事以及公司审计委员会成员。身为该公司审计委员会成员，他完全知晓公司财务报表未获得公司核数师同意。他虽然不负责刊发业绩公告，但是在</w:t>
      </w:r>
      <w:r>
        <w:rPr>
          <w:lang w:eastAsia="zh-CN"/>
        </w:rPr>
        <w:t>2013</w:t>
      </w:r>
      <w:r>
        <w:rPr>
          <w:lang w:eastAsia="zh-CN"/>
        </w:rPr>
        <w:t>年</w:t>
      </w:r>
      <w:r>
        <w:rPr>
          <w:lang w:eastAsia="zh-CN"/>
        </w:rPr>
        <w:t>3</w:t>
      </w:r>
      <w:r>
        <w:rPr>
          <w:lang w:eastAsia="zh-CN"/>
        </w:rPr>
        <w:t>月</w:t>
      </w:r>
      <w:r>
        <w:rPr>
          <w:lang w:eastAsia="zh-CN"/>
        </w:rPr>
        <w:t>28</w:t>
      </w:r>
      <w:r>
        <w:rPr>
          <w:lang w:eastAsia="zh-CN"/>
        </w:rPr>
        <w:t>日至</w:t>
      </w:r>
      <w:r>
        <w:rPr>
          <w:lang w:eastAsia="zh-CN"/>
        </w:rPr>
        <w:t>2013</w:t>
      </w:r>
      <w:r>
        <w:rPr>
          <w:lang w:eastAsia="zh-CN"/>
        </w:rPr>
        <w:t>年</w:t>
      </w:r>
      <w:r>
        <w:rPr>
          <w:lang w:eastAsia="zh-CN"/>
        </w:rPr>
        <w:t>6</w:t>
      </w:r>
      <w:r>
        <w:rPr>
          <w:lang w:eastAsia="zh-CN"/>
        </w:rPr>
        <w:t>月</w:t>
      </w:r>
      <w:r>
        <w:rPr>
          <w:lang w:eastAsia="zh-CN"/>
        </w:rPr>
        <w:t>18</w:t>
      </w:r>
      <w:r>
        <w:rPr>
          <w:lang w:eastAsia="zh-CN"/>
        </w:rPr>
        <w:t>日接近三个月的期间内，准许或容许该公司继续作出失实陈述，并且没有促使公司及时作出修正或澄清。</w:t>
      </w:r>
    </w:p>
    <w:p w:rsidR="00D948C4" w:rsidRDefault="00040B61">
      <w:pPr>
        <w:pStyle w:val="BodyText"/>
        <w:rPr>
          <w:lang w:eastAsia="zh-CN"/>
        </w:rPr>
      </w:pPr>
      <w:r>
        <w:rPr>
          <w:lang w:eastAsia="zh-CN"/>
        </w:rPr>
        <w:t>证监会发现他没有以应有的技能及谨慎态度行事（程度相当于别人合理地预期一名具备相同知识及专长且在其公司内部担任职务或者职</w:t>
      </w:r>
      <w:r>
        <w:rPr>
          <w:lang w:eastAsia="zh-CN"/>
        </w:rPr>
        <w:t>能的人士所应有的程度），以及违反了其对公司的诚信责任。他被裁定对已采用《证券及期货条例》第</w:t>
      </w:r>
      <w:r>
        <w:rPr>
          <w:lang w:eastAsia="zh-CN"/>
        </w:rPr>
        <w:t>214(b)–(d)</w:t>
      </w:r>
      <w:r>
        <w:rPr>
          <w:lang w:eastAsia="zh-CN"/>
        </w:rPr>
        <w:t>条所描述的方式开展的公司业务或者事务负责。</w:t>
      </w:r>
    </w:p>
    <w:p w:rsidR="00D948C4" w:rsidRDefault="00040B61">
      <w:pPr>
        <w:pStyle w:val="BodyText"/>
        <w:rPr>
          <w:lang w:eastAsia="zh-CN"/>
        </w:rPr>
      </w:pPr>
      <w:r>
        <w:rPr>
          <w:lang w:eastAsia="zh-CN"/>
        </w:rPr>
        <w:t>英皇证券</w:t>
      </w:r>
      <w:r>
        <w:rPr>
          <w:lang w:eastAsia="zh-CN"/>
        </w:rPr>
        <w:t>(</w:t>
      </w:r>
      <w:r>
        <w:rPr>
          <w:lang w:eastAsia="zh-CN"/>
        </w:rPr>
        <w:t>香港</w:t>
      </w:r>
      <w:r>
        <w:rPr>
          <w:lang w:eastAsia="zh-CN"/>
        </w:rPr>
        <w:t>)</w:t>
      </w:r>
      <w:r>
        <w:rPr>
          <w:lang w:eastAsia="zh-CN"/>
        </w:rPr>
        <w:t>有限公司及英皇期货有限公司因违反有关打击洗钱的监管规定而遭证监会谴责及罚款</w:t>
      </w:r>
    </w:p>
    <w:p w:rsidR="00D948C4" w:rsidRDefault="00040B61">
      <w:pPr>
        <w:pStyle w:val="BodyText"/>
        <w:rPr>
          <w:lang w:eastAsia="zh-CN"/>
        </w:rPr>
      </w:pPr>
      <w:r>
        <w:rPr>
          <w:lang w:eastAsia="zh-CN"/>
        </w:rPr>
        <w:t>2022</w:t>
      </w:r>
      <w:r>
        <w:rPr>
          <w:lang w:eastAsia="zh-CN"/>
        </w:rPr>
        <w:t>年</w:t>
      </w:r>
      <w:r>
        <w:rPr>
          <w:lang w:eastAsia="zh-CN"/>
        </w:rPr>
        <w:t>3</w:t>
      </w:r>
      <w:r>
        <w:rPr>
          <w:lang w:eastAsia="zh-CN"/>
        </w:rPr>
        <w:t>月</w:t>
      </w:r>
      <w:r>
        <w:rPr>
          <w:lang w:eastAsia="zh-CN"/>
        </w:rPr>
        <w:t>16</w:t>
      </w:r>
      <w:r>
        <w:rPr>
          <w:lang w:eastAsia="zh-CN"/>
        </w:rPr>
        <w:t>日，证监会谴责英皇证券</w:t>
      </w:r>
      <w:r>
        <w:rPr>
          <w:lang w:eastAsia="zh-CN"/>
        </w:rPr>
        <w:t>(</w:t>
      </w:r>
      <w:r>
        <w:rPr>
          <w:lang w:eastAsia="zh-CN"/>
        </w:rPr>
        <w:t>香港</w:t>
      </w:r>
      <w:r>
        <w:rPr>
          <w:lang w:eastAsia="zh-CN"/>
        </w:rPr>
        <w:t>)</w:t>
      </w:r>
      <w:r>
        <w:rPr>
          <w:lang w:eastAsia="zh-CN"/>
        </w:rPr>
        <w:t>有限公司（</w:t>
      </w:r>
      <w:r>
        <w:rPr>
          <w:b/>
          <w:lang w:eastAsia="zh-CN"/>
        </w:rPr>
        <w:t>英皇证券</w:t>
      </w:r>
      <w:r>
        <w:rPr>
          <w:lang w:eastAsia="zh-CN"/>
        </w:rPr>
        <w:t>）及英皇期货有限公司（</w:t>
      </w:r>
      <w:r>
        <w:rPr>
          <w:b/>
          <w:lang w:eastAsia="zh-CN"/>
        </w:rPr>
        <w:t>英皇</w:t>
      </w:r>
      <w:bookmarkStart w:id="0" w:name="_GoBack"/>
      <w:r>
        <w:rPr>
          <w:b/>
          <w:lang w:eastAsia="zh-CN"/>
        </w:rPr>
        <w:t>期货</w:t>
      </w:r>
      <w:r>
        <w:rPr>
          <w:lang w:eastAsia="zh-CN"/>
        </w:rPr>
        <w:t>）（统称</w:t>
      </w:r>
      <w:r>
        <w:rPr>
          <w:lang w:eastAsia="zh-CN"/>
        </w:rPr>
        <w:t>“</w:t>
      </w:r>
      <w:r>
        <w:rPr>
          <w:b/>
          <w:lang w:eastAsia="zh-CN"/>
        </w:rPr>
        <w:t>英皇</w:t>
      </w:r>
      <w:r>
        <w:rPr>
          <w:lang w:eastAsia="zh-CN"/>
        </w:rPr>
        <w:t>”</w:t>
      </w:r>
      <w:r>
        <w:rPr>
          <w:lang w:eastAsia="zh-CN"/>
        </w:rPr>
        <w:t>）并处以</w:t>
      </w:r>
      <w:r>
        <w:rPr>
          <w:lang w:eastAsia="zh-CN"/>
        </w:rPr>
        <w:t>540</w:t>
      </w:r>
      <w:r>
        <w:rPr>
          <w:lang w:eastAsia="zh-CN"/>
        </w:rPr>
        <w:t>万港元罚款，原因是英皇没有遵守有关打击洗钱及恐怖分子资金</w:t>
      </w:r>
      <w:bookmarkEnd w:id="0"/>
      <w:r>
        <w:rPr>
          <w:lang w:eastAsia="zh-CN"/>
        </w:rPr>
        <w:t>筹集的监管规定。证监会是依据《证券及期货条例》第</w:t>
      </w:r>
      <w:r>
        <w:rPr>
          <w:lang w:eastAsia="zh-CN"/>
        </w:rPr>
        <w:t>194</w:t>
      </w:r>
      <w:r>
        <w:rPr>
          <w:lang w:eastAsia="zh-CN"/>
        </w:rPr>
        <w:t>条规定作出的该项行动。证监会发</w:t>
      </w:r>
      <w:r>
        <w:rPr>
          <w:lang w:eastAsia="zh-CN"/>
        </w:rPr>
        <w:t>现英皇没有实施充足而有效的政策和程序，以减低与第三者存款及付款相关的洗钱及恐怖分子资金筹集风险。证监会的纪律行动声明载列于</w:t>
      </w:r>
      <w:hyperlink r:id="rId10">
        <w:r>
          <w:rPr>
            <w:lang w:eastAsia="zh-CN"/>
          </w:rPr>
          <w:t>此处</w:t>
        </w:r>
      </w:hyperlink>
      <w:r>
        <w:rPr>
          <w:lang w:eastAsia="zh-CN"/>
        </w:rPr>
        <w:t>。</w:t>
      </w:r>
    </w:p>
    <w:p w:rsidR="00D948C4" w:rsidRDefault="00040B61">
      <w:pPr>
        <w:pStyle w:val="BodyText"/>
        <w:rPr>
          <w:lang w:eastAsia="zh-CN"/>
        </w:rPr>
      </w:pPr>
      <w:r>
        <w:rPr>
          <w:lang w:eastAsia="zh-CN"/>
        </w:rPr>
        <w:t>证监会对违反打击洗钱</w:t>
      </w:r>
      <w:r>
        <w:rPr>
          <w:lang w:eastAsia="zh-CN"/>
        </w:rPr>
        <w:t>/</w:t>
      </w:r>
      <w:r>
        <w:rPr>
          <w:lang w:eastAsia="zh-CN"/>
        </w:rPr>
        <w:t>恐怖分子资金筹集规定的调查结果</w:t>
      </w:r>
    </w:p>
    <w:p w:rsidR="00D948C4" w:rsidRDefault="00040B61">
      <w:pPr>
        <w:pStyle w:val="BodyText"/>
      </w:pPr>
      <w:r>
        <w:rPr>
          <w:lang w:eastAsia="zh-CN"/>
        </w:rPr>
        <w:t>证监会经调查后发现，在</w:t>
      </w:r>
      <w:r>
        <w:rPr>
          <w:lang w:eastAsia="zh-CN"/>
        </w:rPr>
        <w:t>2016</w:t>
      </w:r>
      <w:r>
        <w:rPr>
          <w:lang w:eastAsia="zh-CN"/>
        </w:rPr>
        <w:t>年</w:t>
      </w:r>
      <w:r>
        <w:rPr>
          <w:lang w:eastAsia="zh-CN"/>
        </w:rPr>
        <w:t>12</w:t>
      </w:r>
      <w:r>
        <w:rPr>
          <w:lang w:eastAsia="zh-CN"/>
        </w:rPr>
        <w:t>月</w:t>
      </w:r>
      <w:r>
        <w:rPr>
          <w:lang w:eastAsia="zh-CN"/>
        </w:rPr>
        <w:t>1</w:t>
      </w:r>
      <w:r>
        <w:rPr>
          <w:lang w:eastAsia="zh-CN"/>
        </w:rPr>
        <w:t>日至</w:t>
      </w:r>
      <w:r>
        <w:rPr>
          <w:lang w:eastAsia="zh-CN"/>
        </w:rPr>
        <w:t>2017</w:t>
      </w:r>
      <w:r>
        <w:rPr>
          <w:lang w:eastAsia="zh-CN"/>
        </w:rPr>
        <w:t>年</w:t>
      </w:r>
      <w:r>
        <w:rPr>
          <w:lang w:eastAsia="zh-CN"/>
        </w:rPr>
        <w:t>12</w:t>
      </w:r>
      <w:r>
        <w:rPr>
          <w:lang w:eastAsia="zh-CN"/>
        </w:rPr>
        <w:t>月</w:t>
      </w:r>
      <w:r>
        <w:rPr>
          <w:lang w:eastAsia="zh-CN"/>
        </w:rPr>
        <w:t>10</w:t>
      </w:r>
      <w:r>
        <w:rPr>
          <w:lang w:eastAsia="zh-CN"/>
        </w:rPr>
        <w:t>日期间，英皇没有采取一切合理措施，确保设有合适预防措施，以减低与第三者存款及付款相关的洗钱及恐怖分子资金筹集风险。</w:t>
      </w:r>
      <w:r>
        <w:t>尤其是，英皇没有：</w:t>
      </w:r>
    </w:p>
    <w:p w:rsidR="00D948C4" w:rsidRDefault="00040B61">
      <w:pPr>
        <w:pStyle w:val="Compact"/>
        <w:numPr>
          <w:ilvl w:val="0"/>
          <w:numId w:val="4"/>
        </w:numPr>
        <w:rPr>
          <w:lang w:eastAsia="zh-CN"/>
        </w:rPr>
      </w:pPr>
      <w:r>
        <w:rPr>
          <w:lang w:eastAsia="zh-CN"/>
        </w:rPr>
        <w:t>实施充足而有效的政策和程序以处理第三者资金转账；及</w:t>
      </w:r>
    </w:p>
    <w:p w:rsidR="00D948C4" w:rsidRDefault="00040B61">
      <w:pPr>
        <w:pStyle w:val="Compact"/>
        <w:numPr>
          <w:ilvl w:val="0"/>
          <w:numId w:val="4"/>
        </w:numPr>
        <w:rPr>
          <w:lang w:eastAsia="zh-CN"/>
        </w:rPr>
      </w:pPr>
      <w:r>
        <w:rPr>
          <w:lang w:eastAsia="zh-CN"/>
        </w:rPr>
        <w:t>在核准第三者资金转账前作适当查询。</w:t>
      </w:r>
    </w:p>
    <w:p w:rsidR="00D948C4" w:rsidRDefault="00040B61">
      <w:pPr>
        <w:pStyle w:val="FirstParagraph"/>
        <w:rPr>
          <w:lang w:eastAsia="zh-CN"/>
        </w:rPr>
      </w:pPr>
      <w:r>
        <w:rPr>
          <w:lang w:eastAsia="zh-CN"/>
        </w:rPr>
        <w:t>在有关期间内，英皇证券处理并核准了</w:t>
      </w:r>
      <w:r>
        <w:rPr>
          <w:lang w:eastAsia="zh-CN"/>
        </w:rPr>
        <w:t>732</w:t>
      </w:r>
      <w:r>
        <w:rPr>
          <w:lang w:eastAsia="zh-CN"/>
        </w:rPr>
        <w:t>项第三者资金转账（总金额约为</w:t>
      </w:r>
      <w:r>
        <w:rPr>
          <w:lang w:eastAsia="zh-CN"/>
        </w:rPr>
        <w:t>10.5</w:t>
      </w:r>
      <w:r>
        <w:rPr>
          <w:lang w:eastAsia="zh-CN"/>
        </w:rPr>
        <w:t>亿港元），而英皇期货处理并核准了</w:t>
      </w:r>
      <w:r>
        <w:rPr>
          <w:lang w:eastAsia="zh-CN"/>
        </w:rPr>
        <w:t>32</w:t>
      </w:r>
      <w:r>
        <w:rPr>
          <w:lang w:eastAsia="zh-CN"/>
        </w:rPr>
        <w:t>项第三者资金转账（总金额约为</w:t>
      </w:r>
      <w:r>
        <w:rPr>
          <w:lang w:eastAsia="zh-CN"/>
        </w:rPr>
        <w:t>1,760</w:t>
      </w:r>
      <w:r>
        <w:rPr>
          <w:lang w:eastAsia="zh-CN"/>
        </w:rPr>
        <w:t>万港元），且均没有进行充分的尽职审查，以验证客户与该等第三者之间的关系及／或</w:t>
      </w:r>
      <w:r>
        <w:rPr>
          <w:lang w:eastAsia="zh-CN"/>
        </w:rPr>
        <w:t>第三者资金转账的原因。相关转账涉及未经核实的关系及／或根据《打击洗钱及恐怖分子资金筹集条例》（</w:t>
      </w:r>
      <w:r>
        <w:rPr>
          <w:b/>
          <w:lang w:eastAsia="zh-CN"/>
        </w:rPr>
        <w:t>打击洗钱条例</w:t>
      </w:r>
      <w:r>
        <w:rPr>
          <w:lang w:eastAsia="zh-CN"/>
        </w:rPr>
        <w:t>）及《打击洗钱及恐怖分子资金筹集指引》（</w:t>
      </w:r>
      <w:r>
        <w:rPr>
          <w:b/>
          <w:lang w:eastAsia="zh-CN"/>
        </w:rPr>
        <w:t>打击洗钱指引</w:t>
      </w:r>
      <w:r>
        <w:rPr>
          <w:lang w:eastAsia="zh-CN"/>
        </w:rPr>
        <w:t>）可能出现可疑交易的情况。</w:t>
      </w:r>
    </w:p>
    <w:p w:rsidR="00D948C4" w:rsidRDefault="00040B61">
      <w:pPr>
        <w:pStyle w:val="BodyText"/>
        <w:rPr>
          <w:lang w:eastAsia="zh-CN"/>
        </w:rPr>
      </w:pPr>
      <w:r>
        <w:rPr>
          <w:lang w:eastAsia="zh-CN"/>
        </w:rPr>
        <w:lastRenderedPageBreak/>
        <w:t>转账的收款人及发款人均为与客户的关系未经核实或难以核实的第三者，包括向以下方的转账：配偶及亲属、董事、股东、商业伙伴及放债人，以及朋友或者同事。</w:t>
      </w:r>
    </w:p>
    <w:p w:rsidR="00D948C4" w:rsidRDefault="00040B61">
      <w:pPr>
        <w:pStyle w:val="BodyText"/>
      </w:pPr>
      <w:r>
        <w:rPr>
          <w:lang w:eastAsia="zh-CN"/>
        </w:rPr>
        <w:t>该等转账引起了预警迹象，原因是其无明显经济或合法目的，而且超出客户一般要求的正常服务范围。</w:t>
      </w:r>
      <w:r>
        <w:t>证监会指出：</w:t>
      </w:r>
    </w:p>
    <w:p w:rsidR="00D948C4" w:rsidRDefault="00040B61">
      <w:pPr>
        <w:pStyle w:val="Compact"/>
        <w:numPr>
          <w:ilvl w:val="0"/>
          <w:numId w:val="5"/>
        </w:numPr>
        <w:rPr>
          <w:lang w:eastAsia="zh-CN"/>
        </w:rPr>
      </w:pPr>
      <w:r>
        <w:rPr>
          <w:lang w:eastAsia="zh-CN"/>
        </w:rPr>
        <w:t>25%</w:t>
      </w:r>
      <w:r>
        <w:rPr>
          <w:lang w:eastAsia="zh-CN"/>
        </w:rPr>
        <w:t>的转账没有在第三者资金转账指示表格内说明原因，故转账原因不详；</w:t>
      </w:r>
    </w:p>
    <w:p w:rsidR="00D948C4" w:rsidRDefault="00040B61">
      <w:pPr>
        <w:pStyle w:val="Compact"/>
        <w:numPr>
          <w:ilvl w:val="0"/>
          <w:numId w:val="5"/>
        </w:numPr>
        <w:rPr>
          <w:lang w:eastAsia="zh-CN"/>
        </w:rPr>
      </w:pPr>
      <w:r>
        <w:rPr>
          <w:lang w:eastAsia="zh-CN"/>
        </w:rPr>
        <w:t>40%</w:t>
      </w:r>
      <w:r>
        <w:rPr>
          <w:lang w:eastAsia="zh-CN"/>
        </w:rPr>
        <w:t>的转账的原因被注明为是贷款、偿还贷款、资金调动及业务发展／安排，但这些理由都没有任何相关文件支持，以便能有意义地解释上述转账是否有任何明显经济或合法目的，以及为何客户须使用其证券户口向</w:t>
      </w:r>
      <w:r>
        <w:rPr>
          <w:lang w:eastAsia="zh-CN"/>
        </w:rPr>
        <w:t>/</w:t>
      </w:r>
      <w:r>
        <w:rPr>
          <w:lang w:eastAsia="zh-CN"/>
        </w:rPr>
        <w:t>与第三者进行该等转账；及</w:t>
      </w:r>
    </w:p>
    <w:p w:rsidR="00D948C4" w:rsidRDefault="00040B61">
      <w:pPr>
        <w:pStyle w:val="Compact"/>
        <w:numPr>
          <w:ilvl w:val="0"/>
          <w:numId w:val="5"/>
        </w:numPr>
        <w:rPr>
          <w:lang w:eastAsia="zh-CN"/>
        </w:rPr>
      </w:pPr>
      <w:r>
        <w:rPr>
          <w:lang w:eastAsia="zh-CN"/>
        </w:rPr>
        <w:t>26%</w:t>
      </w:r>
      <w:r>
        <w:rPr>
          <w:lang w:eastAsia="zh-CN"/>
        </w:rPr>
        <w:t>的转账的原因被注明为身处香港境外，没有香港银行户口，需要支付生活费，以及不方便出行或处理财务事宜。这些理由无法就上述的第三者资金转账作出令人满意的解释，及／或超出客户一般要求的正常服务范围。</w:t>
      </w:r>
    </w:p>
    <w:p w:rsidR="00D948C4" w:rsidRDefault="00040B61">
      <w:pPr>
        <w:pStyle w:val="FirstParagraph"/>
        <w:rPr>
          <w:lang w:eastAsia="zh-CN"/>
        </w:rPr>
      </w:pPr>
      <w:r>
        <w:rPr>
          <w:lang w:eastAsia="zh-CN"/>
        </w:rPr>
        <w:t>其他异常转账的例子涉及与同一名第三者之间频密的转账往来。还有个案中，有三名客户之间在同一日进行</w:t>
      </w:r>
      <w:r>
        <w:rPr>
          <w:lang w:eastAsia="zh-CN"/>
        </w:rPr>
        <w:t>1.6</w:t>
      </w:r>
      <w:r>
        <w:rPr>
          <w:lang w:eastAsia="zh-CN"/>
        </w:rPr>
        <w:t>亿</w:t>
      </w:r>
      <w:r>
        <w:rPr>
          <w:lang w:eastAsia="zh-CN"/>
        </w:rPr>
        <w:t>港元的转账，即由公司</w:t>
      </w:r>
      <w:r>
        <w:rPr>
          <w:lang w:eastAsia="zh-CN"/>
        </w:rPr>
        <w:t>A</w:t>
      </w:r>
      <w:r>
        <w:rPr>
          <w:lang w:eastAsia="zh-CN"/>
        </w:rPr>
        <w:t>向客户</w:t>
      </w:r>
      <w:r>
        <w:rPr>
          <w:lang w:eastAsia="zh-CN"/>
        </w:rPr>
        <w:t>B</w:t>
      </w:r>
      <w:r>
        <w:rPr>
          <w:lang w:eastAsia="zh-CN"/>
        </w:rPr>
        <w:t>转账，然后由客户</w:t>
      </w:r>
      <w:r>
        <w:rPr>
          <w:lang w:eastAsia="zh-CN"/>
        </w:rPr>
        <w:t>B</w:t>
      </w:r>
      <w:r>
        <w:rPr>
          <w:lang w:eastAsia="zh-CN"/>
        </w:rPr>
        <w:t>向公司</w:t>
      </w:r>
      <w:r>
        <w:rPr>
          <w:lang w:eastAsia="zh-CN"/>
        </w:rPr>
        <w:t>C</w:t>
      </w:r>
      <w:r>
        <w:rPr>
          <w:lang w:eastAsia="zh-CN"/>
        </w:rPr>
        <w:t>转账。然而，公司</w:t>
      </w:r>
      <w:r>
        <w:rPr>
          <w:lang w:eastAsia="zh-CN"/>
        </w:rPr>
        <w:t>A</w:t>
      </w:r>
      <w:r>
        <w:rPr>
          <w:lang w:eastAsia="zh-CN"/>
        </w:rPr>
        <w:t>及公司</w:t>
      </w:r>
      <w:r>
        <w:rPr>
          <w:lang w:eastAsia="zh-CN"/>
        </w:rPr>
        <w:t>C</w:t>
      </w:r>
      <w:r>
        <w:rPr>
          <w:lang w:eastAsia="zh-CN"/>
        </w:rPr>
        <w:t>就该等转账所提供的公司文件内，没有披露有关其声称的关系的资料，亦未能提供进行该等转账的理由。英皇没有作出查询，以查明为何由公司</w:t>
      </w:r>
      <w:r>
        <w:rPr>
          <w:lang w:eastAsia="zh-CN"/>
        </w:rPr>
        <w:t>A</w:t>
      </w:r>
      <w:r>
        <w:rPr>
          <w:lang w:eastAsia="zh-CN"/>
        </w:rPr>
        <w:t>转账至公司</w:t>
      </w:r>
      <w:r>
        <w:rPr>
          <w:lang w:eastAsia="zh-CN"/>
        </w:rPr>
        <w:t>C</w:t>
      </w:r>
      <w:r>
        <w:rPr>
          <w:lang w:eastAsia="zh-CN"/>
        </w:rPr>
        <w:t>，要经由客户</w:t>
      </w:r>
      <w:r>
        <w:rPr>
          <w:lang w:eastAsia="zh-CN"/>
        </w:rPr>
        <w:t>B</w:t>
      </w:r>
      <w:r>
        <w:rPr>
          <w:lang w:eastAsia="zh-CN"/>
        </w:rPr>
        <w:t>的账户进行。</w:t>
      </w:r>
    </w:p>
    <w:p w:rsidR="00D948C4" w:rsidRDefault="00040B61">
      <w:pPr>
        <w:pStyle w:val="BodyText"/>
        <w:rPr>
          <w:lang w:eastAsia="zh-CN"/>
        </w:rPr>
      </w:pPr>
      <w:r>
        <w:rPr>
          <w:lang w:eastAsia="zh-CN"/>
        </w:rPr>
        <w:t>英皇采用了机械式核查的做法，例行地依赖客户提供的数据处理第三者资金转帐，而没有妥善地审查这些转账是否合理。英皇的程序及监控措施未能有效地令其员工得以侦测到预警迹象，并确保他们能够妥善地监察，及向联合财富情报组报告这些可疑交易。</w:t>
      </w:r>
    </w:p>
    <w:p w:rsidR="00D948C4" w:rsidRDefault="00040B61">
      <w:pPr>
        <w:pStyle w:val="BodyText"/>
        <w:rPr>
          <w:lang w:eastAsia="zh-CN"/>
        </w:rPr>
      </w:pPr>
      <w:r>
        <w:rPr>
          <w:lang w:eastAsia="zh-CN"/>
        </w:rPr>
        <w:t>有指出虽然英皇的政策规定员工就第三</w:t>
      </w:r>
      <w:r>
        <w:rPr>
          <w:lang w:eastAsia="zh-CN"/>
        </w:rPr>
        <w:t>者付款须向客户作出电话确认，但就第三者存款而言却没有这项规定。而且，英皇没有就在作出电话确认时应提出的查询向其员工提供指引。英皇的员工承认，他们仅会向客户重新确认相关交易，而不会作出进一步查询来核实有关资料。</w:t>
      </w:r>
    </w:p>
    <w:p w:rsidR="00D948C4" w:rsidRDefault="00040B61">
      <w:pPr>
        <w:pStyle w:val="BodyText"/>
        <w:rPr>
          <w:lang w:eastAsia="zh-CN"/>
        </w:rPr>
      </w:pPr>
      <w:r>
        <w:rPr>
          <w:lang w:eastAsia="zh-CN"/>
        </w:rPr>
        <w:t>尽管英皇的政策述明，客户就第三者资金转账的要求须获得英皇的管理层特别批准，而客户需就有关要求提供充分的理据，并非所有版本的表格均要求客户列明转账的理由。鉴于英皇在客户没有提供理由的情况下批准转帐，英皇的员工及管理层没有恰当的理解，这一点也是显而易见的。即使相关表格内有述明理由，英皇的政策没有规定其员工</w:t>
      </w:r>
      <w:r>
        <w:rPr>
          <w:lang w:eastAsia="zh-CN"/>
        </w:rPr>
        <w:t>作出进一步查询，或要求客户提供任何证明文件，以核实相关理由。结果，英皇仍然批准了涉及明显警迹象的有关转账。</w:t>
      </w:r>
    </w:p>
    <w:p w:rsidR="00D948C4" w:rsidRDefault="00040B61">
      <w:pPr>
        <w:pStyle w:val="BodyText"/>
        <w:rPr>
          <w:lang w:eastAsia="zh-CN"/>
        </w:rPr>
      </w:pPr>
      <w:r>
        <w:rPr>
          <w:lang w:eastAsia="zh-CN"/>
        </w:rPr>
        <w:t>证监会发现，尽管英皇的政策要求客户就第三者资金转账提供充分的理据，但是事实上英皇在客户没有提供理由的情况下仍然批准了部分第三方转帐。如提供转账理由，英皇员工依赖该客户提供的资料，且并无作出查询或者要求该等客户提供证明文件以作核实。而且，虽然客户需要说明他们与第三者的关系，但英皇的政策没有要求客户提供文件来证明其说明。</w:t>
      </w:r>
    </w:p>
    <w:p w:rsidR="00D948C4" w:rsidRDefault="00040B61">
      <w:pPr>
        <w:pStyle w:val="BodyText"/>
        <w:rPr>
          <w:lang w:eastAsia="zh-CN"/>
        </w:rPr>
      </w:pPr>
      <w:r>
        <w:rPr>
          <w:lang w:eastAsia="zh-CN"/>
        </w:rPr>
        <w:t>违反《打击洗钱及恐怖分子资金筹集条例》</w:t>
      </w:r>
    </w:p>
    <w:p w:rsidR="00D948C4" w:rsidRDefault="00040B61">
      <w:pPr>
        <w:pStyle w:val="BodyText"/>
        <w:rPr>
          <w:lang w:eastAsia="zh-CN"/>
        </w:rPr>
      </w:pPr>
      <w:r>
        <w:rPr>
          <w:lang w:eastAsia="zh-CN"/>
        </w:rPr>
        <w:t>证监会发现英皇已违反《打击洗钱条例》附表</w:t>
      </w:r>
      <w:r>
        <w:rPr>
          <w:lang w:eastAsia="zh-CN"/>
        </w:rPr>
        <w:t>2</w:t>
      </w:r>
      <w:r>
        <w:rPr>
          <w:lang w:eastAsia="zh-CN"/>
        </w:rPr>
        <w:t>第</w:t>
      </w:r>
      <w:r>
        <w:rPr>
          <w:lang w:eastAsia="zh-CN"/>
        </w:rPr>
        <w:t>23</w:t>
      </w:r>
      <w:r>
        <w:rPr>
          <w:lang w:eastAsia="zh-CN"/>
        </w:rPr>
        <w:t>条及《打击洗钱指引》第</w:t>
      </w:r>
      <w:r>
        <w:rPr>
          <w:lang w:eastAsia="zh-CN"/>
        </w:rPr>
        <w:t>2.1</w:t>
      </w:r>
      <w:r>
        <w:rPr>
          <w:lang w:eastAsia="zh-CN"/>
        </w:rPr>
        <w:t>段，因它没有采取所有合理措施，确保设有合适的保障措施，以减低与第三者资金转账有关的洗钱／恐怖分子资金筹集风险。其还违反了《打击洗钱条例》附表</w:t>
      </w:r>
      <w:r>
        <w:rPr>
          <w:lang w:eastAsia="zh-CN"/>
        </w:rPr>
        <w:t>2</w:t>
      </w:r>
      <w:r>
        <w:rPr>
          <w:lang w:eastAsia="zh-CN"/>
        </w:rPr>
        <w:t>第</w:t>
      </w:r>
      <w:r>
        <w:rPr>
          <w:lang w:eastAsia="zh-CN"/>
        </w:rPr>
        <w:t>5(1)</w:t>
      </w:r>
      <w:r>
        <w:rPr>
          <w:lang w:eastAsia="zh-CN"/>
        </w:rPr>
        <w:t>条及《打击洗钱指引》第</w:t>
      </w:r>
      <w:r>
        <w:rPr>
          <w:lang w:eastAsia="zh-CN"/>
        </w:rPr>
        <w:t>5.1</w:t>
      </w:r>
      <w:r>
        <w:rPr>
          <w:lang w:eastAsia="zh-CN"/>
        </w:rPr>
        <w:t>、</w:t>
      </w:r>
      <w:r>
        <w:rPr>
          <w:lang w:eastAsia="zh-CN"/>
        </w:rPr>
        <w:t>5.10</w:t>
      </w:r>
      <w:r>
        <w:rPr>
          <w:lang w:eastAsia="zh-CN"/>
        </w:rPr>
        <w:t>及</w:t>
      </w:r>
      <w:r>
        <w:rPr>
          <w:lang w:eastAsia="zh-CN"/>
        </w:rPr>
        <w:t>5.11</w:t>
      </w:r>
      <w:r>
        <w:rPr>
          <w:lang w:eastAsia="zh-CN"/>
        </w:rPr>
        <w:t>段，因它在处理第三者资金转账时没有进行适当的审查，及勤勉尽责地监察其客户的活动，以减低任何可能出现的洗钱／恐怖分子资金筹集风险。另外，证监会发现英皇违反了《操守准则》第</w:t>
      </w:r>
      <w:r>
        <w:rPr>
          <w:lang w:eastAsia="zh-CN"/>
        </w:rPr>
        <w:t>3</w:t>
      </w:r>
      <w:r>
        <w:rPr>
          <w:lang w:eastAsia="zh-CN"/>
        </w:rPr>
        <w:t>项一般原则，因它没有具备及有效地运用其所需的资源和程序，以便适当地进行其业务活动，以及《操守准则》第</w:t>
      </w:r>
      <w:r>
        <w:rPr>
          <w:lang w:eastAsia="zh-CN"/>
        </w:rPr>
        <w:t>7</w:t>
      </w:r>
      <w:r>
        <w:rPr>
          <w:lang w:eastAsia="zh-CN"/>
        </w:rPr>
        <w:t>项一般原</w:t>
      </w:r>
      <w:r>
        <w:rPr>
          <w:lang w:eastAsia="zh-CN"/>
        </w:rPr>
        <w:t>则及第</w:t>
      </w:r>
      <w:r>
        <w:rPr>
          <w:lang w:eastAsia="zh-CN"/>
        </w:rPr>
        <w:t>12.1</w:t>
      </w:r>
      <w:r>
        <w:rPr>
          <w:lang w:eastAsia="zh-CN"/>
        </w:rPr>
        <w:t>段，因它未有遵守、实施及维持适当的措施，以确保《打击洗钱条例》及《打击洗钱指引》下有关规定获得遵守。</w:t>
      </w:r>
    </w:p>
    <w:p w:rsidR="00D948C4" w:rsidRDefault="00040B61">
      <w:pPr>
        <w:pStyle w:val="BodyText"/>
        <w:rPr>
          <w:lang w:eastAsia="zh-CN"/>
        </w:rPr>
      </w:pPr>
      <w:r>
        <w:rPr>
          <w:lang w:eastAsia="zh-CN"/>
        </w:rPr>
        <w:t>证监会发现英皇犯有失当行为，并对其进行受规管活动的适当人选资格提出质疑。</w:t>
      </w:r>
    </w:p>
    <w:p w:rsidR="00D948C4" w:rsidRDefault="00040B61">
      <w:pPr>
        <w:pStyle w:val="BodyText"/>
        <w:rPr>
          <w:lang w:eastAsia="zh-CN"/>
        </w:rPr>
      </w:pPr>
      <w:r>
        <w:rPr>
          <w:lang w:eastAsia="zh-CN"/>
        </w:rPr>
        <w:lastRenderedPageBreak/>
        <w:t>证监会公开谴责皓天财经集团控股有限公司及刘天倪和公开批评刘静桐违反证监会《公司股份回购守则》</w:t>
      </w:r>
    </w:p>
    <w:p w:rsidR="00D948C4" w:rsidRDefault="00040B61">
      <w:pPr>
        <w:pStyle w:val="BodyText"/>
        <w:rPr>
          <w:lang w:eastAsia="zh-CN"/>
        </w:rPr>
      </w:pPr>
      <w:r>
        <w:rPr>
          <w:lang w:eastAsia="zh-CN"/>
        </w:rPr>
        <w:t>2022</w:t>
      </w:r>
      <w:r>
        <w:rPr>
          <w:lang w:eastAsia="zh-CN"/>
        </w:rPr>
        <w:t>年</w:t>
      </w:r>
      <w:r>
        <w:rPr>
          <w:lang w:eastAsia="zh-CN"/>
        </w:rPr>
        <w:t>3</w:t>
      </w:r>
      <w:r>
        <w:rPr>
          <w:lang w:eastAsia="zh-CN"/>
        </w:rPr>
        <w:t>月</w:t>
      </w:r>
      <w:r>
        <w:rPr>
          <w:lang w:eastAsia="zh-CN"/>
        </w:rPr>
        <w:t>17</w:t>
      </w:r>
      <w:r>
        <w:rPr>
          <w:lang w:eastAsia="zh-CN"/>
        </w:rPr>
        <w:t>日，香港证券及期货事务监察委员会（</w:t>
      </w:r>
      <w:r>
        <w:rPr>
          <w:b/>
          <w:lang w:eastAsia="zh-CN"/>
        </w:rPr>
        <w:t>证监会</w:t>
      </w:r>
      <w:r>
        <w:rPr>
          <w:lang w:eastAsia="zh-CN"/>
        </w:rPr>
        <w:t>）对皓天财经集团控股有限公司（</w:t>
      </w:r>
      <w:r>
        <w:rPr>
          <w:b/>
          <w:lang w:eastAsia="zh-CN"/>
        </w:rPr>
        <w:t>皓天</w:t>
      </w:r>
      <w:r>
        <w:rPr>
          <w:lang w:eastAsia="zh-CN"/>
        </w:rPr>
        <w:t>）及刘天倪（</w:t>
      </w:r>
      <w:r>
        <w:rPr>
          <w:b/>
          <w:lang w:eastAsia="zh-CN"/>
        </w:rPr>
        <w:t>刘主席</w:t>
      </w:r>
      <w:r>
        <w:rPr>
          <w:lang w:eastAsia="zh-CN"/>
        </w:rPr>
        <w:t>）作出公开谴责，并对刘静桐（</w:t>
      </w:r>
      <w:r>
        <w:rPr>
          <w:b/>
          <w:lang w:eastAsia="zh-CN"/>
        </w:rPr>
        <w:t>刘</w:t>
      </w:r>
      <w:r>
        <w:rPr>
          <w:lang w:eastAsia="zh-CN"/>
        </w:rPr>
        <w:t>）作出公开批评，原因是该公司在</w:t>
      </w:r>
      <w:r>
        <w:rPr>
          <w:lang w:eastAsia="zh-CN"/>
        </w:rPr>
        <w:t>2020</w:t>
      </w:r>
      <w:r>
        <w:rPr>
          <w:lang w:eastAsia="zh-CN"/>
        </w:rPr>
        <w:t>年</w:t>
      </w:r>
      <w:r>
        <w:rPr>
          <w:lang w:eastAsia="zh-CN"/>
        </w:rPr>
        <w:t>3</w:t>
      </w:r>
      <w:r>
        <w:rPr>
          <w:lang w:eastAsia="zh-CN"/>
        </w:rPr>
        <w:t>月</w:t>
      </w:r>
      <w:r>
        <w:rPr>
          <w:lang w:eastAsia="zh-CN"/>
        </w:rPr>
        <w:t>27</w:t>
      </w:r>
      <w:r>
        <w:rPr>
          <w:lang w:eastAsia="zh-CN"/>
        </w:rPr>
        <w:t>日进行的股份回购交易违反了证监会《公司股</w:t>
      </w:r>
      <w:r>
        <w:rPr>
          <w:lang w:eastAsia="zh-CN"/>
        </w:rPr>
        <w:t>份回购守则》。证监会的《执行人员声明》载于</w:t>
      </w:r>
      <w:hyperlink r:id="rId11">
        <w:r>
          <w:rPr>
            <w:lang w:eastAsia="zh-CN"/>
          </w:rPr>
          <w:t>此处</w:t>
        </w:r>
      </w:hyperlink>
      <w:r>
        <w:rPr>
          <w:lang w:eastAsia="zh-CN"/>
        </w:rPr>
        <w:t>。</w:t>
      </w:r>
    </w:p>
    <w:p w:rsidR="00D948C4" w:rsidRDefault="00040B61">
      <w:pPr>
        <w:pStyle w:val="BodyText"/>
        <w:rPr>
          <w:lang w:eastAsia="zh-CN"/>
        </w:rPr>
      </w:pPr>
      <w:r>
        <w:rPr>
          <w:lang w:eastAsia="zh-CN"/>
        </w:rPr>
        <w:t>背景信息</w:t>
      </w:r>
    </w:p>
    <w:p w:rsidR="00D948C4" w:rsidRDefault="00040B61">
      <w:pPr>
        <w:pStyle w:val="BodyText"/>
        <w:rPr>
          <w:lang w:eastAsia="zh-CN"/>
        </w:rPr>
      </w:pPr>
      <w:r>
        <w:rPr>
          <w:lang w:eastAsia="zh-CN"/>
        </w:rPr>
        <w:t>皓天的股份自</w:t>
      </w:r>
      <w:r>
        <w:rPr>
          <w:lang w:eastAsia="zh-CN"/>
        </w:rPr>
        <w:t>2012</w:t>
      </w:r>
      <w:r>
        <w:rPr>
          <w:lang w:eastAsia="zh-CN"/>
        </w:rPr>
        <w:t>年起在香港联合交易所有限公司主板上市。该公司是一家投资控股公司，而其附属公司主要从事提供财经公关服务以及筹办及协调国际路演服务。刘主席是该公司的董事会主席、行政总裁及执行董事，且刘主席及其妻子属该公司的控</w:t>
      </w:r>
      <w:r>
        <w:rPr>
          <w:lang w:eastAsia="zh-CN"/>
        </w:rPr>
        <w:t>股股东。刘主席的女儿刘静桐当时是该公司的副总经理。</w:t>
      </w:r>
    </w:p>
    <w:p w:rsidR="00D948C4" w:rsidRDefault="00040B61">
      <w:pPr>
        <w:pStyle w:val="BodyText"/>
        <w:rPr>
          <w:lang w:eastAsia="zh-CN"/>
        </w:rPr>
      </w:pPr>
      <w:r>
        <w:rPr>
          <w:lang w:eastAsia="zh-CN"/>
        </w:rPr>
        <w:t>皓天在</w:t>
      </w:r>
      <w:r>
        <w:rPr>
          <w:lang w:eastAsia="zh-CN"/>
        </w:rPr>
        <w:t>2020</w:t>
      </w:r>
      <w:r>
        <w:rPr>
          <w:lang w:eastAsia="zh-CN"/>
        </w:rPr>
        <w:t>年</w:t>
      </w:r>
      <w:r>
        <w:rPr>
          <w:lang w:eastAsia="zh-CN"/>
        </w:rPr>
        <w:t>3</w:t>
      </w:r>
      <w:r>
        <w:rPr>
          <w:lang w:eastAsia="zh-CN"/>
        </w:rPr>
        <w:t>月</w:t>
      </w:r>
      <w:r>
        <w:rPr>
          <w:lang w:eastAsia="zh-CN"/>
        </w:rPr>
        <w:t>27</w:t>
      </w:r>
      <w:r>
        <w:rPr>
          <w:lang w:eastAsia="zh-CN"/>
        </w:rPr>
        <w:t>日以每股</w:t>
      </w:r>
      <w:r>
        <w:rPr>
          <w:lang w:eastAsia="zh-CN"/>
        </w:rPr>
        <w:t>0.4</w:t>
      </w:r>
      <w:r>
        <w:rPr>
          <w:lang w:eastAsia="zh-CN"/>
        </w:rPr>
        <w:t>港元的价格，回购了</w:t>
      </w:r>
      <w:r>
        <w:rPr>
          <w:lang w:eastAsia="zh-CN"/>
        </w:rPr>
        <w:t>42,500,000</w:t>
      </w:r>
      <w:r>
        <w:rPr>
          <w:lang w:eastAsia="zh-CN"/>
        </w:rPr>
        <w:t>股该等股份，占该公司当时已发行股本的约</w:t>
      </w:r>
      <w:r>
        <w:rPr>
          <w:lang w:eastAsia="zh-CN"/>
        </w:rPr>
        <w:t>3.56%</w:t>
      </w:r>
      <w:r>
        <w:rPr>
          <w:lang w:eastAsia="zh-CN"/>
        </w:rPr>
        <w:t>。该项回购并非在联交所的公开市场进行，而是透过属某类非自动对盘交易的大手交易（即预先安排及私下商议和执行的交易）来进行。</w:t>
      </w:r>
    </w:p>
    <w:p w:rsidR="00D948C4" w:rsidRDefault="00040B61">
      <w:pPr>
        <w:pStyle w:val="BodyText"/>
      </w:pPr>
      <w:r>
        <w:rPr>
          <w:lang w:eastAsia="zh-CN"/>
        </w:rPr>
        <w:t>此类股份回购获《公司股份回购守则》规则</w:t>
      </w:r>
      <w:r>
        <w:rPr>
          <w:lang w:eastAsia="zh-CN"/>
        </w:rPr>
        <w:t>2</w:t>
      </w:r>
      <w:r>
        <w:rPr>
          <w:lang w:eastAsia="zh-CN"/>
        </w:rPr>
        <w:t>准许，该项规则中订明</w:t>
      </w:r>
      <w:r>
        <w:rPr>
          <w:i/>
          <w:lang w:eastAsia="zh-CN"/>
        </w:rPr>
        <w:t>“</w:t>
      </w:r>
      <w:r>
        <w:rPr>
          <w:i/>
          <w:lang w:eastAsia="zh-CN"/>
        </w:rPr>
        <w:t>场外股份回购必须先经执行人员批准，然后进行股份回购的公司方能凭借有关股份回购而取得股份。</w:t>
      </w:r>
      <w:r>
        <w:rPr>
          <w:i/>
        </w:rPr>
        <w:t>通常须符合以下条件，方会给予批准：</w:t>
      </w:r>
    </w:p>
    <w:p w:rsidR="00D948C4" w:rsidRDefault="00040B61">
      <w:pPr>
        <w:pStyle w:val="Compact"/>
        <w:numPr>
          <w:ilvl w:val="0"/>
          <w:numId w:val="6"/>
        </w:numPr>
        <w:rPr>
          <w:lang w:eastAsia="zh-CN"/>
        </w:rPr>
      </w:pPr>
      <w:r>
        <w:rPr>
          <w:i/>
          <w:lang w:eastAsia="zh-CN"/>
        </w:rPr>
        <w:t>在为审议建议的交易而适当地召开及举行的股东大会上，就建议的场外股份回购获亲身或委派代表出席的无利害关系股东，在投票中以四分之三或以上的票数批准</w:t>
      </w:r>
      <w:r>
        <w:rPr>
          <w:i/>
          <w:lang w:eastAsia="zh-CN"/>
        </w:rPr>
        <w:t>……”</w:t>
      </w:r>
    </w:p>
    <w:p w:rsidR="00D948C4" w:rsidRDefault="00040B61">
      <w:pPr>
        <w:pStyle w:val="FirstParagraph"/>
        <w:rPr>
          <w:lang w:eastAsia="zh-CN"/>
        </w:rPr>
      </w:pPr>
      <w:r>
        <w:rPr>
          <w:lang w:eastAsia="zh-CN"/>
        </w:rPr>
        <w:t>违反《公司股份回购守则》</w:t>
      </w:r>
    </w:p>
    <w:p w:rsidR="00D948C4" w:rsidRDefault="00040B61">
      <w:pPr>
        <w:pStyle w:val="BodyText"/>
        <w:rPr>
          <w:lang w:eastAsia="zh-CN"/>
        </w:rPr>
      </w:pPr>
      <w:r>
        <w:rPr>
          <w:lang w:eastAsia="zh-CN"/>
        </w:rPr>
        <w:t>由于所有股东均可进行场内交易，并因而获提供参与回购的平等机会，故场内股份回购通常不会被认为不公平。然而，在场外的股份回购中，获提出回购股份要约的只是数量有限的股东。因此，并非所有股东都获提出要约，故他们得不到同等待遇。所以，该场外股份回购显然违反了规则</w:t>
      </w:r>
      <w:r>
        <w:rPr>
          <w:lang w:eastAsia="zh-CN"/>
        </w:rPr>
        <w:t>2</w:t>
      </w:r>
      <w:r>
        <w:rPr>
          <w:lang w:eastAsia="zh-CN"/>
        </w:rPr>
        <w:t>，原因是其未事先获得收购执行人员的批准。</w:t>
      </w:r>
      <w:hyperlink w:anchor="footnote-598-1">
        <w:r>
          <w:rPr>
            <w:vertAlign w:val="superscript"/>
            <w:lang w:eastAsia="zh-CN"/>
          </w:rPr>
          <w:t>1</w:t>
        </w:r>
      </w:hyperlink>
    </w:p>
    <w:p w:rsidR="00D948C4" w:rsidRDefault="00040B61">
      <w:pPr>
        <w:pStyle w:val="BodyText"/>
        <w:rPr>
          <w:lang w:eastAsia="zh-CN"/>
        </w:rPr>
      </w:pPr>
      <w:r>
        <w:rPr>
          <w:lang w:eastAsia="zh-CN"/>
        </w:rPr>
        <w:t>证监会对皓天及刘主席作出公开谴责，并对刘静桐作出公开批评，原因是该公司的股东受到损害且得到该公司的不平等及不公平待遇，同时刘主席是该场外股份回购的主要决策人及刘静桐参与了该场外股份回购的实施。</w:t>
      </w:r>
    </w:p>
    <w:p w:rsidR="00D948C4" w:rsidRDefault="00040B61">
      <w:pPr>
        <w:pStyle w:val="BodyText"/>
        <w:rPr>
          <w:lang w:eastAsia="zh-CN"/>
        </w:rPr>
      </w:pPr>
      <w:r>
        <w:rPr>
          <w:lang w:eastAsia="zh-CN"/>
        </w:rPr>
        <w:t>证监会禁止金范锡重投业界</w:t>
      </w:r>
      <w:r>
        <w:rPr>
          <w:lang w:eastAsia="zh-CN"/>
        </w:rPr>
        <w:t>27</w:t>
      </w:r>
      <w:r>
        <w:rPr>
          <w:lang w:eastAsia="zh-CN"/>
        </w:rPr>
        <w:t>个月</w:t>
      </w:r>
    </w:p>
    <w:p w:rsidR="00D948C4" w:rsidRDefault="00040B61">
      <w:pPr>
        <w:pStyle w:val="BodyText"/>
        <w:rPr>
          <w:lang w:eastAsia="zh-CN"/>
        </w:rPr>
      </w:pPr>
      <w:r>
        <w:rPr>
          <w:lang w:eastAsia="zh-CN"/>
        </w:rPr>
        <w:t>2022</w:t>
      </w:r>
      <w:r>
        <w:rPr>
          <w:lang w:eastAsia="zh-CN"/>
        </w:rPr>
        <w:t>年</w:t>
      </w:r>
      <w:r>
        <w:rPr>
          <w:lang w:eastAsia="zh-CN"/>
        </w:rPr>
        <w:t>3</w:t>
      </w:r>
      <w:r>
        <w:rPr>
          <w:lang w:eastAsia="zh-CN"/>
        </w:rPr>
        <w:t>月</w:t>
      </w:r>
      <w:r>
        <w:rPr>
          <w:lang w:eastAsia="zh-CN"/>
        </w:rPr>
        <w:t>29</w:t>
      </w:r>
      <w:r>
        <w:rPr>
          <w:lang w:eastAsia="zh-CN"/>
        </w:rPr>
        <w:t>日，证监会禁止法国巴黎财富管理银行及法国巴黎银行（统称为</w:t>
      </w:r>
      <w:r>
        <w:rPr>
          <w:b/>
          <w:lang w:eastAsia="zh-CN"/>
        </w:rPr>
        <w:t>法巴银行</w:t>
      </w:r>
      <w:r>
        <w:rPr>
          <w:lang w:eastAsia="zh-CN"/>
        </w:rPr>
        <w:t>）前有关人士金范锡先生（</w:t>
      </w:r>
      <w:r>
        <w:rPr>
          <w:b/>
          <w:lang w:eastAsia="zh-CN"/>
        </w:rPr>
        <w:t>金</w:t>
      </w:r>
      <w:r>
        <w:rPr>
          <w:lang w:eastAsia="zh-CN"/>
        </w:rPr>
        <w:t>）重投业界，为期</w:t>
      </w:r>
      <w:r>
        <w:rPr>
          <w:lang w:eastAsia="zh-CN"/>
        </w:rPr>
        <w:t>27</w:t>
      </w:r>
      <w:r>
        <w:rPr>
          <w:lang w:eastAsia="zh-CN"/>
        </w:rPr>
        <w:t>个月。实施该项禁令的原因是在</w:t>
      </w:r>
      <w:r>
        <w:rPr>
          <w:lang w:eastAsia="zh-CN"/>
        </w:rPr>
        <w:t>2015</w:t>
      </w:r>
      <w:r>
        <w:rPr>
          <w:lang w:eastAsia="zh-CN"/>
        </w:rPr>
        <w:t>年</w:t>
      </w:r>
      <w:r>
        <w:rPr>
          <w:lang w:eastAsia="zh-CN"/>
        </w:rPr>
        <w:t>3</w:t>
      </w:r>
      <w:r>
        <w:rPr>
          <w:lang w:eastAsia="zh-CN"/>
        </w:rPr>
        <w:t>月至</w:t>
      </w:r>
      <w:r>
        <w:rPr>
          <w:lang w:eastAsia="zh-CN"/>
        </w:rPr>
        <w:t>2017</w:t>
      </w:r>
      <w:r>
        <w:rPr>
          <w:lang w:eastAsia="zh-CN"/>
        </w:rPr>
        <w:t>年</w:t>
      </w:r>
      <w:r>
        <w:rPr>
          <w:lang w:eastAsia="zh-CN"/>
        </w:rPr>
        <w:t>8</w:t>
      </w:r>
      <w:r>
        <w:rPr>
          <w:lang w:eastAsia="zh-CN"/>
        </w:rPr>
        <w:t>月期间，金利用预先签署的客户指示表格作为掩饰，在未获得客户书面授</w:t>
      </w:r>
      <w:r>
        <w:rPr>
          <w:lang w:eastAsia="zh-CN"/>
        </w:rPr>
        <w:t>权的情况下以委托方式操作客户账户，藉此明知而规避法巴银行的内部规定。他还安排客户预先签署空白的客户指示表格及风险错配确认函，营造出有关指示乃来自其客户的假象，而事实上他是以委托方式操作账户。他亦促使向法巴银行出示虚假的电话报告。</w:t>
      </w:r>
    </w:p>
    <w:p w:rsidR="00D948C4" w:rsidRDefault="00040B61">
      <w:pPr>
        <w:pStyle w:val="BodyText"/>
        <w:rPr>
          <w:lang w:eastAsia="zh-CN"/>
        </w:rPr>
      </w:pPr>
      <w:r>
        <w:rPr>
          <w:lang w:eastAsia="zh-CN"/>
        </w:rPr>
        <w:t>事实及监管违规事项</w:t>
      </w:r>
    </w:p>
    <w:p w:rsidR="00D948C4" w:rsidRDefault="00040B61">
      <w:pPr>
        <w:pStyle w:val="BodyText"/>
        <w:rPr>
          <w:lang w:eastAsia="zh-CN"/>
        </w:rPr>
      </w:pPr>
      <w:r>
        <w:rPr>
          <w:lang w:eastAsia="zh-CN"/>
        </w:rPr>
        <w:t>金在</w:t>
      </w:r>
      <w:r>
        <w:rPr>
          <w:lang w:eastAsia="zh-CN"/>
        </w:rPr>
        <w:t>2014</w:t>
      </w:r>
      <w:r>
        <w:rPr>
          <w:lang w:eastAsia="zh-CN"/>
        </w:rPr>
        <w:t>年</w:t>
      </w:r>
      <w:r>
        <w:rPr>
          <w:lang w:eastAsia="zh-CN"/>
        </w:rPr>
        <w:t>12</w:t>
      </w:r>
      <w:r>
        <w:rPr>
          <w:lang w:eastAsia="zh-CN"/>
        </w:rPr>
        <w:t>月</w:t>
      </w:r>
      <w:r>
        <w:rPr>
          <w:lang w:eastAsia="zh-CN"/>
        </w:rPr>
        <w:t>4</w:t>
      </w:r>
      <w:r>
        <w:rPr>
          <w:lang w:eastAsia="zh-CN"/>
        </w:rPr>
        <w:t>日至</w:t>
      </w:r>
      <w:r>
        <w:rPr>
          <w:lang w:eastAsia="zh-CN"/>
        </w:rPr>
        <w:t>2018</w:t>
      </w:r>
      <w:r>
        <w:rPr>
          <w:lang w:eastAsia="zh-CN"/>
        </w:rPr>
        <w:t>年</w:t>
      </w:r>
      <w:r>
        <w:rPr>
          <w:lang w:eastAsia="zh-CN"/>
        </w:rPr>
        <w:t>3</w:t>
      </w:r>
      <w:r>
        <w:rPr>
          <w:lang w:eastAsia="zh-CN"/>
        </w:rPr>
        <w:t>月</w:t>
      </w:r>
      <w:r>
        <w:rPr>
          <w:lang w:eastAsia="zh-CN"/>
        </w:rPr>
        <w:t>29</w:t>
      </w:r>
      <w:r>
        <w:rPr>
          <w:lang w:eastAsia="zh-CN"/>
        </w:rPr>
        <w:t>日期间获法巴银行委聘为有关人士。金现时并非证监会持牌人，亦没有名列于香港金融管理局（</w:t>
      </w:r>
      <w:r>
        <w:rPr>
          <w:b/>
          <w:lang w:eastAsia="zh-CN"/>
        </w:rPr>
        <w:t>金管局</w:t>
      </w:r>
      <w:r>
        <w:rPr>
          <w:lang w:eastAsia="zh-CN"/>
        </w:rPr>
        <w:t>）的纪录册。</w:t>
      </w:r>
      <w:r>
        <w:rPr>
          <w:lang w:eastAsia="zh-CN"/>
        </w:rPr>
        <w:t>2018</w:t>
      </w:r>
      <w:r>
        <w:rPr>
          <w:lang w:eastAsia="zh-CN"/>
        </w:rPr>
        <w:t>年</w:t>
      </w:r>
      <w:r>
        <w:rPr>
          <w:lang w:eastAsia="zh-CN"/>
        </w:rPr>
        <w:t>1</w:t>
      </w:r>
      <w:r>
        <w:rPr>
          <w:lang w:eastAsia="zh-CN"/>
        </w:rPr>
        <w:t>月，法巴银行主动向金管局及证监会汇报，指一名客户就其法巴银行帐户所招致的投资损失，对其客户经理金作出投诉</w:t>
      </w:r>
      <w:r>
        <w:rPr>
          <w:lang w:eastAsia="zh-CN"/>
        </w:rPr>
        <w:t>。证监会进行了调查并发现，金基于其客户曾口头授权金以委托方式在其非委托帐户进行交易，为求方便而指示该客户预先签署空白的指示表格，藉此以委托方式在该客户的非委托帐户进行交易。他随后告知其助理于预先签署的空白文件填上交易详情以执行交易，并出示虚假的电话报告，当中</w:t>
      </w:r>
      <w:r>
        <w:rPr>
          <w:lang w:eastAsia="zh-CN"/>
        </w:rPr>
        <w:lastRenderedPageBreak/>
        <w:t>讹称他已与该客户会面或联络，以提供投资建议及／或接受其交易指示，但事实上他并没有这样做。金对其另外三名客户采取类似的做法，并要求他们预先签署空白文件，以便他可以在没事先通知他们的情况下为其帐户进行交易。</w:t>
      </w:r>
    </w:p>
    <w:p w:rsidR="00D948C4" w:rsidRDefault="00040B61">
      <w:pPr>
        <w:pStyle w:val="BodyText"/>
        <w:rPr>
          <w:lang w:eastAsia="zh-CN"/>
        </w:rPr>
      </w:pPr>
      <w:r>
        <w:rPr>
          <w:lang w:eastAsia="zh-CN"/>
        </w:rPr>
        <w:t>证监会发现虽然金声称他透过预先签署的空白指示表格而</w:t>
      </w:r>
      <w:r>
        <w:rPr>
          <w:lang w:eastAsia="zh-CN"/>
        </w:rPr>
        <w:t>获客户授权以委托方式为客户进行交易，但这些表格不能取代根据证监会《操守准则》第</w:t>
      </w:r>
      <w:r>
        <w:rPr>
          <w:lang w:eastAsia="zh-CN"/>
        </w:rPr>
        <w:t>7.1</w:t>
      </w:r>
      <w:r>
        <w:rPr>
          <w:lang w:eastAsia="zh-CN"/>
        </w:rPr>
        <w:t>段操作委托账户所需的授权。证监会《操守准则》第</w:t>
      </w:r>
      <w:r>
        <w:rPr>
          <w:lang w:eastAsia="zh-CN"/>
        </w:rPr>
        <w:t>7.1(a)</w:t>
      </w:r>
      <w:r>
        <w:rPr>
          <w:lang w:eastAsia="zh-CN"/>
        </w:rPr>
        <w:t>段订明，注册人不应为客户进行交易，除非在进行交易之前</w:t>
      </w:r>
      <w:r>
        <w:rPr>
          <w:lang w:eastAsia="zh-CN"/>
        </w:rPr>
        <w:t xml:space="preserve"> </w:t>
      </w:r>
      <w:r>
        <w:rPr>
          <w:lang w:eastAsia="zh-CN"/>
        </w:rPr>
        <w:t>该客户已特定授权进行交易或已书面授权予注册人，即使在未有该客户特定授权的情况下，仍可为其进行交易。此外，金亦未按照证监会《操守准则》第</w:t>
      </w:r>
      <w:r>
        <w:rPr>
          <w:lang w:eastAsia="zh-CN"/>
        </w:rPr>
        <w:t>7.1(c)</w:t>
      </w:r>
      <w:r>
        <w:rPr>
          <w:lang w:eastAsia="zh-CN"/>
        </w:rPr>
        <w:t>及</w:t>
      </w:r>
      <w:r>
        <w:rPr>
          <w:lang w:eastAsia="zh-CN"/>
        </w:rPr>
        <w:t>(d)</w:t>
      </w:r>
      <w:r>
        <w:rPr>
          <w:lang w:eastAsia="zh-CN"/>
        </w:rPr>
        <w:t>段规定指明其客户账户为委托账户及就该等委托账户的开立取得高级管理层的审批。结果，法巴银行及其高级管理层未有意识到他以委托方式操作这些账户的事实，他的行为令法巴银行</w:t>
      </w:r>
      <w:r>
        <w:rPr>
          <w:lang w:eastAsia="zh-CN"/>
        </w:rPr>
        <w:t>无法监督他在客户帐户进行的委托交易活动，因而与其客户的最佳利益相悖。此外，金误导法巴银行，令其相信预先签署的空白指示表格上的交易指示乃来自其客户，而实际上有关交易指示是由他以委托方式发出的。他还促使向法巴银行出示虚假的电话报告，讹称他已与客户会面，但实际上他没有这样做，藉此欺骗法巴银行。金作出的欺骗及不诚实的行为，违反了证监会《操守准则》第</w:t>
      </w:r>
      <w:r>
        <w:rPr>
          <w:lang w:eastAsia="zh-CN"/>
        </w:rPr>
        <w:t xml:space="preserve"> 1 </w:t>
      </w:r>
      <w:r>
        <w:rPr>
          <w:lang w:eastAsia="zh-CN"/>
        </w:rPr>
        <w:t>项一般原则，而该项原则要求注册人在经营其业务时，应以诚实、公平和维护客户最佳利益的态度行事及确保市场廉洁稳健。</w:t>
      </w:r>
    </w:p>
    <w:p w:rsidR="00D948C4" w:rsidRDefault="00040B61">
      <w:pPr>
        <w:pStyle w:val="BodyText"/>
        <w:rPr>
          <w:lang w:eastAsia="zh-CN"/>
        </w:rPr>
      </w:pPr>
      <w:r>
        <w:rPr>
          <w:lang w:eastAsia="zh-CN"/>
        </w:rPr>
        <w:t>金亦没有遵循法巴银行的风险错配处理流程，而该流程要求其在执行交易前，须向客户解释有关交易不适合该客户的投资状况，并就客户是在法巴银行未有作出建议的情况下根据个人评估而作出有关投资决定，了解当中所涉及的风险及想要继续进行交易取得客户的确认。而且，金要求客户预先签署风险错配确认函，营造客户已同意买卖风险与其投资状况不符的产品的假象，藉此欺骗法巴银行，因而违反了证监会《操守准则》第</w:t>
      </w:r>
      <w:r>
        <w:rPr>
          <w:lang w:eastAsia="zh-CN"/>
        </w:rPr>
        <w:t>1</w:t>
      </w:r>
      <w:r>
        <w:rPr>
          <w:lang w:eastAsia="zh-CN"/>
        </w:rPr>
        <w:t>项一般原则及第</w:t>
      </w:r>
      <w:r>
        <w:rPr>
          <w:lang w:eastAsia="zh-CN"/>
        </w:rPr>
        <w:t>5.2</w:t>
      </w:r>
      <w:r>
        <w:rPr>
          <w:lang w:eastAsia="zh-CN"/>
        </w:rPr>
        <w:t>段。</w:t>
      </w:r>
    </w:p>
    <w:p w:rsidR="00D948C4" w:rsidRDefault="00040B61">
      <w:pPr>
        <w:pStyle w:val="BodyText"/>
        <w:rPr>
          <w:lang w:eastAsia="zh-CN"/>
        </w:rPr>
      </w:pPr>
      <w:r>
        <w:rPr>
          <w:lang w:eastAsia="zh-CN"/>
        </w:rPr>
        <w:t>证监会得出结论认为金并非作为受规管人士的适当人选，原因是他作出欺骗及不诚实的行为，令其品格、可信程度及他是</w:t>
      </w:r>
      <w:r>
        <w:rPr>
          <w:lang w:eastAsia="zh-CN"/>
        </w:rPr>
        <w:t>否有能力称职地及诚实地进行受规管活动受到质疑。</w:t>
      </w:r>
    </w:p>
    <w:p w:rsidR="00D948C4" w:rsidRDefault="00040B61">
      <w:pPr>
        <w:pStyle w:val="BodyText"/>
        <w:rPr>
          <w:lang w:eastAsia="zh-CN"/>
        </w:rPr>
      </w:pPr>
      <w:hyperlink w:anchor="footnote-598-1-backlink">
        <w:r>
          <w:rPr>
            <w:lang w:eastAsia="zh-CN"/>
          </w:rPr>
          <w:t>1</w:t>
        </w:r>
      </w:hyperlink>
      <w:r>
        <w:rPr>
          <w:lang w:eastAsia="zh-CN"/>
        </w:rPr>
        <w:t xml:space="preserve"> </w:t>
      </w:r>
      <w:r>
        <w:rPr>
          <w:lang w:eastAsia="zh-CN"/>
        </w:rPr>
        <w:t>收购执行人员指的是证监会企业融资部执行董事或者该执行董事的任何代表</w:t>
      </w:r>
    </w:p>
    <w:p w:rsidR="00D948C4" w:rsidRDefault="00040B61">
      <w:pPr>
        <w:pStyle w:val="DisclaimerBold"/>
        <w:rPr>
          <w:lang w:eastAsia="zh-CN"/>
        </w:rPr>
      </w:pPr>
      <w:r>
        <w:rPr>
          <w:lang w:eastAsia="zh-CN"/>
        </w:rPr>
        <w:t>此法讯仅为提供相关资料信息之用，其内容并</w:t>
      </w:r>
    </w:p>
    <w:p w:rsidR="00D948C4" w:rsidRDefault="00040B61">
      <w:pPr>
        <w:pStyle w:val="Disclaimer"/>
        <w:rPr>
          <w:lang w:eastAsia="zh-CN"/>
        </w:rPr>
      </w:pPr>
      <w:r>
        <w:rPr>
          <w:lang w:eastAsia="zh-CN"/>
        </w:rPr>
        <w:t>不构成法律建议及个案的法律分析。</w:t>
      </w:r>
    </w:p>
    <w:p w:rsidR="00D948C4" w:rsidRDefault="00040B61">
      <w:pPr>
        <w:pStyle w:val="Disclaimer"/>
        <w:rPr>
          <w:lang w:eastAsia="zh-CN"/>
        </w:rPr>
      </w:pPr>
      <w:r>
        <w:rPr>
          <w:lang w:eastAsia="zh-CN"/>
        </w:rPr>
        <w:t>此法讯的发送并不是为了在易周律师行与用户或浏览者之间建立一种律师与客户之关系。</w:t>
      </w:r>
    </w:p>
    <w:p w:rsidR="00D948C4" w:rsidRDefault="00040B61">
      <w:pPr>
        <w:pStyle w:val="Disclaimer"/>
        <w:rPr>
          <w:lang w:eastAsia="zh-CN"/>
        </w:rPr>
      </w:pPr>
      <w:r>
        <w:rPr>
          <w:lang w:eastAsia="zh-CN"/>
        </w:rPr>
        <w:t>易周律师行并不对可从互联网获得的任何第三方内容负责。</w:t>
      </w:r>
    </w:p>
    <w:p w:rsidR="00D948C4" w:rsidRDefault="00040B61">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D948C4" w:rsidRDefault="00040B61">
      <w:pPr>
        <w:pStyle w:val="BlackStrips"/>
      </w:pPr>
      <w:r>
        <w:t xml:space="preserve">Charltons - </w:t>
      </w:r>
      <w:r>
        <w:t>香港法律</w:t>
      </w:r>
      <w:r>
        <w:t xml:space="preserve"> - 2022</w:t>
      </w:r>
      <w:r>
        <w:t>年</w:t>
      </w:r>
      <w:r>
        <w:t>9</w:t>
      </w:r>
      <w:r>
        <w:t>月</w:t>
      </w:r>
      <w:r>
        <w:t>21</w:t>
      </w:r>
      <w:r>
        <w:t>日</w:t>
      </w:r>
    </w:p>
    <w:sectPr w:rsidR="00D948C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40B61">
      <w:pPr>
        <w:spacing w:after="0"/>
      </w:pPr>
      <w:r>
        <w:separator/>
      </w:r>
    </w:p>
  </w:endnote>
  <w:endnote w:type="continuationSeparator" w:id="0">
    <w:p w:rsidR="00000000" w:rsidRDefault="00040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C4" w:rsidRDefault="00040B61">
      <w:r>
        <w:separator/>
      </w:r>
    </w:p>
  </w:footnote>
  <w:footnote w:type="continuationSeparator" w:id="0">
    <w:p w:rsidR="00D948C4" w:rsidRDefault="00040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AFCB96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68FCE5F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50A97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EBFA8F3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71315DCA"/>
    <w:multiLevelType w:val="multilevel"/>
    <w:tmpl w:val="3B5CC458"/>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40B61"/>
    <w:rsid w:val="004E29B3"/>
    <w:rsid w:val="00590D07"/>
    <w:rsid w:val="00784D58"/>
    <w:rsid w:val="008D6863"/>
    <w:rsid w:val="00B86B75"/>
    <w:rsid w:val="00BC48D5"/>
    <w:rsid w:val="00C36279"/>
    <w:rsid w:val="00C52B48"/>
    <w:rsid w:val="00D948C4"/>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3A95A-1D5F-4EBC-84B7-41BB9DB3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Disciplinary-and-Enforcement/Disciplinary-Sanctions/2022/220317_SoDa_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jiao-yi-suo-ji-zheng-jian-hui-yu-2022nian-3yue-fen-cai-qu-de-ji-lu-xing-dong"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files/CF/pdf/Public_censure/Executive-statement-CHI-20220317.pdf" TargetMode="External"/><Relationship Id="rId5" Type="http://schemas.openxmlformats.org/officeDocument/2006/relationships/footnotes" Target="footnotes.xml"/><Relationship Id="rId10" Type="http://schemas.openxmlformats.org/officeDocument/2006/relationships/hyperlink" Target="https://apps.sfc.hk/edistributionWeb/api/news/openAppendix?lang=TC&amp;refNo=22PR14&amp;appendix=0" TargetMode="External"/><Relationship Id="rId4" Type="http://schemas.openxmlformats.org/officeDocument/2006/relationships/webSettings" Target="webSettings.xml"/><Relationship Id="rId9" Type="http://schemas.openxmlformats.org/officeDocument/2006/relationships/hyperlink" Target="https://legalref.judiciary.hk/lrs/common/search/search_result_detail_frame.jsp?DIS=142828&amp;QS=%2B&amp;TP=J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2022-09-21T08:34:00Z</dcterms:created>
  <dcterms:modified xsi:type="dcterms:W3CDTF">2022-09-21T08:57:00Z</dcterms:modified>
</cp:coreProperties>
</file>