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9FC" w:rsidRDefault="00987F70">
      <w:pPr>
        <w:pStyle w:val="BlackStrips"/>
      </w:pPr>
      <w:r>
        <w:t xml:space="preserve">Charltons - </w:t>
      </w:r>
      <w:r>
        <w:t>香港法律</w:t>
      </w:r>
      <w:r>
        <w:t xml:space="preserve"> - 2022</w:t>
      </w:r>
      <w:r>
        <w:t>年</w:t>
      </w:r>
      <w:r>
        <w:t>10</w:t>
      </w:r>
      <w:r>
        <w:t>月</w:t>
      </w:r>
      <w:r>
        <w:t>13</w:t>
      </w:r>
      <w:r>
        <w:t>日</w:t>
      </w:r>
    </w:p>
    <w:p w:rsidR="009539FC" w:rsidRDefault="00987F70">
      <w:pPr>
        <w:pStyle w:val="ReadOnline"/>
        <w:rPr>
          <w:lang w:eastAsia="zh-CN"/>
        </w:rPr>
      </w:pPr>
      <w:hyperlink r:id="rId7">
        <w:r>
          <w:rPr>
            <w:lang w:eastAsia="zh-CN"/>
          </w:rPr>
          <w:t>online version</w:t>
        </w:r>
      </w:hyperlink>
    </w:p>
    <w:p w:rsidR="009539FC" w:rsidRDefault="00987F70">
      <w:pPr>
        <w:pStyle w:val="Title"/>
        <w:rPr>
          <w:lang w:eastAsia="zh-CN"/>
        </w:rPr>
      </w:pPr>
      <w:r>
        <w:rPr>
          <w:lang w:eastAsia="zh-CN"/>
        </w:rPr>
        <w:t>香港交易所买卖基金将被纳入香港</w:t>
      </w:r>
      <w:r>
        <w:rPr>
          <w:lang w:eastAsia="zh-CN"/>
        </w:rPr>
        <w:t>-</w:t>
      </w:r>
      <w:r>
        <w:rPr>
          <w:lang w:eastAsia="zh-CN"/>
        </w:rPr>
        <w:t>内地互联互通</w:t>
      </w:r>
    </w:p>
    <w:p w:rsidR="009539FC" w:rsidRDefault="00987F70">
      <w:pPr>
        <w:pStyle w:val="FirstParagraph"/>
        <w:rPr>
          <w:lang w:eastAsia="zh-CN"/>
        </w:rPr>
      </w:pPr>
      <w:r>
        <w:rPr>
          <w:lang w:eastAsia="zh-CN"/>
        </w:rPr>
        <w:t>2022</w:t>
      </w:r>
      <w:r>
        <w:rPr>
          <w:lang w:eastAsia="zh-CN"/>
        </w:rPr>
        <w:t>年</w:t>
      </w:r>
      <w:r>
        <w:rPr>
          <w:lang w:eastAsia="zh-CN"/>
        </w:rPr>
        <w:t>5</w:t>
      </w:r>
      <w:r>
        <w:rPr>
          <w:lang w:eastAsia="zh-CN"/>
        </w:rPr>
        <w:t>月</w:t>
      </w:r>
      <w:r>
        <w:rPr>
          <w:lang w:eastAsia="zh-CN"/>
        </w:rPr>
        <w:t>27</w:t>
      </w:r>
      <w:r>
        <w:rPr>
          <w:lang w:eastAsia="zh-CN"/>
        </w:rPr>
        <w:t>日，香港证券及期货事务监察委员会（以下简称</w:t>
      </w:r>
      <w:r>
        <w:rPr>
          <w:b/>
          <w:lang w:eastAsia="zh-CN"/>
        </w:rPr>
        <w:t>香港证监会</w:t>
      </w:r>
      <w:r>
        <w:rPr>
          <w:lang w:eastAsia="zh-CN"/>
        </w:rPr>
        <w:t>）及中国证券监督管理委员会（以下简称</w:t>
      </w:r>
      <w:r>
        <w:rPr>
          <w:b/>
          <w:lang w:eastAsia="zh-CN"/>
        </w:rPr>
        <w:t>中国证监会</w:t>
      </w:r>
      <w:r>
        <w:rPr>
          <w:lang w:eastAsia="zh-CN"/>
        </w:rPr>
        <w:t>）刊发了一份</w:t>
      </w:r>
      <w:hyperlink r:id="rId8">
        <w:r>
          <w:rPr>
            <w:lang w:eastAsia="zh-CN"/>
          </w:rPr>
          <w:t>联合公告</w:t>
        </w:r>
      </w:hyperlink>
      <w:r>
        <w:rPr>
          <w:lang w:eastAsia="zh-CN"/>
        </w:rPr>
        <w:t>，其中列述实施若干计划以将符合条件的交易型开放式基金（</w:t>
      </w:r>
      <w:r>
        <w:rPr>
          <w:b/>
          <w:lang w:eastAsia="zh-CN"/>
        </w:rPr>
        <w:t>交易所买卖基金</w:t>
      </w:r>
      <w:r>
        <w:rPr>
          <w:lang w:eastAsia="zh-CN"/>
        </w:rPr>
        <w:t>）（以下统一简称</w:t>
      </w:r>
      <w:r>
        <w:rPr>
          <w:b/>
          <w:lang w:eastAsia="zh-CN"/>
        </w:rPr>
        <w:t>ETF</w:t>
      </w:r>
      <w:r>
        <w:rPr>
          <w:lang w:eastAsia="zh-CN"/>
        </w:rPr>
        <w:t>）纳入互联互通（</w:t>
      </w:r>
      <w:r>
        <w:rPr>
          <w:b/>
          <w:lang w:eastAsia="zh-CN"/>
        </w:rPr>
        <w:t>ETF</w:t>
      </w:r>
      <w:r>
        <w:rPr>
          <w:b/>
          <w:lang w:eastAsia="zh-CN"/>
        </w:rPr>
        <w:t>互联互通</w:t>
      </w:r>
      <w:r>
        <w:rPr>
          <w:lang w:eastAsia="zh-CN"/>
        </w:rPr>
        <w:t>）的详情。同一天，香港联合交易所有限公司</w:t>
      </w:r>
      <w:r>
        <w:rPr>
          <w:lang w:eastAsia="zh-CN"/>
        </w:rPr>
        <w:t>（</w:t>
      </w:r>
      <w:r>
        <w:rPr>
          <w:b/>
          <w:lang w:eastAsia="zh-CN"/>
        </w:rPr>
        <w:t>香港交易所</w:t>
      </w:r>
      <w:r>
        <w:rPr>
          <w:lang w:eastAsia="zh-CN"/>
        </w:rPr>
        <w:t>）刊发了一份</w:t>
      </w:r>
      <w:hyperlink r:id="rId9">
        <w:r>
          <w:rPr>
            <w:lang w:eastAsia="zh-CN"/>
          </w:rPr>
          <w:t>关于</w:t>
        </w:r>
        <w:r>
          <w:rPr>
            <w:lang w:eastAsia="zh-CN"/>
          </w:rPr>
          <w:t>ETF</w:t>
        </w:r>
        <w:r>
          <w:rPr>
            <w:lang w:eastAsia="zh-CN"/>
          </w:rPr>
          <w:t>纳入互联互通合资格证券的进展更新的通告</w:t>
        </w:r>
      </w:hyperlink>
      <w:r>
        <w:rPr>
          <w:lang w:eastAsia="zh-CN"/>
        </w:rPr>
        <w:t>，载列纳入</w:t>
      </w:r>
      <w:r>
        <w:rPr>
          <w:lang w:eastAsia="zh-CN"/>
        </w:rPr>
        <w:t>ETF</w:t>
      </w:r>
      <w:r>
        <w:rPr>
          <w:lang w:eastAsia="zh-CN"/>
        </w:rPr>
        <w:t>的详细合资格标准。不过，这些合资格标准仍然须获香港证监会及中国证监会的批准。沪港通及深港通北</w:t>
      </w:r>
      <w:r>
        <w:rPr>
          <w:lang w:eastAsia="zh-CN"/>
        </w:rPr>
        <w:t>向交易的合资格</w:t>
      </w:r>
      <w:r>
        <w:rPr>
          <w:lang w:eastAsia="zh-CN"/>
        </w:rPr>
        <w:t>ETF</w:t>
      </w:r>
      <w:r>
        <w:rPr>
          <w:lang w:eastAsia="zh-CN"/>
        </w:rPr>
        <w:t>的名单将由香港交易所稍后公布</w:t>
      </w:r>
      <w:hyperlink r:id="rId10">
        <w:r>
          <w:rPr>
            <w:i/>
            <w:lang w:eastAsia="zh-CN"/>
          </w:rPr>
          <w:t>于其网站上</w:t>
        </w:r>
      </w:hyperlink>
      <w:r>
        <w:rPr>
          <w:lang w:eastAsia="zh-CN"/>
        </w:rPr>
        <w:t>。</w:t>
      </w:r>
      <w:hyperlink w:anchor="footnote-598-1">
        <w:r>
          <w:rPr>
            <w:vertAlign w:val="superscript"/>
            <w:lang w:eastAsia="zh-CN"/>
          </w:rPr>
          <w:t>1</w:t>
        </w:r>
      </w:hyperlink>
    </w:p>
    <w:p w:rsidR="009539FC" w:rsidRDefault="00987F70">
      <w:pPr>
        <w:pStyle w:val="BodyText"/>
        <w:rPr>
          <w:lang w:eastAsia="zh-CN"/>
        </w:rPr>
      </w:pPr>
      <w:r>
        <w:rPr>
          <w:lang w:eastAsia="zh-CN"/>
        </w:rPr>
        <w:t>根据香港证监会及中国证监会刊发的联合公告，拟议的各项安排预期将于该公告发布之后大约</w:t>
      </w:r>
      <w:r>
        <w:rPr>
          <w:lang w:eastAsia="zh-CN"/>
        </w:rPr>
        <w:t>2</w:t>
      </w:r>
      <w:r>
        <w:rPr>
          <w:lang w:eastAsia="zh-CN"/>
        </w:rPr>
        <w:t>个月实施。一旦必要的相关交易结</w:t>
      </w:r>
      <w:r>
        <w:rPr>
          <w:lang w:eastAsia="zh-CN"/>
        </w:rPr>
        <w:t>算规则和系统准备完成、获得所有相关的监管批准、市场参与者调整其业务和技术系统、必需的跨境监管执法合作安排和投资者教育工作准备就绪，投资者就能够开始使用该</w:t>
      </w:r>
      <w:r>
        <w:rPr>
          <w:lang w:eastAsia="zh-CN"/>
        </w:rPr>
        <w:t>ETF</w:t>
      </w:r>
      <w:r>
        <w:rPr>
          <w:lang w:eastAsia="zh-CN"/>
        </w:rPr>
        <w:t>设施。</w:t>
      </w:r>
    </w:p>
    <w:p w:rsidR="009539FC" w:rsidRDefault="00987F70">
      <w:pPr>
        <w:pStyle w:val="BodyText"/>
        <w:rPr>
          <w:lang w:eastAsia="zh-CN"/>
        </w:rPr>
      </w:pPr>
      <w:r>
        <w:rPr>
          <w:lang w:eastAsia="zh-CN"/>
        </w:rPr>
        <w:t>易周律师行已经就在</w:t>
      </w:r>
      <w:r>
        <w:rPr>
          <w:lang w:eastAsia="zh-CN"/>
        </w:rPr>
        <w:t>2014</w:t>
      </w:r>
      <w:r>
        <w:rPr>
          <w:lang w:eastAsia="zh-CN"/>
        </w:rPr>
        <w:t>年推出的互联互通刊发了大量的见解，载列于</w:t>
      </w:r>
      <w:hyperlink r:id="rId11">
        <w:r>
          <w:rPr>
            <w:lang w:eastAsia="zh-CN"/>
          </w:rPr>
          <w:t>此处</w:t>
        </w:r>
      </w:hyperlink>
      <w:r>
        <w:rPr>
          <w:lang w:eastAsia="zh-CN"/>
        </w:rPr>
        <w:t>，对沪港通的简要介绍载列于</w:t>
      </w:r>
      <w:hyperlink r:id="rId12">
        <w:r>
          <w:rPr>
            <w:lang w:eastAsia="zh-CN"/>
          </w:rPr>
          <w:t>此处</w:t>
        </w:r>
      </w:hyperlink>
      <w:r>
        <w:rPr>
          <w:lang w:eastAsia="zh-CN"/>
        </w:rPr>
        <w:t>，而对深港通的简要介绍载列于</w:t>
      </w:r>
      <w:hyperlink r:id="rId13">
        <w:r>
          <w:rPr>
            <w:lang w:eastAsia="zh-CN"/>
          </w:rPr>
          <w:t>此处</w:t>
        </w:r>
      </w:hyperlink>
      <w:r>
        <w:rPr>
          <w:lang w:eastAsia="zh-CN"/>
        </w:rPr>
        <w:t>。</w:t>
      </w:r>
    </w:p>
    <w:p w:rsidR="009539FC" w:rsidRDefault="00987F70">
      <w:pPr>
        <w:pStyle w:val="BodyText"/>
        <w:rPr>
          <w:lang w:eastAsia="zh-CN"/>
        </w:rPr>
      </w:pPr>
      <w:r>
        <w:rPr>
          <w:lang w:eastAsia="zh-CN"/>
        </w:rPr>
        <w:t>香港交易所就将</w:t>
      </w:r>
      <w:r>
        <w:rPr>
          <w:lang w:eastAsia="zh-CN"/>
        </w:rPr>
        <w:t>ETF</w:t>
      </w:r>
      <w:r>
        <w:rPr>
          <w:lang w:eastAsia="zh-CN"/>
        </w:rPr>
        <w:t>纳入互联互通刊发的额外相关资料载列</w:t>
      </w:r>
      <w:hyperlink r:id="rId14">
        <w:r>
          <w:rPr>
            <w:i/>
            <w:lang w:eastAsia="zh-CN"/>
          </w:rPr>
          <w:t>于其网站上</w:t>
        </w:r>
      </w:hyperlink>
      <w:r>
        <w:rPr>
          <w:lang w:eastAsia="zh-CN"/>
        </w:rPr>
        <w:t>，并包括香港交易所于</w:t>
      </w:r>
      <w:r>
        <w:rPr>
          <w:lang w:eastAsia="zh-CN"/>
        </w:rPr>
        <w:t>2022</w:t>
      </w:r>
      <w:r>
        <w:rPr>
          <w:lang w:eastAsia="zh-CN"/>
        </w:rPr>
        <w:t>年</w:t>
      </w:r>
      <w:r>
        <w:rPr>
          <w:lang w:eastAsia="zh-CN"/>
        </w:rPr>
        <w:t>5</w:t>
      </w:r>
      <w:r>
        <w:rPr>
          <w:lang w:eastAsia="zh-CN"/>
        </w:rPr>
        <w:t>月</w:t>
      </w:r>
      <w:r>
        <w:rPr>
          <w:lang w:eastAsia="zh-CN"/>
        </w:rPr>
        <w:t>27</w:t>
      </w:r>
      <w:r>
        <w:rPr>
          <w:lang w:eastAsia="zh-CN"/>
        </w:rPr>
        <w:t>日刊发的</w:t>
      </w:r>
      <w:hyperlink r:id="rId15">
        <w:r>
          <w:rPr>
            <w:lang w:eastAsia="zh-CN"/>
          </w:rPr>
          <w:t>关于将</w:t>
        </w:r>
        <w:r>
          <w:rPr>
            <w:lang w:eastAsia="zh-CN"/>
          </w:rPr>
          <w:t>ETF</w:t>
        </w:r>
        <w:r>
          <w:rPr>
            <w:lang w:eastAsia="zh-CN"/>
          </w:rPr>
          <w:t>纳入互联互通机制北向交易的常问问题</w:t>
        </w:r>
      </w:hyperlink>
      <w:r>
        <w:rPr>
          <w:lang w:eastAsia="zh-CN"/>
        </w:rPr>
        <w:t>。</w:t>
      </w:r>
    </w:p>
    <w:p w:rsidR="009539FC" w:rsidRDefault="00987F70">
      <w:pPr>
        <w:pStyle w:val="BodyText"/>
        <w:rPr>
          <w:lang w:eastAsia="zh-CN"/>
        </w:rPr>
      </w:pPr>
      <w:r>
        <w:rPr>
          <w:lang w:eastAsia="zh-CN"/>
        </w:rPr>
        <w:t>交易型开放式基金</w:t>
      </w:r>
    </w:p>
    <w:p w:rsidR="009539FC" w:rsidRDefault="00987F70">
      <w:pPr>
        <w:pStyle w:val="BodyText"/>
        <w:rPr>
          <w:lang w:eastAsia="zh-CN"/>
        </w:rPr>
      </w:pPr>
      <w:r>
        <w:rPr>
          <w:lang w:eastAsia="zh-CN"/>
        </w:rPr>
        <w:t>交易所买卖基金是被动型管理开放式基金，是投资者获得对多类别的相关市场主题投资的一种高效且低成本的选择。其是投资者进行多样化投资的热门选择，且</w:t>
      </w:r>
      <w:r>
        <w:rPr>
          <w:lang w:eastAsia="zh-CN"/>
        </w:rPr>
        <w:t>ETF</w:t>
      </w:r>
      <w:r>
        <w:rPr>
          <w:lang w:eastAsia="zh-CN"/>
        </w:rPr>
        <w:t>通应使</w:t>
      </w:r>
      <w:r>
        <w:rPr>
          <w:lang w:eastAsia="zh-CN"/>
        </w:rPr>
        <w:t>得香港投资者能够获得针对中国内地股票市场的定向投资。</w:t>
      </w:r>
    </w:p>
    <w:p w:rsidR="009539FC" w:rsidRDefault="00987F70">
      <w:pPr>
        <w:pStyle w:val="BodyText"/>
        <w:rPr>
          <w:lang w:eastAsia="zh-CN"/>
        </w:rPr>
      </w:pPr>
      <w:r>
        <w:rPr>
          <w:lang w:eastAsia="zh-CN"/>
        </w:rPr>
        <w:t>ETF</w:t>
      </w:r>
      <w:r>
        <w:rPr>
          <w:lang w:eastAsia="zh-CN"/>
        </w:rPr>
        <w:t>是一种投资基金，包含一系列投资证券，其运作方式类似于互惠基金，并像股票一样在交易所买卖。其股票价格可能会在交易日期间随着它们的买卖而波动。这与互惠基金形成了鲜明对比，互惠基金在交易日结束时根据发行者的价格进行买卖。因此，</w:t>
      </w:r>
      <w:r>
        <w:rPr>
          <w:lang w:eastAsia="zh-CN"/>
        </w:rPr>
        <w:t>ETF</w:t>
      </w:r>
      <w:r>
        <w:rPr>
          <w:lang w:eastAsia="zh-CN"/>
        </w:rPr>
        <w:t>的风险水平比互惠基金稍微更不稳定。</w:t>
      </w:r>
      <w:r>
        <w:rPr>
          <w:lang w:eastAsia="zh-CN"/>
        </w:rPr>
        <w:t>ETF</w:t>
      </w:r>
      <w:r>
        <w:rPr>
          <w:lang w:eastAsia="zh-CN"/>
        </w:rPr>
        <w:t>可以涵盖任何类型的投资，包括股票、债券或大宗商品。它们可以提供国内持股，也可以提供国际持股，可以主动管理，也可以被动管理。香港交易所已</w:t>
      </w:r>
      <w:hyperlink r:id="rId16">
        <w:r>
          <w:rPr>
            <w:lang w:eastAsia="zh-CN"/>
          </w:rPr>
          <w:t>在其网站上</w:t>
        </w:r>
      </w:hyperlink>
      <w:r>
        <w:rPr>
          <w:lang w:eastAsia="zh-CN"/>
        </w:rPr>
        <w:t>公布了更多有关</w:t>
      </w:r>
      <w:r>
        <w:rPr>
          <w:lang w:eastAsia="zh-CN"/>
        </w:rPr>
        <w:t>ETF</w:t>
      </w:r>
      <w:r>
        <w:rPr>
          <w:lang w:eastAsia="zh-CN"/>
        </w:rPr>
        <w:t>的资料。</w:t>
      </w:r>
    </w:p>
    <w:p w:rsidR="009539FC" w:rsidRDefault="00987F70">
      <w:pPr>
        <w:pStyle w:val="BodyText"/>
        <w:rPr>
          <w:lang w:eastAsia="zh-CN"/>
        </w:rPr>
      </w:pPr>
      <w:r>
        <w:rPr>
          <w:lang w:eastAsia="zh-CN"/>
        </w:rPr>
        <w:t>截至</w:t>
      </w:r>
      <w:r>
        <w:rPr>
          <w:lang w:eastAsia="zh-CN"/>
        </w:rPr>
        <w:t>2021</w:t>
      </w:r>
      <w:r>
        <w:rPr>
          <w:lang w:eastAsia="zh-CN"/>
        </w:rPr>
        <w:t>年年底，在上海证券交易所（</w:t>
      </w:r>
      <w:r>
        <w:rPr>
          <w:b/>
          <w:lang w:eastAsia="zh-CN"/>
        </w:rPr>
        <w:t>上交所</w:t>
      </w:r>
      <w:r>
        <w:rPr>
          <w:lang w:eastAsia="zh-CN"/>
        </w:rPr>
        <w:t>）上市的</w:t>
      </w:r>
      <w:r>
        <w:rPr>
          <w:lang w:eastAsia="zh-CN"/>
        </w:rPr>
        <w:t>ETF</w:t>
      </w:r>
      <w:r>
        <w:rPr>
          <w:lang w:eastAsia="zh-CN"/>
        </w:rPr>
        <w:t>资产规模为</w:t>
      </w:r>
      <w:r>
        <w:rPr>
          <w:lang w:eastAsia="zh-CN"/>
        </w:rPr>
        <w:t>1.14</w:t>
      </w:r>
      <w:r>
        <w:rPr>
          <w:lang w:eastAsia="zh-CN"/>
        </w:rPr>
        <w:t>万亿元人民币（</w:t>
      </w:r>
      <w:r>
        <w:rPr>
          <w:lang w:eastAsia="zh-CN"/>
        </w:rPr>
        <w:t>1800</w:t>
      </w:r>
      <w:r>
        <w:rPr>
          <w:lang w:eastAsia="zh-CN"/>
        </w:rPr>
        <w:t>亿美元），年度增长</w:t>
      </w:r>
      <w:r>
        <w:rPr>
          <w:lang w:eastAsia="zh-CN"/>
        </w:rPr>
        <w:t>26%</w:t>
      </w:r>
      <w:r>
        <w:rPr>
          <w:lang w:eastAsia="zh-CN"/>
        </w:rPr>
        <w:t>。</w:t>
      </w:r>
      <w:r>
        <w:rPr>
          <w:lang w:eastAsia="zh-CN"/>
        </w:rPr>
        <w:t>2021</w:t>
      </w:r>
      <w:r>
        <w:rPr>
          <w:lang w:eastAsia="zh-CN"/>
        </w:rPr>
        <w:t>年，仅投资</w:t>
      </w:r>
      <w:r>
        <w:rPr>
          <w:lang w:eastAsia="zh-CN"/>
        </w:rPr>
        <w:t>ETF</w:t>
      </w:r>
      <w:r>
        <w:rPr>
          <w:lang w:eastAsia="zh-CN"/>
        </w:rPr>
        <w:t>的散户投资者中获得财务收益的比例就超过了同时投资股票和</w:t>
      </w:r>
      <w:r>
        <w:rPr>
          <w:lang w:eastAsia="zh-CN"/>
        </w:rPr>
        <w:t>ETF</w:t>
      </w:r>
      <w:r>
        <w:rPr>
          <w:lang w:eastAsia="zh-CN"/>
        </w:rPr>
        <w:t>的投资者的比例。</w:t>
      </w:r>
      <w:hyperlink w:anchor="footnote-598-2">
        <w:r>
          <w:rPr>
            <w:vertAlign w:val="superscript"/>
            <w:lang w:eastAsia="zh-CN"/>
          </w:rPr>
          <w:t>2</w:t>
        </w:r>
      </w:hyperlink>
    </w:p>
    <w:p w:rsidR="009539FC" w:rsidRDefault="00987F70">
      <w:pPr>
        <w:pStyle w:val="BodyText"/>
        <w:rPr>
          <w:lang w:eastAsia="zh-CN"/>
        </w:rPr>
      </w:pPr>
      <w:r>
        <w:rPr>
          <w:lang w:eastAsia="zh-CN"/>
        </w:rPr>
        <w:t>透过互联互通交易</w:t>
      </w:r>
      <w:r>
        <w:rPr>
          <w:lang w:eastAsia="zh-CN"/>
        </w:rPr>
        <w:t>ETF</w:t>
      </w:r>
      <w:r>
        <w:rPr>
          <w:lang w:eastAsia="zh-CN"/>
        </w:rPr>
        <w:t>的发展</w:t>
      </w:r>
    </w:p>
    <w:p w:rsidR="009539FC" w:rsidRDefault="00987F70">
      <w:pPr>
        <w:pStyle w:val="BodyText"/>
        <w:rPr>
          <w:lang w:eastAsia="zh-CN"/>
        </w:rPr>
      </w:pPr>
      <w:r>
        <w:rPr>
          <w:lang w:eastAsia="zh-CN"/>
        </w:rPr>
        <w:t>为进一步丰富交易品种，为境内外投资者提供更多的投资便利和机会，中国证监会与香港证监会已于</w:t>
      </w:r>
      <w:r>
        <w:rPr>
          <w:lang w:eastAsia="zh-CN"/>
        </w:rPr>
        <w:t>2016</w:t>
      </w:r>
      <w:r>
        <w:rPr>
          <w:lang w:eastAsia="zh-CN"/>
        </w:rPr>
        <w:t>年就产生了将</w:t>
      </w:r>
      <w:r>
        <w:rPr>
          <w:lang w:eastAsia="zh-CN"/>
        </w:rPr>
        <w:t>ETF</w:t>
      </w:r>
      <w:r>
        <w:rPr>
          <w:lang w:eastAsia="zh-CN"/>
        </w:rPr>
        <w:t>纳入互联互通成为合资格证券的想法。</w:t>
      </w:r>
      <w:hyperlink w:anchor="footnote-598-3">
        <w:r>
          <w:rPr>
            <w:vertAlign w:val="superscript"/>
            <w:lang w:eastAsia="zh-CN"/>
          </w:rPr>
          <w:t>3</w:t>
        </w:r>
      </w:hyperlink>
      <w:r>
        <w:rPr>
          <w:lang w:eastAsia="zh-CN"/>
        </w:rPr>
        <w:t xml:space="preserve"> </w:t>
      </w:r>
      <w:r>
        <w:rPr>
          <w:lang w:eastAsia="zh-CN"/>
        </w:rPr>
        <w:t>第一宗香港</w:t>
      </w:r>
      <w:r>
        <w:rPr>
          <w:lang w:eastAsia="zh-CN"/>
        </w:rPr>
        <w:t>/</w:t>
      </w:r>
      <w:r>
        <w:rPr>
          <w:lang w:eastAsia="zh-CN"/>
        </w:rPr>
        <w:t>内地</w:t>
      </w:r>
      <w:r>
        <w:rPr>
          <w:lang w:eastAsia="zh-CN"/>
        </w:rPr>
        <w:t>ETF</w:t>
      </w:r>
      <w:r>
        <w:rPr>
          <w:lang w:eastAsia="zh-CN"/>
        </w:rPr>
        <w:t>跨境上市于</w:t>
      </w:r>
      <w:r>
        <w:rPr>
          <w:lang w:eastAsia="zh-CN"/>
        </w:rPr>
        <w:t>2020</w:t>
      </w:r>
      <w:r>
        <w:rPr>
          <w:lang w:eastAsia="zh-CN"/>
        </w:rPr>
        <w:t>年年末根据当时施行的</w:t>
      </w:r>
      <w:r>
        <w:rPr>
          <w:lang w:eastAsia="zh-CN"/>
        </w:rPr>
        <w:t>ETF</w:t>
      </w:r>
      <w:r>
        <w:rPr>
          <w:lang w:eastAsia="zh-CN"/>
        </w:rPr>
        <w:t>跨境交易计划设立，</w:t>
      </w:r>
      <w:hyperlink w:anchor="footnote-598-4">
        <w:r>
          <w:rPr>
            <w:vertAlign w:val="superscript"/>
            <w:lang w:eastAsia="zh-CN"/>
          </w:rPr>
          <w:t>4</w:t>
        </w:r>
      </w:hyperlink>
      <w:r>
        <w:rPr>
          <w:lang w:eastAsia="zh-CN"/>
        </w:rPr>
        <w:t xml:space="preserve"> </w:t>
      </w:r>
      <w:r>
        <w:rPr>
          <w:lang w:eastAsia="zh-CN"/>
        </w:rPr>
        <w:t>该项计划采用了一种涉及在其本土市场上市一支「联接」</w:t>
      </w:r>
      <w:r>
        <w:rPr>
          <w:lang w:eastAsia="zh-CN"/>
        </w:rPr>
        <w:t>ETF</w:t>
      </w:r>
      <w:r>
        <w:rPr>
          <w:lang w:eastAsia="zh-CN"/>
        </w:rPr>
        <w:t>的模型，且该支联接</w:t>
      </w:r>
      <w:r>
        <w:rPr>
          <w:lang w:eastAsia="zh-CN"/>
        </w:rPr>
        <w:t>ETF</w:t>
      </w:r>
      <w:r>
        <w:rPr>
          <w:lang w:eastAsia="zh-CN"/>
        </w:rPr>
        <w:t>将其</w:t>
      </w:r>
      <w:r>
        <w:rPr>
          <w:lang w:eastAsia="zh-CN"/>
        </w:rPr>
        <w:t>90%</w:t>
      </w:r>
      <w:r>
        <w:rPr>
          <w:lang w:eastAsia="zh-CN"/>
        </w:rPr>
        <w:t>或以上的总净资产投资于在其他市场上市的一支</w:t>
      </w:r>
      <w:r>
        <w:rPr>
          <w:lang w:eastAsia="zh-CN"/>
        </w:rPr>
        <w:t>ETF</w:t>
      </w:r>
      <w:r>
        <w:rPr>
          <w:lang w:eastAsia="zh-CN"/>
        </w:rPr>
        <w:t>。不过，透过此机制买卖的款额并不太大。</w:t>
      </w:r>
    </w:p>
    <w:p w:rsidR="009539FC" w:rsidRDefault="00987F70">
      <w:pPr>
        <w:pStyle w:val="BodyText"/>
        <w:rPr>
          <w:lang w:eastAsia="zh-CN"/>
        </w:rPr>
      </w:pPr>
      <w:r>
        <w:rPr>
          <w:lang w:eastAsia="zh-CN"/>
        </w:rPr>
        <w:t>2021</w:t>
      </w:r>
      <w:r>
        <w:rPr>
          <w:lang w:eastAsia="zh-CN"/>
        </w:rPr>
        <w:t>年</w:t>
      </w:r>
      <w:r>
        <w:rPr>
          <w:lang w:eastAsia="zh-CN"/>
        </w:rPr>
        <w:t>12</w:t>
      </w:r>
      <w:r>
        <w:rPr>
          <w:lang w:eastAsia="zh-CN"/>
        </w:rPr>
        <w:t>月，上交所、深圳证券交易所、香港交易所、中国证券登记结算有限责任公司以及香港中央结算有限公司就将合资格</w:t>
      </w:r>
      <w:r>
        <w:rPr>
          <w:lang w:eastAsia="zh-CN"/>
        </w:rPr>
        <w:t>ETF</w:t>
      </w:r>
      <w:r>
        <w:rPr>
          <w:lang w:eastAsia="zh-CN"/>
        </w:rPr>
        <w:t>纳入互联互通的整体方案达成共识。</w:t>
      </w:r>
      <w:hyperlink w:anchor="footnote-598-5">
        <w:r>
          <w:rPr>
            <w:vertAlign w:val="superscript"/>
            <w:lang w:eastAsia="zh-CN"/>
          </w:rPr>
          <w:t>5</w:t>
        </w:r>
      </w:hyperlink>
      <w:r>
        <w:rPr>
          <w:lang w:eastAsia="zh-CN"/>
        </w:rPr>
        <w:t xml:space="preserve"> </w:t>
      </w:r>
      <w:r>
        <w:rPr>
          <w:lang w:eastAsia="zh-CN"/>
        </w:rPr>
        <w:lastRenderedPageBreak/>
        <w:t>该新的</w:t>
      </w:r>
      <w:r>
        <w:rPr>
          <w:lang w:eastAsia="zh-CN"/>
        </w:rPr>
        <w:t>ETF</w:t>
      </w:r>
      <w:r>
        <w:rPr>
          <w:lang w:eastAsia="zh-CN"/>
        </w:rPr>
        <w:t>通将准许投资者透过采用与该互联互通机制中所使用的相同的交易、清算及结算安排买卖某些在规定范</w:t>
      </w:r>
      <w:r>
        <w:rPr>
          <w:lang w:eastAsia="zh-CN"/>
        </w:rPr>
        <w:t>围内的对方交易所上市的</w:t>
      </w:r>
      <w:r>
        <w:rPr>
          <w:lang w:eastAsia="zh-CN"/>
        </w:rPr>
        <w:t>ETF</w:t>
      </w:r>
      <w:r>
        <w:rPr>
          <w:lang w:eastAsia="zh-CN"/>
        </w:rPr>
        <w:t>基金份额。</w:t>
      </w:r>
    </w:p>
    <w:p w:rsidR="009539FC" w:rsidRDefault="00987F70">
      <w:pPr>
        <w:pStyle w:val="BodyText"/>
        <w:rPr>
          <w:lang w:eastAsia="zh-CN"/>
        </w:rPr>
      </w:pPr>
      <w:r>
        <w:rPr>
          <w:lang w:eastAsia="zh-CN"/>
        </w:rPr>
        <w:t>根据香港政府提供的资料，在互联互通计划于</w:t>
      </w:r>
      <w:r>
        <w:rPr>
          <w:lang w:eastAsia="zh-CN"/>
        </w:rPr>
        <w:t>2014</w:t>
      </w:r>
      <w:r>
        <w:rPr>
          <w:lang w:eastAsia="zh-CN"/>
        </w:rPr>
        <w:t>年启动开始直至</w:t>
      </w:r>
      <w:r>
        <w:rPr>
          <w:lang w:eastAsia="zh-CN"/>
        </w:rPr>
        <w:t>2022</w:t>
      </w:r>
      <w:r>
        <w:rPr>
          <w:lang w:eastAsia="zh-CN"/>
        </w:rPr>
        <w:t>年</w:t>
      </w:r>
      <w:r>
        <w:rPr>
          <w:lang w:eastAsia="zh-CN"/>
        </w:rPr>
        <w:t>5</w:t>
      </w:r>
      <w:r>
        <w:rPr>
          <w:lang w:eastAsia="zh-CN"/>
        </w:rPr>
        <w:t>月期间，互联互通北向交易为内陆股票市场带来</w:t>
      </w:r>
      <w:r>
        <w:rPr>
          <w:lang w:eastAsia="zh-CN"/>
        </w:rPr>
        <w:t>16,000</w:t>
      </w:r>
      <w:r>
        <w:rPr>
          <w:lang w:eastAsia="zh-CN"/>
        </w:rPr>
        <w:t>亿人民币的净流入，而南向交易则为香港股票市场带来</w:t>
      </w:r>
      <w:r>
        <w:rPr>
          <w:lang w:eastAsia="zh-CN"/>
        </w:rPr>
        <w:t>23,000</w:t>
      </w:r>
      <w:r>
        <w:rPr>
          <w:lang w:eastAsia="zh-CN"/>
        </w:rPr>
        <w:t>亿港元的净流入。</w:t>
      </w:r>
      <w:hyperlink w:anchor="footnote-598-6">
        <w:r>
          <w:rPr>
            <w:vertAlign w:val="superscript"/>
            <w:lang w:eastAsia="zh-CN"/>
          </w:rPr>
          <w:t>6</w:t>
        </w:r>
      </w:hyperlink>
    </w:p>
    <w:p w:rsidR="009539FC" w:rsidRDefault="00987F70">
      <w:pPr>
        <w:pStyle w:val="BodyText"/>
        <w:rPr>
          <w:lang w:eastAsia="zh-CN"/>
        </w:rPr>
      </w:pPr>
      <w:r>
        <w:rPr>
          <w:lang w:eastAsia="zh-CN"/>
        </w:rPr>
        <w:t>资格准则</w:t>
      </w:r>
    </w:p>
    <w:p w:rsidR="009539FC" w:rsidRDefault="00987F70">
      <w:pPr>
        <w:pStyle w:val="BodyText"/>
        <w:rPr>
          <w:lang w:eastAsia="zh-CN"/>
        </w:rPr>
      </w:pPr>
      <w:r>
        <w:rPr>
          <w:lang w:eastAsia="zh-CN"/>
        </w:rPr>
        <w:t>根据更新过的安排，内地和香港投资者可以通过当地证券公司或者经纪商买卖规定范围内的对方交易所上市的</w:t>
      </w:r>
      <w:r>
        <w:rPr>
          <w:lang w:eastAsia="zh-CN"/>
        </w:rPr>
        <w:t>ETF</w:t>
      </w:r>
      <w:r>
        <w:rPr>
          <w:lang w:eastAsia="zh-CN"/>
        </w:rPr>
        <w:t>基金份额（及合资格股票）。</w:t>
      </w:r>
      <w:r>
        <w:rPr>
          <w:lang w:eastAsia="zh-CN"/>
        </w:rPr>
        <w:t>ETF</w:t>
      </w:r>
      <w:r>
        <w:rPr>
          <w:lang w:eastAsia="zh-CN"/>
        </w:rPr>
        <w:t>基于股票互联互通的基础设施连接将纳入互联互通，</w:t>
      </w:r>
      <w:r>
        <w:rPr>
          <w:lang w:eastAsia="zh-CN"/>
        </w:rPr>
        <w:t>主要制度安排参照股票互联互通，遵循两地市场现行的基金运作、交易结算法律法规和运行模式。</w:t>
      </w:r>
    </w:p>
    <w:p w:rsidR="009539FC" w:rsidRDefault="00987F70">
      <w:pPr>
        <w:pStyle w:val="BodyText"/>
        <w:rPr>
          <w:lang w:eastAsia="zh-CN"/>
        </w:rPr>
      </w:pPr>
      <w:r>
        <w:rPr>
          <w:lang w:eastAsia="zh-CN"/>
        </w:rPr>
        <w:t>联交所已就纳入北向交易及南向交易刊发了</w:t>
      </w:r>
      <w:hyperlink r:id="rId17">
        <w:r>
          <w:rPr>
            <w:lang w:eastAsia="zh-CN"/>
          </w:rPr>
          <w:t>内地和香港</w:t>
        </w:r>
        <w:r>
          <w:rPr>
            <w:lang w:eastAsia="zh-CN"/>
          </w:rPr>
          <w:t>ETF</w:t>
        </w:r>
        <w:r>
          <w:rPr>
            <w:lang w:eastAsia="zh-CN"/>
          </w:rPr>
          <w:t>资格准则详情</w:t>
        </w:r>
      </w:hyperlink>
      <w:r>
        <w:rPr>
          <w:lang w:eastAsia="zh-CN"/>
        </w:rPr>
        <w:t>（下文有讨论）。但是，这些</w:t>
      </w:r>
      <w:r>
        <w:rPr>
          <w:lang w:eastAsia="zh-CN"/>
        </w:rPr>
        <w:t>资格规定仍须获得香港证监会及中国证监会的同意。根据香港证监会及中国证监会的联合公告，该等资格规定将基于基金规模、跟踪指数选股是否以互联互通标的合资格股票为主等原则等若干因素而定。经中国证监会和香港证监会同意，两地交易所可根据运行情况在股票互联互通框架下调整纳入标的合资格</w:t>
      </w:r>
      <w:r>
        <w:rPr>
          <w:lang w:eastAsia="zh-CN"/>
        </w:rPr>
        <w:t>ETF</w:t>
      </w:r>
      <w:r>
        <w:rPr>
          <w:lang w:eastAsia="zh-CN"/>
        </w:rPr>
        <w:t>范围。投资者通过互联互通投资</w:t>
      </w:r>
      <w:r>
        <w:rPr>
          <w:lang w:eastAsia="zh-CN"/>
        </w:rPr>
        <w:t>ETF</w:t>
      </w:r>
      <w:r>
        <w:rPr>
          <w:lang w:eastAsia="zh-CN"/>
        </w:rPr>
        <w:t>，仅被准许在二级市场进行交易，不允许申购赎回。</w:t>
      </w:r>
      <w:r>
        <w:rPr>
          <w:lang w:eastAsia="zh-CN"/>
        </w:rPr>
        <w:t>ETF</w:t>
      </w:r>
      <w:r>
        <w:rPr>
          <w:lang w:eastAsia="zh-CN"/>
        </w:rPr>
        <w:t>投资额度与股票投资额度一并统计及管理。</w:t>
      </w:r>
    </w:p>
    <w:p w:rsidR="009539FC" w:rsidRDefault="00987F70">
      <w:pPr>
        <w:pStyle w:val="BodyText"/>
        <w:rPr>
          <w:lang w:eastAsia="zh-CN"/>
        </w:rPr>
      </w:pPr>
      <w:r>
        <w:rPr>
          <w:lang w:eastAsia="zh-CN"/>
        </w:rPr>
        <w:t>ETF</w:t>
      </w:r>
      <w:r>
        <w:rPr>
          <w:lang w:eastAsia="zh-CN"/>
        </w:rPr>
        <w:t>将定期基于相关于数据被考察是否合资格纳入沪港通及深港通北向交易。</w:t>
      </w:r>
      <w:hyperlink w:anchor="footnote-598-7">
        <w:r>
          <w:rPr>
            <w:vertAlign w:val="superscript"/>
            <w:lang w:eastAsia="zh-CN"/>
          </w:rPr>
          <w:t>7</w:t>
        </w:r>
      </w:hyperlink>
      <w:r>
        <w:rPr>
          <w:lang w:eastAsia="zh-CN"/>
        </w:rPr>
        <w:t xml:space="preserve"> </w:t>
      </w:r>
      <w:r>
        <w:rPr>
          <w:lang w:eastAsia="zh-CN"/>
        </w:rPr>
        <w:t>虽然详情尚未获得批准，但是想知道符合资格纳入沪港通及深港通北向交易的证券是否属</w:t>
      </w:r>
      <w:r>
        <w:rPr>
          <w:lang w:eastAsia="zh-CN"/>
        </w:rPr>
        <w:t>A</w:t>
      </w:r>
      <w:r>
        <w:rPr>
          <w:lang w:eastAsia="zh-CN"/>
        </w:rPr>
        <w:t>股及</w:t>
      </w:r>
      <w:r>
        <w:rPr>
          <w:lang w:eastAsia="zh-CN"/>
        </w:rPr>
        <w:t>ETF</w:t>
      </w:r>
      <w:r>
        <w:rPr>
          <w:lang w:eastAsia="zh-CN"/>
        </w:rPr>
        <w:t>的投资者将能够参阅</w:t>
      </w:r>
      <w:hyperlink r:id="rId18">
        <w:r>
          <w:rPr>
            <w:lang w:eastAsia="zh-CN"/>
          </w:rPr>
          <w:t>载列于联交所网站的若干名单</w:t>
        </w:r>
      </w:hyperlink>
      <w:r>
        <w:rPr>
          <w:lang w:eastAsia="zh-CN"/>
        </w:rPr>
        <w:t>。</w:t>
      </w:r>
    </w:p>
    <w:p w:rsidR="009539FC" w:rsidRDefault="00987F70">
      <w:pPr>
        <w:pStyle w:val="BodyText"/>
        <w:rPr>
          <w:lang w:eastAsia="zh-CN"/>
        </w:rPr>
      </w:pPr>
      <w:r>
        <w:rPr>
          <w:lang w:eastAsia="zh-CN"/>
        </w:rPr>
        <w:t>据联交所提供的资料，所有香港及海外投资者（包括机构及个人投资者）均可买卖北向</w:t>
      </w:r>
      <w:r>
        <w:rPr>
          <w:lang w:eastAsia="zh-CN"/>
        </w:rPr>
        <w:t>交易的</w:t>
      </w:r>
      <w:r>
        <w:rPr>
          <w:lang w:eastAsia="zh-CN"/>
        </w:rPr>
        <w:t>ETF</w:t>
      </w:r>
      <w:r>
        <w:rPr>
          <w:lang w:eastAsia="zh-CN"/>
        </w:rPr>
        <w:t>。</w:t>
      </w:r>
    </w:p>
    <w:p w:rsidR="009539FC" w:rsidRDefault="00987F70">
      <w:pPr>
        <w:pStyle w:val="BodyText"/>
        <w:rPr>
          <w:lang w:eastAsia="zh-CN"/>
        </w:rPr>
      </w:pPr>
      <w:r>
        <w:rPr>
          <w:lang w:eastAsia="zh-CN"/>
        </w:rPr>
        <w:t>还有一些事项尚未厘定，例如适用的交易及结算规则、投资者适当性、两地跨境监管和执法合作、以及对口联络机制等，将载列于香港证监会及中国证监会另外发布的联合公告。</w:t>
      </w:r>
    </w:p>
    <w:p w:rsidR="009539FC" w:rsidRDefault="00987F70">
      <w:pPr>
        <w:pStyle w:val="BodyText"/>
        <w:rPr>
          <w:lang w:eastAsia="zh-CN"/>
        </w:rPr>
      </w:pPr>
      <w:r>
        <w:rPr>
          <w:lang w:eastAsia="zh-CN"/>
        </w:rPr>
        <w:t>北向</w:t>
      </w:r>
      <w:r>
        <w:rPr>
          <w:lang w:eastAsia="zh-CN"/>
        </w:rPr>
        <w:t>ETF</w:t>
      </w:r>
      <w:r>
        <w:rPr>
          <w:lang w:eastAsia="zh-CN"/>
        </w:rPr>
        <w:t>的资格规定</w:t>
      </w:r>
    </w:p>
    <w:p w:rsidR="009539FC" w:rsidRDefault="00987F70">
      <w:pPr>
        <w:pStyle w:val="BodyText"/>
        <w:rPr>
          <w:lang w:eastAsia="zh-CN"/>
        </w:rPr>
      </w:pPr>
      <w:r>
        <w:rPr>
          <w:lang w:eastAsia="zh-CN"/>
        </w:rPr>
        <w:t>在获得监管批准的前提下，建议符合以下全部条件的上交所上市</w:t>
      </w:r>
      <w:r>
        <w:rPr>
          <w:lang w:eastAsia="zh-CN"/>
        </w:rPr>
        <w:t>ETF</w:t>
      </w:r>
      <w:r>
        <w:rPr>
          <w:lang w:eastAsia="zh-CN"/>
        </w:rPr>
        <w:t>及深交所上市</w:t>
      </w:r>
      <w:r>
        <w:rPr>
          <w:lang w:eastAsia="zh-CN"/>
        </w:rPr>
        <w:t>ETF</w:t>
      </w:r>
      <w:r>
        <w:rPr>
          <w:lang w:eastAsia="zh-CN"/>
        </w:rPr>
        <w:t>或可被接纳为北向交易的合资格</w:t>
      </w:r>
      <w:r>
        <w:rPr>
          <w:lang w:eastAsia="zh-CN"/>
        </w:rPr>
        <w:t xml:space="preserve"> ETF</w:t>
      </w:r>
      <w:r>
        <w:rPr>
          <w:lang w:eastAsia="zh-CN"/>
        </w:rPr>
        <w:t>：</w:t>
      </w:r>
    </w:p>
    <w:p w:rsidR="009539FC" w:rsidRDefault="00987F70">
      <w:pPr>
        <w:pStyle w:val="Compact"/>
        <w:numPr>
          <w:ilvl w:val="0"/>
          <w:numId w:val="3"/>
        </w:numPr>
        <w:rPr>
          <w:lang w:eastAsia="zh-CN"/>
        </w:rPr>
      </w:pPr>
      <w:r>
        <w:rPr>
          <w:lang w:eastAsia="zh-CN"/>
        </w:rPr>
        <w:t>有关</w:t>
      </w:r>
      <w:r>
        <w:rPr>
          <w:lang w:eastAsia="zh-CN"/>
        </w:rPr>
        <w:t>ETF</w:t>
      </w:r>
      <w:r>
        <w:rPr>
          <w:lang w:eastAsia="zh-CN"/>
        </w:rPr>
        <w:t>须以人民币计价，且最近六个月日均资产规模不低于人民币</w:t>
      </w:r>
      <w:r>
        <w:rPr>
          <w:lang w:eastAsia="zh-CN"/>
        </w:rPr>
        <w:t>15</w:t>
      </w:r>
      <w:r>
        <w:rPr>
          <w:lang w:eastAsia="zh-CN"/>
        </w:rPr>
        <w:t>亿元（</w:t>
      </w:r>
      <w:r>
        <w:rPr>
          <w:lang w:eastAsia="zh-CN"/>
        </w:rPr>
        <w:t>2.25</w:t>
      </w:r>
      <w:r>
        <w:rPr>
          <w:lang w:eastAsia="zh-CN"/>
        </w:rPr>
        <w:t>亿美元）；</w:t>
      </w:r>
    </w:p>
    <w:p w:rsidR="009539FC" w:rsidRDefault="00987F70">
      <w:pPr>
        <w:pStyle w:val="Compact"/>
        <w:numPr>
          <w:ilvl w:val="0"/>
          <w:numId w:val="3"/>
        </w:numPr>
        <w:rPr>
          <w:lang w:eastAsia="zh-CN"/>
        </w:rPr>
      </w:pPr>
      <w:r>
        <w:rPr>
          <w:lang w:eastAsia="zh-CN"/>
        </w:rPr>
        <w:t>有关</w:t>
      </w:r>
      <w:r>
        <w:rPr>
          <w:lang w:eastAsia="zh-CN"/>
        </w:rPr>
        <w:t>ETF</w:t>
      </w:r>
      <w:r>
        <w:rPr>
          <w:lang w:eastAsia="zh-CN"/>
        </w:rPr>
        <w:t>须已上市不少于六个月；</w:t>
      </w:r>
    </w:p>
    <w:p w:rsidR="009539FC" w:rsidRDefault="00987F70">
      <w:pPr>
        <w:pStyle w:val="Compact"/>
        <w:numPr>
          <w:ilvl w:val="0"/>
          <w:numId w:val="3"/>
        </w:numPr>
        <w:rPr>
          <w:lang w:eastAsia="zh-CN"/>
        </w:rPr>
      </w:pPr>
      <w:r>
        <w:rPr>
          <w:lang w:eastAsia="zh-CN"/>
        </w:rPr>
        <w:t>跟踪的标的指数发布时间满一年；</w:t>
      </w:r>
    </w:p>
    <w:p w:rsidR="009539FC" w:rsidRDefault="00987F70">
      <w:pPr>
        <w:pStyle w:val="Compact"/>
        <w:numPr>
          <w:ilvl w:val="0"/>
          <w:numId w:val="3"/>
        </w:numPr>
        <w:rPr>
          <w:lang w:eastAsia="zh-CN"/>
        </w:rPr>
      </w:pPr>
      <w:r>
        <w:rPr>
          <w:lang w:eastAsia="zh-CN"/>
        </w:rPr>
        <w:t>跟踪的标的指数中，上交所和深交所上市</w:t>
      </w:r>
      <w:r>
        <w:rPr>
          <w:lang w:eastAsia="zh-CN"/>
        </w:rPr>
        <w:t>A</w:t>
      </w:r>
      <w:r>
        <w:rPr>
          <w:lang w:eastAsia="zh-CN"/>
        </w:rPr>
        <w:t>股股票权重合计占比不低于</w:t>
      </w:r>
      <w:r>
        <w:rPr>
          <w:lang w:eastAsia="zh-CN"/>
        </w:rPr>
        <w:t>90%</w:t>
      </w:r>
      <w:r>
        <w:rPr>
          <w:lang w:eastAsia="zh-CN"/>
        </w:rPr>
        <w:t>，且沪股通股票和深股通股票权重合计占比不低于</w:t>
      </w:r>
      <w:r>
        <w:rPr>
          <w:lang w:eastAsia="zh-CN"/>
        </w:rPr>
        <w:t>80%</w:t>
      </w:r>
      <w:r>
        <w:rPr>
          <w:lang w:eastAsia="zh-CN"/>
        </w:rPr>
        <w:t>；及</w:t>
      </w:r>
    </w:p>
    <w:p w:rsidR="009539FC" w:rsidRDefault="00987F70">
      <w:pPr>
        <w:pStyle w:val="Compact"/>
        <w:numPr>
          <w:ilvl w:val="0"/>
          <w:numId w:val="3"/>
        </w:numPr>
        <w:rPr>
          <w:lang w:eastAsia="zh-CN"/>
        </w:rPr>
      </w:pPr>
      <w:r>
        <w:rPr>
          <w:lang w:eastAsia="zh-CN"/>
        </w:rPr>
        <w:t>跟踪的标的指数或者其编制方案须符合以下任何一组条件：</w:t>
      </w:r>
    </w:p>
    <w:p w:rsidR="009539FC" w:rsidRDefault="00987F70">
      <w:pPr>
        <w:pStyle w:val="Compact"/>
        <w:numPr>
          <w:ilvl w:val="1"/>
          <w:numId w:val="4"/>
        </w:numPr>
        <w:rPr>
          <w:lang w:eastAsia="zh-CN"/>
        </w:rPr>
      </w:pPr>
      <w:r>
        <w:rPr>
          <w:lang w:eastAsia="zh-CN"/>
        </w:rPr>
        <w:t>就宽基股票指数而言：</w:t>
      </w:r>
      <w:hyperlink w:anchor="footnote-598-8">
        <w:r>
          <w:rPr>
            <w:vertAlign w:val="superscript"/>
            <w:lang w:eastAsia="zh-CN"/>
          </w:rPr>
          <w:t>8</w:t>
        </w:r>
      </w:hyperlink>
      <w:r>
        <w:rPr>
          <w:lang w:eastAsia="zh-CN"/>
        </w:rPr>
        <w:t xml:space="preserve"> </w:t>
      </w:r>
      <w:r>
        <w:rPr>
          <w:lang w:eastAsia="zh-CN"/>
        </w:rPr>
        <w:t>单一成份股权重不得超过</w:t>
      </w:r>
      <w:r>
        <w:rPr>
          <w:lang w:eastAsia="zh-CN"/>
        </w:rPr>
        <w:t>30%</w:t>
      </w:r>
      <w:r>
        <w:rPr>
          <w:lang w:eastAsia="zh-CN"/>
        </w:rPr>
        <w:t>；或</w:t>
      </w:r>
    </w:p>
    <w:p w:rsidR="009539FC" w:rsidRDefault="00987F70">
      <w:pPr>
        <w:pStyle w:val="Compact"/>
        <w:numPr>
          <w:ilvl w:val="1"/>
          <w:numId w:val="4"/>
        </w:numPr>
        <w:rPr>
          <w:lang w:eastAsia="zh-CN"/>
        </w:rPr>
      </w:pPr>
      <w:r>
        <w:rPr>
          <w:lang w:eastAsia="zh-CN"/>
        </w:rPr>
        <w:t>就非宽基股票指数而言：</w:t>
      </w:r>
    </w:p>
    <w:p w:rsidR="009539FC" w:rsidRDefault="00987F70">
      <w:pPr>
        <w:pStyle w:val="Compact"/>
        <w:numPr>
          <w:ilvl w:val="2"/>
          <w:numId w:val="5"/>
        </w:numPr>
      </w:pPr>
      <w:r>
        <w:t>成份股数量不低于</w:t>
      </w:r>
      <w:r>
        <w:t>30</w:t>
      </w:r>
      <w:r>
        <w:t>只；</w:t>
      </w:r>
    </w:p>
    <w:p w:rsidR="009539FC" w:rsidRDefault="00987F70">
      <w:pPr>
        <w:pStyle w:val="Compact"/>
        <w:numPr>
          <w:ilvl w:val="2"/>
          <w:numId w:val="5"/>
        </w:numPr>
        <w:rPr>
          <w:lang w:eastAsia="zh-CN"/>
        </w:rPr>
      </w:pPr>
      <w:r>
        <w:rPr>
          <w:lang w:eastAsia="zh-CN"/>
        </w:rPr>
        <w:t>单一成份证券权重不超过</w:t>
      </w:r>
      <w:r>
        <w:rPr>
          <w:lang w:eastAsia="zh-CN"/>
        </w:rPr>
        <w:t>15%</w:t>
      </w:r>
      <w:r>
        <w:rPr>
          <w:lang w:eastAsia="zh-CN"/>
        </w:rPr>
        <w:t>且前五大成份证券权重合计占比不超过</w:t>
      </w:r>
      <w:r>
        <w:rPr>
          <w:lang w:eastAsia="zh-CN"/>
        </w:rPr>
        <w:t>60%</w:t>
      </w:r>
      <w:r>
        <w:rPr>
          <w:lang w:eastAsia="zh-CN"/>
        </w:rPr>
        <w:t>；及</w:t>
      </w:r>
    </w:p>
    <w:p w:rsidR="009539FC" w:rsidRDefault="00987F70">
      <w:pPr>
        <w:pStyle w:val="Compact"/>
        <w:numPr>
          <w:ilvl w:val="2"/>
          <w:numId w:val="5"/>
        </w:numPr>
        <w:rPr>
          <w:lang w:eastAsia="zh-CN"/>
        </w:rPr>
      </w:pPr>
      <w:r>
        <w:rPr>
          <w:lang w:eastAsia="zh-CN"/>
        </w:rPr>
        <w:t>权重占比合计</w:t>
      </w:r>
      <w:r>
        <w:rPr>
          <w:lang w:eastAsia="zh-CN"/>
        </w:rPr>
        <w:t>90%</w:t>
      </w:r>
      <w:r>
        <w:rPr>
          <w:lang w:eastAsia="zh-CN"/>
        </w:rPr>
        <w:t>以上的成份股最近一年日均成交金额位于其所在证券交易所上市股票的前</w:t>
      </w:r>
      <w:r>
        <w:rPr>
          <w:lang w:eastAsia="zh-CN"/>
        </w:rPr>
        <w:t>80%</w:t>
      </w:r>
      <w:r>
        <w:rPr>
          <w:lang w:eastAsia="zh-CN"/>
        </w:rPr>
        <w:t>。</w:t>
      </w:r>
    </w:p>
    <w:p w:rsidR="009539FC" w:rsidRDefault="00987F70">
      <w:pPr>
        <w:pStyle w:val="FirstParagraph"/>
        <w:rPr>
          <w:lang w:eastAsia="zh-CN"/>
        </w:rPr>
      </w:pPr>
      <w:r>
        <w:rPr>
          <w:lang w:eastAsia="zh-CN"/>
        </w:rPr>
        <w:t>还建议合资格</w:t>
      </w:r>
      <w:r>
        <w:rPr>
          <w:lang w:eastAsia="zh-CN"/>
        </w:rPr>
        <w:t>ETF</w:t>
      </w:r>
      <w:r>
        <w:rPr>
          <w:lang w:eastAsia="zh-CN"/>
        </w:rPr>
        <w:t>如于其后定期调整考察时符合以下任何一项条件，其将被指定为只供卖出的证券并被暂停买入：</w:t>
      </w:r>
    </w:p>
    <w:p w:rsidR="009539FC" w:rsidRDefault="00987F70">
      <w:pPr>
        <w:pStyle w:val="Compact"/>
        <w:numPr>
          <w:ilvl w:val="0"/>
          <w:numId w:val="6"/>
        </w:numPr>
        <w:rPr>
          <w:lang w:eastAsia="zh-CN"/>
        </w:rPr>
      </w:pPr>
      <w:r>
        <w:rPr>
          <w:lang w:eastAsia="zh-CN"/>
        </w:rPr>
        <w:lastRenderedPageBreak/>
        <w:t>有关</w:t>
      </w:r>
      <w:r>
        <w:rPr>
          <w:lang w:eastAsia="zh-CN"/>
        </w:rPr>
        <w:t>ETF</w:t>
      </w:r>
      <w:r>
        <w:rPr>
          <w:lang w:eastAsia="zh-CN"/>
        </w:rPr>
        <w:t>最近六个月日均资产规模低于人民币</w:t>
      </w:r>
      <w:r>
        <w:rPr>
          <w:lang w:eastAsia="zh-CN"/>
        </w:rPr>
        <w:t>10</w:t>
      </w:r>
      <w:r>
        <w:rPr>
          <w:lang w:eastAsia="zh-CN"/>
        </w:rPr>
        <w:t>亿元；</w:t>
      </w:r>
    </w:p>
    <w:p w:rsidR="009539FC" w:rsidRDefault="00987F70">
      <w:pPr>
        <w:pStyle w:val="Compact"/>
        <w:numPr>
          <w:ilvl w:val="0"/>
          <w:numId w:val="6"/>
        </w:numPr>
        <w:rPr>
          <w:lang w:eastAsia="zh-CN"/>
        </w:rPr>
      </w:pPr>
      <w:r>
        <w:rPr>
          <w:lang w:eastAsia="zh-CN"/>
        </w:rPr>
        <w:t>跟踪的标的指数中，上交所和深交所上市</w:t>
      </w:r>
      <w:r>
        <w:rPr>
          <w:lang w:eastAsia="zh-CN"/>
        </w:rPr>
        <w:t>A</w:t>
      </w:r>
      <w:r>
        <w:rPr>
          <w:lang w:eastAsia="zh-CN"/>
        </w:rPr>
        <w:t>股股票权重合计占比低于</w:t>
      </w:r>
      <w:r>
        <w:rPr>
          <w:lang w:eastAsia="zh-CN"/>
        </w:rPr>
        <w:t>85%</w:t>
      </w:r>
      <w:r>
        <w:rPr>
          <w:lang w:eastAsia="zh-CN"/>
        </w:rPr>
        <w:t>，或者沪股通合资格成份股票和深股通合资格成份股票权重合计占比低于</w:t>
      </w:r>
      <w:r>
        <w:rPr>
          <w:lang w:eastAsia="zh-CN"/>
        </w:rPr>
        <w:t>70%</w:t>
      </w:r>
      <w:r>
        <w:rPr>
          <w:lang w:eastAsia="zh-CN"/>
        </w:rPr>
        <w:t>；或</w:t>
      </w:r>
    </w:p>
    <w:p w:rsidR="009539FC" w:rsidRDefault="00987F70">
      <w:pPr>
        <w:pStyle w:val="Compact"/>
        <w:numPr>
          <w:ilvl w:val="0"/>
          <w:numId w:val="6"/>
        </w:numPr>
        <w:rPr>
          <w:lang w:eastAsia="zh-CN"/>
        </w:rPr>
      </w:pPr>
      <w:r>
        <w:rPr>
          <w:lang w:eastAsia="zh-CN"/>
        </w:rPr>
        <w:t>跟踪的标的指数及其编制方案符合以下任何一项条件：</w:t>
      </w:r>
    </w:p>
    <w:p w:rsidR="009539FC" w:rsidRDefault="00987F70">
      <w:pPr>
        <w:pStyle w:val="Compact"/>
        <w:numPr>
          <w:ilvl w:val="1"/>
          <w:numId w:val="7"/>
        </w:numPr>
        <w:rPr>
          <w:lang w:eastAsia="zh-CN"/>
        </w:rPr>
      </w:pPr>
      <w:r>
        <w:rPr>
          <w:lang w:eastAsia="zh-CN"/>
        </w:rPr>
        <w:t>就宽基股票指数而言：单一成份股权重超过</w:t>
      </w:r>
      <w:r>
        <w:rPr>
          <w:lang w:eastAsia="zh-CN"/>
        </w:rPr>
        <w:t xml:space="preserve"> 30%</w:t>
      </w:r>
      <w:r>
        <w:rPr>
          <w:lang w:eastAsia="zh-CN"/>
        </w:rPr>
        <w:t>；或</w:t>
      </w:r>
    </w:p>
    <w:p w:rsidR="009539FC" w:rsidRDefault="00987F70">
      <w:pPr>
        <w:pStyle w:val="Compact"/>
        <w:numPr>
          <w:ilvl w:val="1"/>
          <w:numId w:val="7"/>
        </w:numPr>
        <w:rPr>
          <w:lang w:eastAsia="zh-CN"/>
        </w:rPr>
      </w:pPr>
      <w:r>
        <w:rPr>
          <w:lang w:eastAsia="zh-CN"/>
        </w:rPr>
        <w:t>就非宽基股票指数而言：</w:t>
      </w:r>
    </w:p>
    <w:p w:rsidR="009539FC" w:rsidRDefault="00987F70">
      <w:pPr>
        <w:pStyle w:val="Compact"/>
        <w:numPr>
          <w:ilvl w:val="2"/>
          <w:numId w:val="8"/>
        </w:numPr>
      </w:pPr>
      <w:r>
        <w:t>成份股数量低于</w:t>
      </w:r>
      <w:r>
        <w:t xml:space="preserve"> 30 </w:t>
      </w:r>
      <w:r>
        <w:t>只；</w:t>
      </w:r>
    </w:p>
    <w:p w:rsidR="009539FC" w:rsidRDefault="00987F70">
      <w:pPr>
        <w:pStyle w:val="Compact"/>
        <w:numPr>
          <w:ilvl w:val="2"/>
          <w:numId w:val="8"/>
        </w:numPr>
        <w:rPr>
          <w:lang w:eastAsia="zh-CN"/>
        </w:rPr>
      </w:pPr>
      <w:r>
        <w:rPr>
          <w:lang w:eastAsia="zh-CN"/>
        </w:rPr>
        <w:t>单一成份证券权重超过</w:t>
      </w:r>
      <w:r>
        <w:rPr>
          <w:lang w:eastAsia="zh-CN"/>
        </w:rPr>
        <w:t xml:space="preserve"> 15%</w:t>
      </w:r>
      <w:r>
        <w:rPr>
          <w:lang w:eastAsia="zh-CN"/>
        </w:rPr>
        <w:t>，或前五大成份证券权重合计占比</w:t>
      </w:r>
      <w:r>
        <w:rPr>
          <w:lang w:eastAsia="zh-CN"/>
        </w:rPr>
        <w:t>超过</w:t>
      </w:r>
      <w:r>
        <w:rPr>
          <w:lang w:eastAsia="zh-CN"/>
        </w:rPr>
        <w:t xml:space="preserve"> 60%</w:t>
      </w:r>
      <w:r>
        <w:rPr>
          <w:lang w:eastAsia="zh-CN"/>
        </w:rPr>
        <w:t>；或</w:t>
      </w:r>
    </w:p>
    <w:p w:rsidR="009539FC" w:rsidRDefault="00987F70">
      <w:pPr>
        <w:pStyle w:val="Compact"/>
        <w:numPr>
          <w:ilvl w:val="2"/>
          <w:numId w:val="8"/>
        </w:numPr>
        <w:rPr>
          <w:lang w:eastAsia="zh-CN"/>
        </w:rPr>
      </w:pPr>
      <w:r>
        <w:rPr>
          <w:lang w:eastAsia="zh-CN"/>
        </w:rPr>
        <w:t>最近一年日均成交金额位于其所在证券交易所上市股票前</w:t>
      </w:r>
      <w:r>
        <w:rPr>
          <w:lang w:eastAsia="zh-CN"/>
        </w:rPr>
        <w:t>80%</w:t>
      </w:r>
      <w:r>
        <w:rPr>
          <w:lang w:eastAsia="zh-CN"/>
        </w:rPr>
        <w:t>的成份股，其权重占比合计低于</w:t>
      </w:r>
      <w:r>
        <w:rPr>
          <w:lang w:eastAsia="zh-CN"/>
        </w:rPr>
        <w:t xml:space="preserve"> 90%</w:t>
      </w:r>
      <w:r>
        <w:rPr>
          <w:lang w:eastAsia="zh-CN"/>
        </w:rPr>
        <w:t>。</w:t>
      </w:r>
    </w:p>
    <w:p w:rsidR="009539FC" w:rsidRDefault="00987F70">
      <w:pPr>
        <w:pStyle w:val="FirstParagraph"/>
        <w:rPr>
          <w:lang w:eastAsia="zh-CN"/>
        </w:rPr>
      </w:pPr>
      <w:r>
        <w:rPr>
          <w:lang w:eastAsia="zh-CN"/>
        </w:rPr>
        <w:t>通过沪港通及深港通达成的交易设有每日额度规限</w:t>
      </w:r>
      <w:r>
        <w:rPr>
          <w:lang w:eastAsia="zh-CN"/>
        </w:rPr>
        <w:t>520</w:t>
      </w:r>
      <w:r>
        <w:rPr>
          <w:lang w:eastAsia="zh-CN"/>
        </w:rPr>
        <w:t>亿人民币。此每日额度规限适用于</w:t>
      </w:r>
      <w:r>
        <w:rPr>
          <w:lang w:eastAsia="zh-CN"/>
        </w:rPr>
        <w:t>ETF</w:t>
      </w:r>
      <w:r>
        <w:rPr>
          <w:lang w:eastAsia="zh-CN"/>
        </w:rPr>
        <w:t>及</w:t>
      </w:r>
      <w:r>
        <w:rPr>
          <w:lang w:eastAsia="zh-CN"/>
        </w:rPr>
        <w:t>A</w:t>
      </w:r>
      <w:r>
        <w:rPr>
          <w:lang w:eastAsia="zh-CN"/>
        </w:rPr>
        <w:t>股并由其共享。每日额度按「净买盘」的基础计算，这意味着不计额度结余多少，投资者随时均可出售跨境证券或输入取消买卖盘要求。</w:t>
      </w:r>
    </w:p>
    <w:p w:rsidR="009539FC" w:rsidRDefault="00987F70">
      <w:pPr>
        <w:pStyle w:val="BodyText"/>
        <w:rPr>
          <w:lang w:eastAsia="zh-CN"/>
        </w:rPr>
      </w:pPr>
      <w:r>
        <w:rPr>
          <w:lang w:eastAsia="zh-CN"/>
        </w:rPr>
        <w:t>更多诸如上海交易所及深圳交易所证券的名单，包括北向交易合资格</w:t>
      </w:r>
      <w:r>
        <w:rPr>
          <w:lang w:eastAsia="zh-CN"/>
        </w:rPr>
        <w:t>ETF</w:t>
      </w:r>
      <w:r>
        <w:rPr>
          <w:lang w:eastAsia="zh-CN"/>
        </w:rPr>
        <w:t>在内，载列</w:t>
      </w:r>
      <w:hyperlink r:id="rId19">
        <w:r>
          <w:rPr>
            <w:i/>
            <w:lang w:eastAsia="zh-CN"/>
          </w:rPr>
          <w:t>于香港交易所网站</w:t>
        </w:r>
      </w:hyperlink>
      <w:r>
        <w:rPr>
          <w:lang w:eastAsia="zh-CN"/>
        </w:rPr>
        <w:t>，并会不时更新。北向交易的合资格</w:t>
      </w:r>
      <w:r>
        <w:rPr>
          <w:lang w:eastAsia="zh-CN"/>
        </w:rPr>
        <w:t>ETF</w:t>
      </w:r>
      <w:r>
        <w:rPr>
          <w:lang w:eastAsia="zh-CN"/>
        </w:rPr>
        <w:t>名单将稍后公布。</w:t>
      </w:r>
    </w:p>
    <w:p w:rsidR="009539FC" w:rsidRDefault="00987F70">
      <w:pPr>
        <w:pStyle w:val="BodyText"/>
        <w:rPr>
          <w:lang w:eastAsia="zh-CN"/>
        </w:rPr>
      </w:pPr>
      <w:r>
        <w:rPr>
          <w:lang w:eastAsia="zh-CN"/>
        </w:rPr>
        <w:t>南向</w:t>
      </w:r>
      <w:r>
        <w:rPr>
          <w:lang w:eastAsia="zh-CN"/>
        </w:rPr>
        <w:t>ETF</w:t>
      </w:r>
      <w:r>
        <w:rPr>
          <w:lang w:eastAsia="zh-CN"/>
        </w:rPr>
        <w:t>的资格规定</w:t>
      </w:r>
    </w:p>
    <w:p w:rsidR="009539FC" w:rsidRDefault="00987F70">
      <w:pPr>
        <w:pStyle w:val="BodyText"/>
        <w:rPr>
          <w:lang w:eastAsia="zh-CN"/>
        </w:rPr>
      </w:pPr>
      <w:r>
        <w:rPr>
          <w:lang w:eastAsia="zh-CN"/>
        </w:rPr>
        <w:t>在获得监管批准的前提下，建议将于定期调整考察时符合以下全部条件的香港交易所上市及主要由香港证监会规管的</w:t>
      </w:r>
      <w:r>
        <w:rPr>
          <w:lang w:eastAsia="zh-CN"/>
        </w:rPr>
        <w:t>ETF</w:t>
      </w:r>
      <w:r>
        <w:rPr>
          <w:lang w:eastAsia="zh-CN"/>
        </w:rPr>
        <w:t>纳入为南向交易的合资格</w:t>
      </w:r>
      <w:r>
        <w:rPr>
          <w:lang w:eastAsia="zh-CN"/>
        </w:rPr>
        <w:t>ETF</w:t>
      </w:r>
      <w:r>
        <w:rPr>
          <w:lang w:eastAsia="zh-CN"/>
        </w:rPr>
        <w:t>：</w:t>
      </w:r>
    </w:p>
    <w:p w:rsidR="009539FC" w:rsidRDefault="00987F70">
      <w:pPr>
        <w:pStyle w:val="Compact"/>
        <w:numPr>
          <w:ilvl w:val="0"/>
          <w:numId w:val="9"/>
        </w:numPr>
        <w:rPr>
          <w:lang w:eastAsia="zh-CN"/>
        </w:rPr>
      </w:pPr>
      <w:r>
        <w:rPr>
          <w:lang w:eastAsia="zh-CN"/>
        </w:rPr>
        <w:t>有关</w:t>
      </w:r>
      <w:r>
        <w:rPr>
          <w:lang w:eastAsia="zh-CN"/>
        </w:rPr>
        <w:t>ETF</w:t>
      </w:r>
      <w:r>
        <w:rPr>
          <w:lang w:eastAsia="zh-CN"/>
        </w:rPr>
        <w:t>须以港元计价，且最近六个月日均资产规模至少</w:t>
      </w:r>
      <w:r>
        <w:rPr>
          <w:lang w:eastAsia="zh-CN"/>
        </w:rPr>
        <w:t>17</w:t>
      </w:r>
      <w:r>
        <w:rPr>
          <w:lang w:eastAsia="zh-CN"/>
        </w:rPr>
        <w:t>亿元港元（</w:t>
      </w:r>
      <w:r>
        <w:rPr>
          <w:lang w:eastAsia="zh-CN"/>
        </w:rPr>
        <w:t>2.17</w:t>
      </w:r>
      <w:r>
        <w:rPr>
          <w:lang w:eastAsia="zh-CN"/>
        </w:rPr>
        <w:t>亿美元）；</w:t>
      </w:r>
    </w:p>
    <w:p w:rsidR="009539FC" w:rsidRDefault="00987F70">
      <w:pPr>
        <w:pStyle w:val="Compact"/>
        <w:numPr>
          <w:ilvl w:val="0"/>
          <w:numId w:val="9"/>
        </w:numPr>
        <w:rPr>
          <w:lang w:eastAsia="zh-CN"/>
        </w:rPr>
      </w:pPr>
      <w:r>
        <w:rPr>
          <w:lang w:eastAsia="zh-CN"/>
        </w:rPr>
        <w:t>有关</w:t>
      </w:r>
      <w:r>
        <w:rPr>
          <w:lang w:eastAsia="zh-CN"/>
        </w:rPr>
        <w:t>ETF</w:t>
      </w:r>
      <w:r>
        <w:rPr>
          <w:lang w:eastAsia="zh-CN"/>
        </w:rPr>
        <w:t>须已上市至少六个月；</w:t>
      </w:r>
    </w:p>
    <w:p w:rsidR="009539FC" w:rsidRDefault="00987F70">
      <w:pPr>
        <w:pStyle w:val="Compact"/>
        <w:numPr>
          <w:ilvl w:val="0"/>
          <w:numId w:val="9"/>
        </w:numPr>
        <w:rPr>
          <w:lang w:eastAsia="zh-CN"/>
        </w:rPr>
      </w:pPr>
      <w:r>
        <w:rPr>
          <w:lang w:eastAsia="zh-CN"/>
        </w:rPr>
        <w:t>跟踪的标的指数发布时间满一年；</w:t>
      </w:r>
    </w:p>
    <w:p w:rsidR="009539FC" w:rsidRDefault="00987F70">
      <w:pPr>
        <w:pStyle w:val="Compact"/>
        <w:numPr>
          <w:ilvl w:val="0"/>
          <w:numId w:val="9"/>
        </w:numPr>
        <w:rPr>
          <w:lang w:eastAsia="zh-CN"/>
        </w:rPr>
      </w:pPr>
      <w:r>
        <w:rPr>
          <w:lang w:eastAsia="zh-CN"/>
        </w:rPr>
        <w:t>该</w:t>
      </w:r>
      <w:r>
        <w:rPr>
          <w:lang w:eastAsia="zh-CN"/>
        </w:rPr>
        <w:t>ETF</w:t>
      </w:r>
      <w:r>
        <w:rPr>
          <w:lang w:eastAsia="zh-CN"/>
        </w:rPr>
        <w:t>不得是合成</w:t>
      </w:r>
      <w:r>
        <w:rPr>
          <w:lang w:eastAsia="zh-CN"/>
        </w:rPr>
        <w:t>ETF</w:t>
      </w:r>
      <w:r>
        <w:rPr>
          <w:lang w:eastAsia="zh-CN"/>
        </w:rPr>
        <w:t>或者杠杆及反向产品；</w:t>
      </w:r>
    </w:p>
    <w:p w:rsidR="009539FC" w:rsidRDefault="00987F70">
      <w:pPr>
        <w:pStyle w:val="Compact"/>
        <w:numPr>
          <w:ilvl w:val="0"/>
          <w:numId w:val="9"/>
        </w:numPr>
        <w:rPr>
          <w:lang w:eastAsia="zh-CN"/>
        </w:rPr>
      </w:pPr>
      <w:r>
        <w:rPr>
          <w:lang w:eastAsia="zh-CN"/>
        </w:rPr>
        <w:t>跟踪的标的指数中，香港交易所上市股票权重占比不低于</w:t>
      </w:r>
      <w:r>
        <w:rPr>
          <w:lang w:eastAsia="zh-CN"/>
        </w:rPr>
        <w:t>90%</w:t>
      </w:r>
      <w:r>
        <w:rPr>
          <w:lang w:eastAsia="zh-CN"/>
        </w:rPr>
        <w:t>；</w:t>
      </w:r>
    </w:p>
    <w:p w:rsidR="009539FC" w:rsidRDefault="00987F70">
      <w:pPr>
        <w:pStyle w:val="Compact"/>
        <w:numPr>
          <w:ilvl w:val="0"/>
          <w:numId w:val="9"/>
        </w:numPr>
        <w:rPr>
          <w:lang w:eastAsia="zh-CN"/>
        </w:rPr>
      </w:pPr>
      <w:r>
        <w:rPr>
          <w:lang w:eastAsia="zh-CN"/>
        </w:rPr>
        <w:t>恒生指数（</w:t>
      </w:r>
      <w:r>
        <w:rPr>
          <w:b/>
          <w:lang w:eastAsia="zh-CN"/>
        </w:rPr>
        <w:t>恒生指数</w:t>
      </w:r>
      <w:r>
        <w:rPr>
          <w:lang w:eastAsia="zh-CN"/>
        </w:rPr>
        <w:t>），恒生中国企业指数（</w:t>
      </w:r>
      <w:r>
        <w:rPr>
          <w:b/>
          <w:lang w:eastAsia="zh-CN"/>
        </w:rPr>
        <w:t>恒生国企指数</w:t>
      </w:r>
      <w:r>
        <w:rPr>
          <w:lang w:eastAsia="zh-CN"/>
        </w:rPr>
        <w:t>），恒生科技指数及恒生香港上市生物科技指数沪股通和深股通南向交易合资格成份股股票权重占比不低于</w:t>
      </w:r>
      <w:r>
        <w:rPr>
          <w:lang w:eastAsia="zh-CN"/>
        </w:rPr>
        <w:t>70%</w:t>
      </w:r>
      <w:r>
        <w:rPr>
          <w:lang w:eastAsia="zh-CN"/>
        </w:rPr>
        <w:t>，而跟踪的其他标的指数中沪股通和深股通南向交易合资格成份股股票权重占比不低于</w:t>
      </w:r>
      <w:r>
        <w:rPr>
          <w:lang w:eastAsia="zh-CN"/>
        </w:rPr>
        <w:t>80%</w:t>
      </w:r>
      <w:r>
        <w:rPr>
          <w:lang w:eastAsia="zh-CN"/>
        </w:rPr>
        <w:t>；及</w:t>
      </w:r>
    </w:p>
    <w:p w:rsidR="009539FC" w:rsidRDefault="00987F70">
      <w:pPr>
        <w:pStyle w:val="Compact"/>
        <w:numPr>
          <w:ilvl w:val="0"/>
          <w:numId w:val="9"/>
        </w:numPr>
        <w:rPr>
          <w:lang w:eastAsia="zh-CN"/>
        </w:rPr>
      </w:pPr>
      <w:r>
        <w:rPr>
          <w:lang w:eastAsia="zh-CN"/>
        </w:rPr>
        <w:t>跟踪的标的指数或者其编制方案须符合以下任何一组条件：</w:t>
      </w:r>
    </w:p>
    <w:p w:rsidR="009539FC" w:rsidRDefault="00987F70">
      <w:pPr>
        <w:pStyle w:val="Compact"/>
        <w:numPr>
          <w:ilvl w:val="1"/>
          <w:numId w:val="10"/>
        </w:numPr>
        <w:rPr>
          <w:lang w:eastAsia="zh-CN"/>
        </w:rPr>
      </w:pPr>
      <w:r>
        <w:rPr>
          <w:lang w:eastAsia="zh-CN"/>
        </w:rPr>
        <w:t>就宽基股票指数而言：单一成份股权重不超过</w:t>
      </w:r>
      <w:r>
        <w:rPr>
          <w:lang w:eastAsia="zh-CN"/>
        </w:rPr>
        <w:t>30%</w:t>
      </w:r>
      <w:r>
        <w:rPr>
          <w:lang w:eastAsia="zh-CN"/>
        </w:rPr>
        <w:t>；或</w:t>
      </w:r>
    </w:p>
    <w:p w:rsidR="009539FC" w:rsidRDefault="00987F70">
      <w:pPr>
        <w:pStyle w:val="Compact"/>
        <w:numPr>
          <w:ilvl w:val="1"/>
          <w:numId w:val="10"/>
        </w:numPr>
        <w:rPr>
          <w:lang w:eastAsia="zh-CN"/>
        </w:rPr>
      </w:pPr>
      <w:r>
        <w:rPr>
          <w:lang w:eastAsia="zh-CN"/>
        </w:rPr>
        <w:t>就非宽基股票指数而言：</w:t>
      </w:r>
    </w:p>
    <w:p w:rsidR="009539FC" w:rsidRDefault="00987F70">
      <w:pPr>
        <w:pStyle w:val="Compact"/>
        <w:numPr>
          <w:ilvl w:val="2"/>
          <w:numId w:val="11"/>
        </w:numPr>
      </w:pPr>
      <w:r>
        <w:t>成份股数量不低于</w:t>
      </w:r>
      <w:r>
        <w:t>30</w:t>
      </w:r>
      <w:r>
        <w:t>只；</w:t>
      </w:r>
    </w:p>
    <w:p w:rsidR="009539FC" w:rsidRDefault="00987F70">
      <w:pPr>
        <w:pStyle w:val="Compact"/>
        <w:numPr>
          <w:ilvl w:val="2"/>
          <w:numId w:val="11"/>
        </w:numPr>
        <w:rPr>
          <w:lang w:eastAsia="zh-CN"/>
        </w:rPr>
      </w:pPr>
      <w:r>
        <w:rPr>
          <w:lang w:eastAsia="zh-CN"/>
        </w:rPr>
        <w:t>单一成份证券权重不超过</w:t>
      </w:r>
      <w:r>
        <w:rPr>
          <w:lang w:eastAsia="zh-CN"/>
        </w:rPr>
        <w:t xml:space="preserve"> 15%</w:t>
      </w:r>
      <w:r>
        <w:rPr>
          <w:lang w:eastAsia="zh-CN"/>
        </w:rPr>
        <w:t>且前五大成份证券权重合计占比不超过</w:t>
      </w:r>
      <w:r>
        <w:rPr>
          <w:lang w:eastAsia="zh-CN"/>
        </w:rPr>
        <w:t>60%</w:t>
      </w:r>
      <w:r>
        <w:rPr>
          <w:lang w:eastAsia="zh-CN"/>
        </w:rPr>
        <w:t>；及</w:t>
      </w:r>
    </w:p>
    <w:p w:rsidR="009539FC" w:rsidRDefault="00987F70">
      <w:pPr>
        <w:pStyle w:val="Compact"/>
        <w:numPr>
          <w:ilvl w:val="2"/>
          <w:numId w:val="11"/>
        </w:numPr>
        <w:rPr>
          <w:lang w:eastAsia="zh-CN"/>
        </w:rPr>
      </w:pPr>
      <w:r>
        <w:rPr>
          <w:lang w:eastAsia="zh-CN"/>
        </w:rPr>
        <w:t>权重占比合计</w:t>
      </w:r>
      <w:r>
        <w:rPr>
          <w:lang w:eastAsia="zh-CN"/>
        </w:rPr>
        <w:t>90%</w:t>
      </w:r>
      <w:r>
        <w:rPr>
          <w:lang w:eastAsia="zh-CN"/>
        </w:rPr>
        <w:t>以上的成份股最近一年日均成交金额位于其所在证券交易所上市股票的前</w:t>
      </w:r>
      <w:r>
        <w:rPr>
          <w:lang w:eastAsia="zh-CN"/>
        </w:rPr>
        <w:t>80%</w:t>
      </w:r>
      <w:r>
        <w:rPr>
          <w:lang w:eastAsia="zh-CN"/>
        </w:rPr>
        <w:t>。</w:t>
      </w:r>
    </w:p>
    <w:p w:rsidR="009539FC" w:rsidRDefault="00987F70">
      <w:pPr>
        <w:pStyle w:val="FirstParagraph"/>
        <w:rPr>
          <w:lang w:eastAsia="zh-CN"/>
        </w:rPr>
      </w:pPr>
      <w:r>
        <w:rPr>
          <w:lang w:eastAsia="zh-CN"/>
        </w:rPr>
        <w:t>还建议，合资格</w:t>
      </w:r>
      <w:r>
        <w:rPr>
          <w:lang w:eastAsia="zh-CN"/>
        </w:rPr>
        <w:t>ETF</w:t>
      </w:r>
      <w:r>
        <w:rPr>
          <w:lang w:eastAsia="zh-CN"/>
        </w:rPr>
        <w:t>如于其后定期调整考察时符合以下任何一项条件，其将被指定为只供卖出的证券并被暂停买入：</w:t>
      </w:r>
    </w:p>
    <w:p w:rsidR="009539FC" w:rsidRDefault="00987F70">
      <w:pPr>
        <w:pStyle w:val="Compact"/>
        <w:numPr>
          <w:ilvl w:val="0"/>
          <w:numId w:val="12"/>
        </w:numPr>
        <w:rPr>
          <w:lang w:eastAsia="zh-CN"/>
        </w:rPr>
      </w:pPr>
      <w:r>
        <w:rPr>
          <w:lang w:eastAsia="zh-CN"/>
        </w:rPr>
        <w:t>有关</w:t>
      </w:r>
      <w:r>
        <w:rPr>
          <w:lang w:eastAsia="zh-CN"/>
        </w:rPr>
        <w:t>ETF</w:t>
      </w:r>
      <w:r>
        <w:rPr>
          <w:lang w:eastAsia="zh-CN"/>
        </w:rPr>
        <w:t>最近六个月日均资产规模低于</w:t>
      </w:r>
      <w:r>
        <w:rPr>
          <w:lang w:eastAsia="zh-CN"/>
        </w:rPr>
        <w:t>12</w:t>
      </w:r>
      <w:r>
        <w:rPr>
          <w:lang w:eastAsia="zh-CN"/>
        </w:rPr>
        <w:t>亿港元；</w:t>
      </w:r>
    </w:p>
    <w:p w:rsidR="009539FC" w:rsidRDefault="00987F70">
      <w:pPr>
        <w:pStyle w:val="Compact"/>
        <w:numPr>
          <w:ilvl w:val="0"/>
          <w:numId w:val="12"/>
        </w:numPr>
        <w:rPr>
          <w:lang w:eastAsia="zh-CN"/>
        </w:rPr>
      </w:pPr>
      <w:r>
        <w:rPr>
          <w:lang w:eastAsia="zh-CN"/>
        </w:rPr>
        <w:t>该</w:t>
      </w:r>
      <w:r>
        <w:rPr>
          <w:lang w:eastAsia="zh-CN"/>
        </w:rPr>
        <w:t>ETF</w:t>
      </w:r>
      <w:r>
        <w:rPr>
          <w:lang w:eastAsia="zh-CN"/>
        </w:rPr>
        <w:t>成为合成</w:t>
      </w:r>
      <w:r>
        <w:rPr>
          <w:lang w:eastAsia="zh-CN"/>
        </w:rPr>
        <w:t>ETF</w:t>
      </w:r>
      <w:r>
        <w:rPr>
          <w:lang w:eastAsia="zh-CN"/>
        </w:rPr>
        <w:t>或者杠杆及反向产品；</w:t>
      </w:r>
    </w:p>
    <w:p w:rsidR="009539FC" w:rsidRDefault="00987F70">
      <w:pPr>
        <w:pStyle w:val="Compact"/>
        <w:numPr>
          <w:ilvl w:val="0"/>
          <w:numId w:val="12"/>
        </w:numPr>
        <w:rPr>
          <w:lang w:eastAsia="zh-CN"/>
        </w:rPr>
      </w:pPr>
      <w:r>
        <w:rPr>
          <w:lang w:eastAsia="zh-CN"/>
        </w:rPr>
        <w:t>跟踪的标的指数中，香港交易所上市股票权重占比低于</w:t>
      </w:r>
      <w:r>
        <w:rPr>
          <w:lang w:eastAsia="zh-CN"/>
        </w:rPr>
        <w:t>85%</w:t>
      </w:r>
      <w:r>
        <w:rPr>
          <w:lang w:eastAsia="zh-CN"/>
        </w:rPr>
        <w:t>；</w:t>
      </w:r>
    </w:p>
    <w:p w:rsidR="009539FC" w:rsidRDefault="00987F70">
      <w:pPr>
        <w:pStyle w:val="Compact"/>
        <w:numPr>
          <w:ilvl w:val="0"/>
          <w:numId w:val="12"/>
        </w:numPr>
        <w:rPr>
          <w:lang w:eastAsia="zh-CN"/>
        </w:rPr>
      </w:pPr>
      <w:r>
        <w:rPr>
          <w:lang w:eastAsia="zh-CN"/>
        </w:rPr>
        <w:t>恒生指数，恒生中国企业指数，恒生科技指数及恒生香港上市生物科</w:t>
      </w:r>
      <w:r>
        <w:rPr>
          <w:lang w:eastAsia="zh-CN"/>
        </w:rPr>
        <w:t>技指数沪股通和深股通南向交易合资格成份股股票权重占比低于</w:t>
      </w:r>
      <w:r>
        <w:rPr>
          <w:lang w:eastAsia="zh-CN"/>
        </w:rPr>
        <w:t>65%</w:t>
      </w:r>
      <w:r>
        <w:rPr>
          <w:lang w:eastAsia="zh-CN"/>
        </w:rPr>
        <w:t>，或者跟踪的其他标的指数中沪股通和深股通南向交易合资格成份股股票权重占比低于</w:t>
      </w:r>
      <w:r>
        <w:rPr>
          <w:lang w:eastAsia="zh-CN"/>
        </w:rPr>
        <w:t>70%</w:t>
      </w:r>
      <w:r>
        <w:rPr>
          <w:lang w:eastAsia="zh-CN"/>
        </w:rPr>
        <w:t>；或</w:t>
      </w:r>
    </w:p>
    <w:p w:rsidR="009539FC" w:rsidRDefault="00987F70">
      <w:pPr>
        <w:pStyle w:val="Compact"/>
        <w:numPr>
          <w:ilvl w:val="0"/>
          <w:numId w:val="12"/>
        </w:numPr>
        <w:rPr>
          <w:lang w:eastAsia="zh-CN"/>
        </w:rPr>
      </w:pPr>
      <w:r>
        <w:rPr>
          <w:lang w:eastAsia="zh-CN"/>
        </w:rPr>
        <w:lastRenderedPageBreak/>
        <w:t>跟踪的标的指数及其编制方案符合以下任何一项条件：</w:t>
      </w:r>
    </w:p>
    <w:p w:rsidR="009539FC" w:rsidRDefault="00987F70">
      <w:pPr>
        <w:pStyle w:val="Compact"/>
        <w:numPr>
          <w:ilvl w:val="1"/>
          <w:numId w:val="13"/>
        </w:numPr>
        <w:rPr>
          <w:lang w:eastAsia="zh-CN"/>
        </w:rPr>
      </w:pPr>
      <w:r>
        <w:rPr>
          <w:lang w:eastAsia="zh-CN"/>
        </w:rPr>
        <w:t>就宽基股票指数而言：单一成份股权重超过</w:t>
      </w:r>
      <w:r>
        <w:rPr>
          <w:lang w:eastAsia="zh-CN"/>
        </w:rPr>
        <w:t xml:space="preserve"> 30%</w:t>
      </w:r>
      <w:r>
        <w:rPr>
          <w:lang w:eastAsia="zh-CN"/>
        </w:rPr>
        <w:t>；或</w:t>
      </w:r>
    </w:p>
    <w:p w:rsidR="009539FC" w:rsidRDefault="00987F70">
      <w:pPr>
        <w:pStyle w:val="Compact"/>
        <w:numPr>
          <w:ilvl w:val="1"/>
          <w:numId w:val="13"/>
        </w:numPr>
        <w:rPr>
          <w:lang w:eastAsia="zh-CN"/>
        </w:rPr>
      </w:pPr>
      <w:r>
        <w:rPr>
          <w:lang w:eastAsia="zh-CN"/>
        </w:rPr>
        <w:t>就非宽基股票指数而言：</w:t>
      </w:r>
    </w:p>
    <w:p w:rsidR="009539FC" w:rsidRDefault="00987F70">
      <w:pPr>
        <w:pStyle w:val="Compact"/>
        <w:numPr>
          <w:ilvl w:val="2"/>
          <w:numId w:val="14"/>
        </w:numPr>
      </w:pPr>
      <w:r>
        <w:t>成份股数量低于</w:t>
      </w:r>
      <w:r>
        <w:t>30</w:t>
      </w:r>
      <w:r>
        <w:t>只；</w:t>
      </w:r>
    </w:p>
    <w:p w:rsidR="009539FC" w:rsidRDefault="00987F70">
      <w:pPr>
        <w:pStyle w:val="Compact"/>
        <w:numPr>
          <w:ilvl w:val="2"/>
          <w:numId w:val="14"/>
        </w:numPr>
        <w:rPr>
          <w:lang w:eastAsia="zh-CN"/>
        </w:rPr>
      </w:pPr>
      <w:r>
        <w:rPr>
          <w:lang w:eastAsia="zh-CN"/>
        </w:rPr>
        <w:t>单一成份证券权重超过</w:t>
      </w:r>
      <w:r>
        <w:rPr>
          <w:lang w:eastAsia="zh-CN"/>
        </w:rPr>
        <w:t>15%</w:t>
      </w:r>
      <w:r>
        <w:rPr>
          <w:lang w:eastAsia="zh-CN"/>
        </w:rPr>
        <w:t>，或前五大成份证券权重合计占比超过</w:t>
      </w:r>
      <w:r>
        <w:rPr>
          <w:lang w:eastAsia="zh-CN"/>
        </w:rPr>
        <w:t>60%</w:t>
      </w:r>
      <w:r>
        <w:rPr>
          <w:lang w:eastAsia="zh-CN"/>
        </w:rPr>
        <w:t>；或</w:t>
      </w:r>
    </w:p>
    <w:p w:rsidR="009539FC" w:rsidRDefault="00987F70">
      <w:pPr>
        <w:pStyle w:val="Compact"/>
        <w:numPr>
          <w:ilvl w:val="2"/>
          <w:numId w:val="14"/>
        </w:numPr>
        <w:rPr>
          <w:lang w:eastAsia="zh-CN"/>
        </w:rPr>
      </w:pPr>
      <w:r>
        <w:rPr>
          <w:lang w:eastAsia="zh-CN"/>
        </w:rPr>
        <w:t>最近一年日均成交金额位于其所在证券交易所上市股票前</w:t>
      </w:r>
      <w:r>
        <w:rPr>
          <w:lang w:eastAsia="zh-CN"/>
        </w:rPr>
        <w:t>80%</w:t>
      </w:r>
      <w:r>
        <w:rPr>
          <w:lang w:eastAsia="zh-CN"/>
        </w:rPr>
        <w:t>的成份股，其权重占比合计低于</w:t>
      </w:r>
      <w:r>
        <w:rPr>
          <w:lang w:eastAsia="zh-CN"/>
        </w:rPr>
        <w:t xml:space="preserve"> 90%</w:t>
      </w:r>
      <w:r>
        <w:rPr>
          <w:lang w:eastAsia="zh-CN"/>
        </w:rPr>
        <w:t>。</w:t>
      </w:r>
    </w:p>
    <w:p w:rsidR="009539FC" w:rsidRDefault="00987F70">
      <w:pPr>
        <w:pStyle w:val="FirstParagraph"/>
        <w:rPr>
          <w:lang w:eastAsia="zh-CN"/>
        </w:rPr>
      </w:pPr>
      <w:r>
        <w:rPr>
          <w:lang w:eastAsia="zh-CN"/>
        </w:rPr>
        <w:t>额外安排</w:t>
      </w:r>
    </w:p>
    <w:p w:rsidR="009539FC" w:rsidRDefault="00987F70">
      <w:pPr>
        <w:pStyle w:val="BodyText"/>
        <w:rPr>
          <w:lang w:eastAsia="zh-CN"/>
        </w:rPr>
      </w:pPr>
      <w:r>
        <w:rPr>
          <w:lang w:eastAsia="zh-CN"/>
        </w:rPr>
        <w:t>其他额外安排，包括为孖展买卖，投票</w:t>
      </w:r>
      <w:r>
        <w:rPr>
          <w:lang w:eastAsia="zh-CN"/>
        </w:rPr>
        <w:t>表决权，证券借贷及卖空作出的额外安排，均与《沪港股票市场交易互联互通机制试点若干规定》中载列的安排相同。</w:t>
      </w:r>
      <w:hyperlink w:anchor="footnote-598-9">
        <w:r>
          <w:rPr>
            <w:vertAlign w:val="superscript"/>
            <w:lang w:eastAsia="zh-CN"/>
          </w:rPr>
          <w:t>9</w:t>
        </w:r>
      </w:hyperlink>
    </w:p>
    <w:p w:rsidR="009539FC" w:rsidRDefault="00987F70">
      <w:pPr>
        <w:pStyle w:val="BodyText"/>
        <w:rPr>
          <w:lang w:eastAsia="zh-CN"/>
        </w:rPr>
      </w:pPr>
      <w:r>
        <w:rPr>
          <w:lang w:eastAsia="zh-CN"/>
        </w:rPr>
        <w:t>就客户协议而言，交易所参与者被鼓励检视相关客户协议，以确保涵盖北向交易合资格</w:t>
      </w:r>
      <w:r>
        <w:rPr>
          <w:lang w:eastAsia="zh-CN"/>
        </w:rPr>
        <w:t>ETF</w:t>
      </w:r>
      <w:r>
        <w:rPr>
          <w:lang w:eastAsia="zh-CN"/>
        </w:rPr>
        <w:t>交易所涉的风险。投资者应咨询自身的经纪有关参与买卖北向交易合资格</w:t>
      </w:r>
      <w:r>
        <w:rPr>
          <w:lang w:eastAsia="zh-CN"/>
        </w:rPr>
        <w:t>ETF</w:t>
      </w:r>
      <w:r>
        <w:rPr>
          <w:lang w:eastAsia="zh-CN"/>
        </w:rPr>
        <w:t>的具体安排，包括为买卖中华通证券是否须订立另一份客户协议。</w:t>
      </w:r>
    </w:p>
    <w:p w:rsidR="009539FC" w:rsidRDefault="00987F70">
      <w:pPr>
        <w:pStyle w:val="BodyText"/>
        <w:rPr>
          <w:lang w:eastAsia="zh-CN"/>
        </w:rPr>
      </w:pPr>
      <w:r>
        <w:rPr>
          <w:lang w:eastAsia="zh-CN"/>
        </w:rPr>
        <w:t>关于交易时间，</w:t>
      </w:r>
      <w:r>
        <w:rPr>
          <w:lang w:eastAsia="zh-CN"/>
        </w:rPr>
        <w:t>A</w:t>
      </w:r>
      <w:r>
        <w:rPr>
          <w:lang w:eastAsia="zh-CN"/>
        </w:rPr>
        <w:t>股及</w:t>
      </w:r>
      <w:r>
        <w:rPr>
          <w:lang w:eastAsia="zh-CN"/>
        </w:rPr>
        <w:t>ETF</w:t>
      </w:r>
      <w:r>
        <w:rPr>
          <w:lang w:eastAsia="zh-CN"/>
        </w:rPr>
        <w:t>北向交易的开市集合竞价时段相同（即</w:t>
      </w:r>
      <w:r>
        <w:rPr>
          <w:lang w:eastAsia="zh-CN"/>
        </w:rPr>
        <w:t>09:15–09:25</w:t>
      </w:r>
      <w:r>
        <w:rPr>
          <w:lang w:eastAsia="zh-CN"/>
        </w:rPr>
        <w:t>）。连续竞价（早市）时段也相同（即</w:t>
      </w:r>
      <w:r>
        <w:rPr>
          <w:lang w:eastAsia="zh-CN"/>
        </w:rPr>
        <w:t>0</w:t>
      </w:r>
      <w:r>
        <w:rPr>
          <w:lang w:eastAsia="zh-CN"/>
        </w:rPr>
        <w:t>9:30–11:30</w:t>
      </w:r>
      <w:r>
        <w:rPr>
          <w:lang w:eastAsia="zh-CN"/>
        </w:rPr>
        <w:t>）。</w:t>
      </w:r>
      <w:r>
        <w:rPr>
          <w:lang w:eastAsia="zh-CN"/>
        </w:rPr>
        <w:t>A</w:t>
      </w:r>
      <w:r>
        <w:rPr>
          <w:lang w:eastAsia="zh-CN"/>
        </w:rPr>
        <w:t>股北向交易（上交所／深交所）及</w:t>
      </w:r>
      <w:r>
        <w:rPr>
          <w:lang w:eastAsia="zh-CN"/>
        </w:rPr>
        <w:t>ETF</w:t>
      </w:r>
      <w:r>
        <w:rPr>
          <w:lang w:eastAsia="zh-CN"/>
        </w:rPr>
        <w:t>北向交易（深交所）的连续竞价（午市）时段是从</w:t>
      </w:r>
      <w:r>
        <w:rPr>
          <w:lang w:eastAsia="zh-CN"/>
        </w:rPr>
        <w:t>13:00</w:t>
      </w:r>
      <w:r>
        <w:rPr>
          <w:lang w:eastAsia="zh-CN"/>
        </w:rPr>
        <w:t>至</w:t>
      </w:r>
      <w:r>
        <w:rPr>
          <w:lang w:eastAsia="zh-CN"/>
        </w:rPr>
        <w:t>14:57</w:t>
      </w:r>
      <w:r>
        <w:rPr>
          <w:lang w:eastAsia="zh-CN"/>
        </w:rPr>
        <w:t>，而</w:t>
      </w:r>
      <w:r>
        <w:rPr>
          <w:lang w:eastAsia="zh-CN"/>
        </w:rPr>
        <w:t>14:57</w:t>
      </w:r>
      <w:r>
        <w:rPr>
          <w:lang w:eastAsia="zh-CN"/>
        </w:rPr>
        <w:t>至</w:t>
      </w:r>
      <w:r>
        <w:rPr>
          <w:lang w:eastAsia="zh-CN"/>
        </w:rPr>
        <w:t>15:00</w:t>
      </w:r>
      <w:r>
        <w:rPr>
          <w:lang w:eastAsia="zh-CN"/>
        </w:rPr>
        <w:t>则属收盘集合竞价时段。</w:t>
      </w:r>
      <w:r>
        <w:rPr>
          <w:lang w:eastAsia="zh-CN"/>
        </w:rPr>
        <w:t>ETF</w:t>
      </w:r>
      <w:r>
        <w:rPr>
          <w:lang w:eastAsia="zh-CN"/>
        </w:rPr>
        <w:t>北向交易（上交所）没有收盘集合竞价时段，而连续竞价（午市）时段从</w:t>
      </w:r>
      <w:r>
        <w:rPr>
          <w:lang w:eastAsia="zh-CN"/>
        </w:rPr>
        <w:t>13:00</w:t>
      </w:r>
      <w:r>
        <w:rPr>
          <w:lang w:eastAsia="zh-CN"/>
        </w:rPr>
        <w:t>持续至</w:t>
      </w:r>
      <w:r>
        <w:rPr>
          <w:lang w:eastAsia="zh-CN"/>
        </w:rPr>
        <w:t>15:00</w:t>
      </w:r>
      <w:r>
        <w:rPr>
          <w:lang w:eastAsia="zh-CN"/>
        </w:rPr>
        <w:t>。</w:t>
      </w:r>
    </w:p>
    <w:p w:rsidR="009539FC" w:rsidRDefault="00987F70">
      <w:pPr>
        <w:pStyle w:val="BodyText"/>
        <w:rPr>
          <w:lang w:eastAsia="zh-CN"/>
        </w:rPr>
      </w:pPr>
      <w:r>
        <w:rPr>
          <w:lang w:eastAsia="zh-CN"/>
        </w:rPr>
        <w:t>以下表格是对相关交易时段的概述：</w:t>
      </w:r>
    </w:p>
    <w:tbl>
      <w:tblPr>
        <w:tblW w:w="9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3698"/>
        <w:gridCol w:w="2635"/>
        <w:gridCol w:w="2635"/>
      </w:tblGrid>
      <w:tr w:rsidR="00694B36" w:rsidRPr="00B7069C" w:rsidTr="009C44CA">
        <w:trPr>
          <w:trHeight w:val="682"/>
        </w:trPr>
        <w:tc>
          <w:tcPr>
            <w:tcW w:w="1701" w:type="dxa"/>
            <w:tcMar>
              <w:top w:w="135" w:type="dxa"/>
              <w:left w:w="360" w:type="dxa"/>
              <w:bottom w:w="135" w:type="dxa"/>
              <w:right w:w="360" w:type="dxa"/>
            </w:tcMar>
            <w:hideMark/>
          </w:tcPr>
          <w:p w:rsidR="00694B36" w:rsidRPr="00B7069C" w:rsidRDefault="00694B36" w:rsidP="009C44CA">
            <w:pPr>
              <w:spacing w:after="225"/>
              <w:jc w:val="center"/>
              <w:rPr>
                <w:rFonts w:ascii="Times New Roman" w:eastAsia="SimSun" w:hAnsi="Times New Roman" w:cs="SimSun"/>
                <w:b/>
                <w:bCs/>
              </w:rPr>
            </w:pPr>
            <w:r w:rsidRPr="00B7069C">
              <w:rPr>
                <w:rFonts w:ascii="Times New Roman" w:eastAsia="SimSun" w:hAnsi="Times New Roman" w:hint="eastAsia"/>
                <w:b/>
                <w:bCs/>
                <w:lang w:eastAsia="zh-CN"/>
              </w:rPr>
              <w:t>交易时段</w:t>
            </w:r>
          </w:p>
        </w:tc>
        <w:tc>
          <w:tcPr>
            <w:tcW w:w="2835" w:type="dxa"/>
            <w:tcMar>
              <w:top w:w="135" w:type="dxa"/>
              <w:left w:w="360" w:type="dxa"/>
              <w:bottom w:w="135" w:type="dxa"/>
              <w:right w:w="360" w:type="dxa"/>
            </w:tcMar>
            <w:hideMark/>
          </w:tcPr>
          <w:p w:rsidR="00694B36" w:rsidRPr="00B7069C" w:rsidRDefault="00694B36" w:rsidP="009C44CA">
            <w:pPr>
              <w:spacing w:after="225"/>
              <w:jc w:val="center"/>
              <w:rPr>
                <w:rFonts w:ascii="Times New Roman" w:eastAsia="SimSun" w:hAnsi="Times New Roman" w:cs="SimSun"/>
                <w:b/>
                <w:bCs/>
              </w:rPr>
            </w:pPr>
            <w:r w:rsidRPr="00B7069C">
              <w:rPr>
                <w:rFonts w:ascii="Times New Roman" w:eastAsia="SimSun" w:hAnsi="Times New Roman"/>
                <w:b/>
                <w:bCs/>
                <w:lang w:eastAsia="zh-CN"/>
              </w:rPr>
              <w:t xml:space="preserve">A </w:t>
            </w:r>
            <w:r w:rsidRPr="00B7069C">
              <w:rPr>
                <w:rFonts w:ascii="Times New Roman" w:eastAsia="SimSun" w:hAnsi="Times New Roman" w:hint="eastAsia"/>
                <w:b/>
                <w:bCs/>
                <w:lang w:eastAsia="zh-CN"/>
              </w:rPr>
              <w:t>股北向交易（上交所／深交所）</w:t>
            </w:r>
          </w:p>
        </w:tc>
        <w:tc>
          <w:tcPr>
            <w:tcW w:w="2552" w:type="dxa"/>
            <w:tcMar>
              <w:top w:w="135" w:type="dxa"/>
              <w:left w:w="360" w:type="dxa"/>
              <w:bottom w:w="135" w:type="dxa"/>
              <w:right w:w="360" w:type="dxa"/>
            </w:tcMar>
            <w:hideMark/>
          </w:tcPr>
          <w:p w:rsidR="00694B36" w:rsidRPr="00B7069C" w:rsidRDefault="00694B36" w:rsidP="009C44CA">
            <w:pPr>
              <w:spacing w:after="225"/>
              <w:jc w:val="center"/>
              <w:rPr>
                <w:rFonts w:ascii="Times New Roman" w:eastAsia="SimSun" w:hAnsi="Times New Roman" w:cs="SimSun"/>
                <w:b/>
                <w:bCs/>
              </w:rPr>
            </w:pPr>
            <w:r w:rsidRPr="00B7069C">
              <w:rPr>
                <w:rFonts w:ascii="Times New Roman" w:eastAsia="SimSun" w:hAnsi="Times New Roman"/>
                <w:b/>
                <w:bCs/>
                <w:lang w:eastAsia="zh-CN"/>
              </w:rPr>
              <w:t xml:space="preserve">ETF </w:t>
            </w:r>
            <w:r w:rsidRPr="00B7069C">
              <w:rPr>
                <w:rFonts w:ascii="Times New Roman" w:eastAsia="SimSun" w:hAnsi="Times New Roman" w:hint="eastAsia"/>
                <w:b/>
                <w:bCs/>
                <w:lang w:eastAsia="zh-CN"/>
              </w:rPr>
              <w:t>北向交易（上交所）</w:t>
            </w:r>
          </w:p>
        </w:tc>
        <w:tc>
          <w:tcPr>
            <w:tcW w:w="2268" w:type="dxa"/>
            <w:tcMar>
              <w:top w:w="135" w:type="dxa"/>
              <w:left w:w="360" w:type="dxa"/>
              <w:bottom w:w="135" w:type="dxa"/>
              <w:right w:w="360" w:type="dxa"/>
            </w:tcMar>
            <w:hideMark/>
          </w:tcPr>
          <w:p w:rsidR="00694B36" w:rsidRPr="00B7069C" w:rsidRDefault="00694B36" w:rsidP="009C44CA">
            <w:pPr>
              <w:spacing w:after="225"/>
              <w:jc w:val="center"/>
              <w:rPr>
                <w:rFonts w:ascii="Times New Roman" w:eastAsia="SimSun" w:hAnsi="Times New Roman" w:cs="SimSun"/>
                <w:b/>
                <w:bCs/>
              </w:rPr>
            </w:pPr>
            <w:r w:rsidRPr="00B7069C">
              <w:rPr>
                <w:rFonts w:ascii="Times New Roman" w:eastAsia="SimSun" w:hAnsi="Times New Roman"/>
                <w:b/>
                <w:bCs/>
                <w:lang w:eastAsia="zh-CN"/>
              </w:rPr>
              <w:t xml:space="preserve">ETF </w:t>
            </w:r>
            <w:r w:rsidRPr="00B7069C">
              <w:rPr>
                <w:rFonts w:ascii="Times New Roman" w:eastAsia="SimSun" w:hAnsi="Times New Roman" w:hint="eastAsia"/>
                <w:b/>
                <w:bCs/>
                <w:lang w:eastAsia="zh-CN"/>
              </w:rPr>
              <w:t>北向交易（深交所）</w:t>
            </w:r>
          </w:p>
        </w:tc>
      </w:tr>
      <w:tr w:rsidR="00694B36" w:rsidRPr="00B7069C" w:rsidTr="009C44CA">
        <w:trPr>
          <w:trHeight w:val="281"/>
        </w:trPr>
        <w:tc>
          <w:tcPr>
            <w:tcW w:w="1701"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rPr>
              <w:t>09:15 – 09:25</w:t>
            </w:r>
          </w:p>
        </w:tc>
        <w:tc>
          <w:tcPr>
            <w:tcW w:w="7655" w:type="dxa"/>
            <w:gridSpan w:val="3"/>
            <w:tcMar>
              <w:top w:w="206" w:type="dxa"/>
              <w:left w:w="141" w:type="dxa"/>
              <w:bottom w:w="206" w:type="dxa"/>
              <w:right w:w="141" w:type="dxa"/>
            </w:tcMar>
            <w:hideMark/>
          </w:tcPr>
          <w:p w:rsidR="00694B36" w:rsidRPr="00B7069C" w:rsidRDefault="00694B36" w:rsidP="009C44CA">
            <w:pPr>
              <w:spacing w:after="225" w:line="300" w:lineRule="atLeast"/>
              <w:jc w:val="center"/>
              <w:rPr>
                <w:rFonts w:ascii="Times New Roman" w:eastAsia="SimSun" w:hAnsi="Times New Roman" w:cs="SimSun"/>
              </w:rPr>
            </w:pPr>
            <w:r w:rsidRPr="00B7069C">
              <w:rPr>
                <w:rFonts w:ascii="Times New Roman" w:eastAsia="SimSun" w:hAnsi="Times New Roman" w:hint="eastAsia"/>
                <w:lang w:eastAsia="zh-CN"/>
              </w:rPr>
              <w:t>开市集合竞价</w:t>
            </w:r>
          </w:p>
        </w:tc>
      </w:tr>
      <w:tr w:rsidR="00694B36" w:rsidRPr="00B7069C" w:rsidTr="009C44CA">
        <w:tc>
          <w:tcPr>
            <w:tcW w:w="1701"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rPr>
              <w:t>09:30 – 11:30</w:t>
            </w:r>
          </w:p>
        </w:tc>
        <w:tc>
          <w:tcPr>
            <w:tcW w:w="7655" w:type="dxa"/>
            <w:gridSpan w:val="3"/>
            <w:tcMar>
              <w:top w:w="206" w:type="dxa"/>
              <w:left w:w="141" w:type="dxa"/>
              <w:bottom w:w="206" w:type="dxa"/>
              <w:right w:w="141" w:type="dxa"/>
            </w:tcMar>
            <w:hideMark/>
          </w:tcPr>
          <w:p w:rsidR="00694B36" w:rsidRPr="00B7069C" w:rsidRDefault="00694B36" w:rsidP="009C44CA">
            <w:pPr>
              <w:spacing w:after="225" w:line="300" w:lineRule="atLeast"/>
              <w:jc w:val="center"/>
              <w:rPr>
                <w:rFonts w:ascii="Times New Roman" w:eastAsia="SimSun" w:hAnsi="Times New Roman" w:cs="SimSun"/>
              </w:rPr>
            </w:pPr>
            <w:r w:rsidRPr="00B7069C">
              <w:rPr>
                <w:rFonts w:ascii="Times New Roman" w:eastAsia="SimSun" w:hAnsi="Times New Roman" w:hint="eastAsia"/>
                <w:lang w:eastAsia="zh-CN"/>
              </w:rPr>
              <w:t>连续竞价（早市）</w:t>
            </w:r>
          </w:p>
        </w:tc>
      </w:tr>
      <w:tr w:rsidR="00694B36" w:rsidRPr="00B7069C" w:rsidTr="009C44CA">
        <w:tc>
          <w:tcPr>
            <w:tcW w:w="1701"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rPr>
              <w:t>13:00 – 14:57</w:t>
            </w:r>
          </w:p>
        </w:tc>
        <w:tc>
          <w:tcPr>
            <w:tcW w:w="2835"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hint="eastAsia"/>
                <w:lang w:eastAsia="zh-CN"/>
              </w:rPr>
              <w:t>连续竞价（午市）</w:t>
            </w:r>
          </w:p>
        </w:tc>
        <w:tc>
          <w:tcPr>
            <w:tcW w:w="2552" w:type="dxa"/>
            <w:vMerge w:val="restart"/>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hint="eastAsia"/>
                <w:lang w:eastAsia="zh-CN"/>
              </w:rPr>
              <w:t>连续竞价（午市）</w:t>
            </w:r>
          </w:p>
        </w:tc>
        <w:tc>
          <w:tcPr>
            <w:tcW w:w="2268"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hint="eastAsia"/>
                <w:lang w:eastAsia="zh-CN"/>
              </w:rPr>
              <w:t>连续竞价（午市）</w:t>
            </w:r>
          </w:p>
        </w:tc>
      </w:tr>
      <w:tr w:rsidR="00694B36" w:rsidRPr="00B7069C" w:rsidTr="009C44CA">
        <w:trPr>
          <w:trHeight w:val="393"/>
        </w:trPr>
        <w:tc>
          <w:tcPr>
            <w:tcW w:w="1701"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rPr>
              <w:t>14:57 – 15:00</w:t>
            </w:r>
          </w:p>
        </w:tc>
        <w:tc>
          <w:tcPr>
            <w:tcW w:w="2835"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hint="eastAsia"/>
                <w:lang w:eastAsia="zh-CN"/>
              </w:rPr>
              <w:t>收盘集合竞价</w:t>
            </w:r>
          </w:p>
        </w:tc>
        <w:tc>
          <w:tcPr>
            <w:tcW w:w="2552" w:type="dxa"/>
            <w:vMerge/>
            <w:tcMar>
              <w:top w:w="206" w:type="dxa"/>
              <w:left w:w="141" w:type="dxa"/>
              <w:bottom w:w="206" w:type="dxa"/>
              <w:right w:w="141" w:type="dxa"/>
            </w:tcMar>
            <w:vAlign w:val="center"/>
            <w:hideMark/>
          </w:tcPr>
          <w:p w:rsidR="00694B36" w:rsidRPr="00B7069C" w:rsidRDefault="00694B36" w:rsidP="009C44CA">
            <w:pPr>
              <w:rPr>
                <w:rFonts w:ascii="Times New Roman" w:eastAsia="SimSun" w:hAnsi="Times New Roman" w:cs="SimSun"/>
              </w:rPr>
            </w:pPr>
          </w:p>
        </w:tc>
        <w:tc>
          <w:tcPr>
            <w:tcW w:w="2268" w:type="dxa"/>
            <w:tcMar>
              <w:top w:w="206" w:type="dxa"/>
              <w:left w:w="141" w:type="dxa"/>
              <w:bottom w:w="206" w:type="dxa"/>
              <w:right w:w="141" w:type="dxa"/>
            </w:tcMar>
            <w:hideMark/>
          </w:tcPr>
          <w:p w:rsidR="00694B36" w:rsidRPr="00B7069C" w:rsidRDefault="00694B36" w:rsidP="009C44CA">
            <w:pPr>
              <w:spacing w:after="225" w:line="300" w:lineRule="atLeast"/>
              <w:jc w:val="both"/>
              <w:rPr>
                <w:rFonts w:ascii="Times New Roman" w:eastAsia="SimSun" w:hAnsi="Times New Roman" w:cs="SimSun"/>
              </w:rPr>
            </w:pPr>
            <w:r w:rsidRPr="00B7069C">
              <w:rPr>
                <w:rFonts w:ascii="Times New Roman" w:eastAsia="SimSun" w:hAnsi="Times New Roman" w:hint="eastAsia"/>
                <w:lang w:eastAsia="zh-CN"/>
              </w:rPr>
              <w:t>收盘集合竞价</w:t>
            </w:r>
          </w:p>
        </w:tc>
      </w:tr>
    </w:tbl>
    <w:p w:rsidR="009539FC" w:rsidRDefault="00987F70">
      <w:pPr>
        <w:pStyle w:val="BodyText"/>
        <w:rPr>
          <w:lang w:eastAsia="zh-CN"/>
        </w:rPr>
      </w:pPr>
      <w:r>
        <w:rPr>
          <w:lang w:eastAsia="zh-CN"/>
        </w:rPr>
        <w:t>大部分</w:t>
      </w:r>
      <w:r>
        <w:rPr>
          <w:lang w:eastAsia="zh-CN"/>
        </w:rPr>
        <w:t>ETF</w:t>
      </w:r>
      <w:r>
        <w:rPr>
          <w:lang w:eastAsia="zh-CN"/>
        </w:rPr>
        <w:t>北向交易安排都将跟从透过沪深港通下</w:t>
      </w:r>
      <w:r>
        <w:rPr>
          <w:lang w:eastAsia="zh-CN"/>
        </w:rPr>
        <w:t>A</w:t>
      </w:r>
      <w:r>
        <w:rPr>
          <w:lang w:eastAsia="zh-CN"/>
        </w:rPr>
        <w:t>股北向交易的做法，</w:t>
      </w:r>
      <w:hyperlink w:anchor="footnote-598-10">
        <w:r>
          <w:rPr>
            <w:vertAlign w:val="superscript"/>
            <w:lang w:eastAsia="zh-CN"/>
          </w:rPr>
          <w:t>10</w:t>
        </w:r>
      </w:hyperlink>
      <w:r>
        <w:rPr>
          <w:lang w:eastAsia="zh-CN"/>
        </w:rPr>
        <w:t xml:space="preserve"> </w:t>
      </w:r>
      <w:r>
        <w:rPr>
          <w:lang w:eastAsia="zh-CN"/>
        </w:rPr>
        <w:t>但是会存在仅适用于北向</w:t>
      </w:r>
      <w:r>
        <w:rPr>
          <w:lang w:eastAsia="zh-CN"/>
        </w:rPr>
        <w:t>ETF</w:t>
      </w:r>
      <w:r>
        <w:rPr>
          <w:lang w:eastAsia="zh-CN"/>
        </w:rPr>
        <w:t>交易的细微差别。</w:t>
      </w:r>
      <w:r>
        <w:rPr>
          <w:lang w:eastAsia="zh-CN"/>
        </w:rPr>
        <w:t>ETF</w:t>
      </w:r>
      <w:r>
        <w:rPr>
          <w:lang w:eastAsia="zh-CN"/>
        </w:rPr>
        <w:t>价位将为人民币</w:t>
      </w:r>
      <w:r>
        <w:rPr>
          <w:lang w:eastAsia="zh-CN"/>
        </w:rPr>
        <w:t>0.001</w:t>
      </w:r>
      <w:r>
        <w:rPr>
          <w:lang w:eastAsia="zh-CN"/>
        </w:rPr>
        <w:t>元，而</w:t>
      </w:r>
      <w:r>
        <w:rPr>
          <w:lang w:eastAsia="zh-CN"/>
        </w:rPr>
        <w:t>A</w:t>
      </w:r>
      <w:r>
        <w:rPr>
          <w:lang w:eastAsia="zh-CN"/>
        </w:rPr>
        <w:t>股价位为人民币</w:t>
      </w:r>
      <w:r>
        <w:rPr>
          <w:lang w:eastAsia="zh-CN"/>
        </w:rPr>
        <w:t>0.01</w:t>
      </w:r>
      <w:r>
        <w:rPr>
          <w:lang w:eastAsia="zh-CN"/>
        </w:rPr>
        <w:t>元。每日价格限制将为前收市价的</w:t>
      </w:r>
      <w:r>
        <w:rPr>
          <w:lang w:eastAsia="zh-CN"/>
        </w:rPr>
        <w:t>±10%</w:t>
      </w:r>
      <w:r>
        <w:rPr>
          <w:lang w:eastAsia="zh-CN"/>
        </w:rPr>
        <w:t>（就上交所及深交所指定的部分</w:t>
      </w:r>
      <w:r>
        <w:rPr>
          <w:lang w:eastAsia="zh-CN"/>
        </w:rPr>
        <w:t>ETF</w:t>
      </w:r>
      <w:r>
        <w:rPr>
          <w:lang w:eastAsia="zh-CN"/>
        </w:rPr>
        <w:t>而言为</w:t>
      </w:r>
      <w:r>
        <w:rPr>
          <w:lang w:eastAsia="zh-CN"/>
        </w:rPr>
        <w:t>±20%</w:t>
      </w:r>
      <w:r>
        <w:rPr>
          <w:lang w:eastAsia="zh-CN"/>
        </w:rPr>
        <w:t>）。上交所／深交所的动态价格限制将不适用，而</w:t>
      </w:r>
      <w:r>
        <w:rPr>
          <w:lang w:eastAsia="zh-CN"/>
        </w:rPr>
        <w:t>±2%</w:t>
      </w:r>
      <w:r>
        <w:rPr>
          <w:lang w:eastAsia="zh-CN"/>
        </w:rPr>
        <w:t>的限制则适用于上交所科创板及深交所创</w:t>
      </w:r>
      <w:r>
        <w:rPr>
          <w:lang w:eastAsia="zh-CN"/>
        </w:rPr>
        <w:lastRenderedPageBreak/>
        <w:t>业板上市的</w:t>
      </w:r>
      <w:r>
        <w:rPr>
          <w:lang w:eastAsia="zh-CN"/>
        </w:rPr>
        <w:t>A</w:t>
      </w:r>
      <w:r>
        <w:rPr>
          <w:lang w:eastAsia="zh-CN"/>
        </w:rPr>
        <w:t>股。而上交所主板及深交所主板为</w:t>
      </w:r>
      <w:r>
        <w:rPr>
          <w:lang w:eastAsia="zh-CN"/>
        </w:rPr>
        <w:t>±10%</w:t>
      </w:r>
      <w:r>
        <w:rPr>
          <w:lang w:eastAsia="zh-CN"/>
        </w:rPr>
        <w:t>（</w:t>
      </w:r>
      <w:r>
        <w:rPr>
          <w:lang w:eastAsia="zh-CN"/>
        </w:rPr>
        <w:t>ST</w:t>
      </w:r>
      <w:r>
        <w:rPr>
          <w:lang w:eastAsia="zh-CN"/>
        </w:rPr>
        <w:t>股票及</w:t>
      </w:r>
      <w:r>
        <w:rPr>
          <w:lang w:eastAsia="zh-CN"/>
        </w:rPr>
        <w:t>*ST</w:t>
      </w:r>
      <w:r>
        <w:rPr>
          <w:lang w:eastAsia="zh-CN"/>
        </w:rPr>
        <w:t>股票为</w:t>
      </w:r>
      <w:r>
        <w:rPr>
          <w:lang w:eastAsia="zh-CN"/>
        </w:rPr>
        <w:t>±5%)</w:t>
      </w:r>
      <w:r>
        <w:rPr>
          <w:lang w:eastAsia="zh-CN"/>
        </w:rPr>
        <w:t>，上交所科创板及深交所创业板所有股票均为</w:t>
      </w:r>
      <w:r>
        <w:rPr>
          <w:lang w:eastAsia="zh-CN"/>
        </w:rPr>
        <w:t>±20%</w:t>
      </w:r>
      <w:r>
        <w:rPr>
          <w:lang w:eastAsia="zh-CN"/>
        </w:rPr>
        <w:t>。上交所／深交所的动态价格限制将不适用，而上交所科创板</w:t>
      </w:r>
      <w:r>
        <w:rPr>
          <w:lang w:eastAsia="zh-CN"/>
        </w:rPr>
        <w:t>A</w:t>
      </w:r>
      <w:r>
        <w:rPr>
          <w:lang w:eastAsia="zh-CN"/>
        </w:rPr>
        <w:t>股及深交所创业板</w:t>
      </w:r>
      <w:r>
        <w:rPr>
          <w:lang w:eastAsia="zh-CN"/>
        </w:rPr>
        <w:t>A</w:t>
      </w:r>
      <w:r>
        <w:rPr>
          <w:lang w:eastAsia="zh-CN"/>
        </w:rPr>
        <w:t>股则设有</w:t>
      </w:r>
      <w:r>
        <w:rPr>
          <w:lang w:eastAsia="zh-CN"/>
        </w:rPr>
        <w:t>±2%</w:t>
      </w:r>
      <w:r>
        <w:rPr>
          <w:lang w:eastAsia="zh-CN"/>
        </w:rPr>
        <w:t>的动态价格限制。另</w:t>
      </w:r>
      <w:r>
        <w:rPr>
          <w:lang w:eastAsia="zh-CN"/>
        </w:rPr>
        <w:t>外，</w:t>
      </w:r>
      <w:r>
        <w:rPr>
          <w:lang w:eastAsia="zh-CN"/>
        </w:rPr>
        <w:t>ETF</w:t>
      </w:r>
      <w:r>
        <w:rPr>
          <w:lang w:eastAsia="zh-CN"/>
        </w:rPr>
        <w:t>所适用的费用及税费不同，费用及其他交易成本的完整清单载列于</w:t>
      </w:r>
      <w:hyperlink r:id="rId20">
        <w:r>
          <w:rPr>
            <w:lang w:eastAsia="zh-CN"/>
          </w:rPr>
          <w:t>香港交易所关于将</w:t>
        </w:r>
        <w:r>
          <w:rPr>
            <w:lang w:eastAsia="zh-CN"/>
          </w:rPr>
          <w:t>ETF</w:t>
        </w:r>
        <w:r>
          <w:rPr>
            <w:lang w:eastAsia="zh-CN"/>
          </w:rPr>
          <w:t>纳入互联互通北向交易的常问问题</w:t>
        </w:r>
      </w:hyperlink>
      <w:r>
        <w:rPr>
          <w:lang w:eastAsia="zh-CN"/>
        </w:rPr>
        <w:t>第</w:t>
      </w:r>
      <w:r>
        <w:rPr>
          <w:lang w:eastAsia="zh-CN"/>
        </w:rPr>
        <w:t>4</w:t>
      </w:r>
      <w:r>
        <w:rPr>
          <w:lang w:eastAsia="zh-CN"/>
        </w:rPr>
        <w:t>部</w:t>
      </w:r>
      <w:r>
        <w:rPr>
          <w:lang w:eastAsia="zh-CN"/>
        </w:rPr>
        <w:t>分。</w:t>
      </w:r>
    </w:p>
    <w:p w:rsidR="009539FC" w:rsidRDefault="00987F70">
      <w:pPr>
        <w:pStyle w:val="BodyText"/>
        <w:rPr>
          <w:lang w:eastAsia="zh-CN"/>
        </w:rPr>
      </w:pPr>
      <w:r>
        <w:rPr>
          <w:lang w:eastAsia="zh-CN"/>
        </w:rPr>
        <w:t>关于当前对在联交所上市证券买卖盘报价所实行的「</w:t>
      </w:r>
      <w:r>
        <w:rPr>
          <w:lang w:eastAsia="zh-CN"/>
        </w:rPr>
        <w:t>24</w:t>
      </w:r>
      <w:r>
        <w:rPr>
          <w:lang w:eastAsia="zh-CN"/>
        </w:rPr>
        <w:t>个价位规则」及「九倍限制规则」，该规则及限制将不适用于沪股通上市</w:t>
      </w:r>
      <w:r>
        <w:rPr>
          <w:lang w:eastAsia="zh-CN"/>
        </w:rPr>
        <w:t>ETF</w:t>
      </w:r>
      <w:r>
        <w:rPr>
          <w:lang w:eastAsia="zh-CN"/>
        </w:rPr>
        <w:t>和深股通上市</w:t>
      </w:r>
      <w:r>
        <w:rPr>
          <w:lang w:eastAsia="zh-CN"/>
        </w:rPr>
        <w:t>ETF</w:t>
      </w:r>
      <w:r>
        <w:rPr>
          <w:lang w:eastAsia="zh-CN"/>
        </w:rPr>
        <w:t>的买卖盘。</w:t>
      </w:r>
    </w:p>
    <w:p w:rsidR="009539FC" w:rsidRDefault="00987F70">
      <w:pPr>
        <w:pStyle w:val="BodyText"/>
        <w:rPr>
          <w:lang w:eastAsia="zh-CN"/>
        </w:rPr>
      </w:pPr>
      <w:r>
        <w:rPr>
          <w:lang w:eastAsia="zh-CN"/>
        </w:rPr>
        <w:t>需注意的是合资格沪股通</w:t>
      </w:r>
      <w:r>
        <w:rPr>
          <w:lang w:eastAsia="zh-CN"/>
        </w:rPr>
        <w:t>/</w:t>
      </w:r>
      <w:r>
        <w:rPr>
          <w:lang w:eastAsia="zh-CN"/>
        </w:rPr>
        <w:t>深股通的北向交易</w:t>
      </w:r>
      <w:r>
        <w:rPr>
          <w:lang w:eastAsia="zh-CN"/>
        </w:rPr>
        <w:t>ETF</w:t>
      </w:r>
      <w:r>
        <w:rPr>
          <w:lang w:eastAsia="zh-CN"/>
        </w:rPr>
        <w:t>分别遵循与上海证券市场及深圳证券市场相同的结算安排和相同的交收周期。</w:t>
      </w:r>
      <w:r>
        <w:rPr>
          <w:lang w:eastAsia="zh-CN"/>
        </w:rPr>
        <w:t>ETF</w:t>
      </w:r>
      <w:r>
        <w:rPr>
          <w:lang w:eastAsia="zh-CN"/>
        </w:rPr>
        <w:t>的证券持仓将于</w:t>
      </w:r>
      <w:r>
        <w:rPr>
          <w:lang w:eastAsia="zh-CN"/>
        </w:rPr>
        <w:t>T</w:t>
      </w:r>
      <w:r>
        <w:rPr>
          <w:lang w:eastAsia="zh-CN"/>
        </w:rPr>
        <w:t>日交收，而</w:t>
      </w:r>
      <w:r>
        <w:rPr>
          <w:lang w:eastAsia="zh-CN"/>
        </w:rPr>
        <w:t>ETF</w:t>
      </w:r>
      <w:r>
        <w:rPr>
          <w:lang w:eastAsia="zh-CN"/>
        </w:rPr>
        <w:t>款项将于</w:t>
      </w:r>
      <w:r>
        <w:rPr>
          <w:lang w:eastAsia="zh-CN"/>
        </w:rPr>
        <w:t>T+1</w:t>
      </w:r>
      <w:r>
        <w:rPr>
          <w:lang w:eastAsia="zh-CN"/>
        </w:rPr>
        <w:t>日交收。沪股通上市</w:t>
      </w:r>
      <w:r>
        <w:rPr>
          <w:lang w:eastAsia="zh-CN"/>
        </w:rPr>
        <w:t>ETF</w:t>
      </w:r>
      <w:r>
        <w:rPr>
          <w:lang w:eastAsia="zh-CN"/>
        </w:rPr>
        <w:t>和深股通上市</w:t>
      </w:r>
      <w:r>
        <w:rPr>
          <w:lang w:eastAsia="zh-CN"/>
        </w:rPr>
        <w:t>ETF</w:t>
      </w:r>
      <w:r>
        <w:rPr>
          <w:lang w:eastAsia="zh-CN"/>
        </w:rPr>
        <w:t>的买卖将采用沪股通及深股通证券的</w:t>
      </w:r>
      <w:r>
        <w:rPr>
          <w:lang w:eastAsia="zh-CN"/>
        </w:rPr>
        <w:t>6</w:t>
      </w:r>
      <w:r>
        <w:rPr>
          <w:lang w:eastAsia="zh-CN"/>
        </w:rPr>
        <w:t>位数字的股份代号。</w:t>
      </w:r>
    </w:p>
    <w:p w:rsidR="009539FC" w:rsidRDefault="00987F70">
      <w:pPr>
        <w:pStyle w:val="BodyText"/>
        <w:rPr>
          <w:lang w:eastAsia="zh-CN"/>
        </w:rPr>
      </w:pPr>
      <w:r>
        <w:rPr>
          <w:lang w:eastAsia="zh-CN"/>
        </w:rPr>
        <w:t>香港和海外的投资者将被准许就其透过香港结算被代为持有的北向交易合资格</w:t>
      </w:r>
      <w:r>
        <w:rPr>
          <w:lang w:eastAsia="zh-CN"/>
        </w:rPr>
        <w:t>ETF</w:t>
      </w:r>
      <w:r>
        <w:rPr>
          <w:lang w:eastAsia="zh-CN"/>
        </w:rPr>
        <w:t>行使投票表决权。香港</w:t>
      </w:r>
      <w:r>
        <w:rPr>
          <w:lang w:eastAsia="zh-CN"/>
        </w:rPr>
        <w:t>和海外的投资者可透过其中华通结算参与者向香港结算投票表决。香港结算将通知中央结算系统参与者建议决议案的数目。</w:t>
      </w:r>
    </w:p>
    <w:p w:rsidR="009539FC" w:rsidRDefault="00987F70">
      <w:pPr>
        <w:pStyle w:val="BodyText"/>
        <w:rPr>
          <w:lang w:eastAsia="zh-CN"/>
        </w:rPr>
      </w:pPr>
      <w:r>
        <w:rPr>
          <w:lang w:eastAsia="zh-CN"/>
        </w:rPr>
        <w:t>领航星中央交易网关将被用于支持透过沪港通买卖沪股通</w:t>
      </w:r>
      <w:r>
        <w:rPr>
          <w:lang w:eastAsia="zh-CN"/>
        </w:rPr>
        <w:t>ETF</w:t>
      </w:r>
      <w:r>
        <w:rPr>
          <w:lang w:eastAsia="zh-CN"/>
        </w:rPr>
        <w:t>及透过深港通买卖深港通</w:t>
      </w:r>
      <w:r>
        <w:rPr>
          <w:lang w:eastAsia="zh-CN"/>
        </w:rPr>
        <w:t>ETF</w:t>
      </w:r>
      <w:r>
        <w:rPr>
          <w:lang w:eastAsia="zh-CN"/>
        </w:rPr>
        <w:t>。这将让交易所参与者使用一致的界面，而该等交易所参与者能够使用买卖合资格</w:t>
      </w:r>
      <w:r>
        <w:rPr>
          <w:lang w:eastAsia="zh-CN"/>
        </w:rPr>
        <w:t>A</w:t>
      </w:r>
      <w:r>
        <w:rPr>
          <w:lang w:eastAsia="zh-CN"/>
        </w:rPr>
        <w:t>股所使用的同一中央交易网关时段买卖合资格</w:t>
      </w:r>
      <w:r>
        <w:rPr>
          <w:lang w:eastAsia="zh-CN"/>
        </w:rPr>
        <w:t>ETF</w:t>
      </w:r>
      <w:r>
        <w:rPr>
          <w:lang w:eastAsia="zh-CN"/>
        </w:rPr>
        <w:t>。</w:t>
      </w:r>
      <w:r>
        <w:rPr>
          <w:lang w:eastAsia="zh-CN"/>
        </w:rPr>
        <w:t xml:space="preserve">ETF </w:t>
      </w:r>
      <w:r>
        <w:rPr>
          <w:lang w:eastAsia="zh-CN"/>
        </w:rPr>
        <w:t>买卖盘亦将透过领航星交易平台</w:t>
      </w:r>
      <w:r>
        <w:rPr>
          <w:lang w:eastAsia="zh-CN"/>
        </w:rPr>
        <w:t xml:space="preserve"> – </w:t>
      </w:r>
      <w:r>
        <w:rPr>
          <w:lang w:eastAsia="zh-CN"/>
        </w:rPr>
        <w:t>中华证券通（</w:t>
      </w:r>
      <w:r>
        <w:rPr>
          <w:lang w:eastAsia="zh-CN"/>
        </w:rPr>
        <w:t>OTP-CSC</w:t>
      </w:r>
      <w:r>
        <w:rPr>
          <w:lang w:eastAsia="zh-CN"/>
        </w:rPr>
        <w:t>）传递以进行自动对盘。</w:t>
      </w:r>
    </w:p>
    <w:p w:rsidR="009539FC" w:rsidRDefault="00987F70">
      <w:pPr>
        <w:pStyle w:val="BodyText"/>
        <w:rPr>
          <w:lang w:eastAsia="zh-CN"/>
        </w:rPr>
      </w:pPr>
      <w:r>
        <w:rPr>
          <w:lang w:eastAsia="zh-CN"/>
        </w:rPr>
        <w:t>展望未来</w:t>
      </w:r>
    </w:p>
    <w:p w:rsidR="009539FC" w:rsidRDefault="00987F70">
      <w:pPr>
        <w:pStyle w:val="BodyText"/>
        <w:rPr>
          <w:lang w:eastAsia="zh-CN"/>
        </w:rPr>
      </w:pPr>
      <w:r>
        <w:rPr>
          <w:lang w:eastAsia="zh-CN"/>
        </w:rPr>
        <w:t>鉴于这是首次将金融衍生工具纳入互联互通计划，预期交易量会出现增长。投资者的数目亦可能增加。但是</w:t>
      </w:r>
      <w:r>
        <w:rPr>
          <w:lang w:eastAsia="zh-CN"/>
        </w:rPr>
        <w:t>，鉴于</w:t>
      </w:r>
      <w:r>
        <w:rPr>
          <w:lang w:eastAsia="zh-CN"/>
        </w:rPr>
        <w:t>ETF</w:t>
      </w:r>
      <w:r>
        <w:rPr>
          <w:lang w:eastAsia="zh-CN"/>
        </w:rPr>
        <w:t>通的详情尚未完全发布，</w:t>
      </w:r>
      <w:r>
        <w:rPr>
          <w:lang w:eastAsia="zh-CN"/>
        </w:rPr>
        <w:t>ETF</w:t>
      </w:r>
      <w:r>
        <w:rPr>
          <w:lang w:eastAsia="zh-CN"/>
        </w:rPr>
        <w:t>纳入互联互通的长期市场影响仍不确定。不过，实施</w:t>
      </w:r>
      <w:r>
        <w:rPr>
          <w:lang w:eastAsia="zh-CN"/>
        </w:rPr>
        <w:t>ETF</w:t>
      </w:r>
      <w:r>
        <w:rPr>
          <w:lang w:eastAsia="zh-CN"/>
        </w:rPr>
        <w:t>通就提升香港作为资产管理中心及</w:t>
      </w:r>
      <w:r>
        <w:rPr>
          <w:lang w:eastAsia="zh-CN"/>
        </w:rPr>
        <w:t>ETF</w:t>
      </w:r>
      <w:r>
        <w:rPr>
          <w:lang w:eastAsia="zh-CN"/>
        </w:rPr>
        <w:t>市场的地位而言将是一个具积极意义的步骤。</w:t>
      </w:r>
    </w:p>
    <w:p w:rsidR="009539FC" w:rsidRDefault="00987F70">
      <w:pPr>
        <w:pStyle w:val="BodyText"/>
        <w:rPr>
          <w:lang w:eastAsia="zh-CN"/>
        </w:rPr>
      </w:pPr>
      <w:r>
        <w:rPr>
          <w:lang w:eastAsia="zh-CN"/>
        </w:rPr>
        <w:t>鉴于目前没有已刊发的合资格</w:t>
      </w:r>
      <w:r>
        <w:rPr>
          <w:lang w:eastAsia="zh-CN"/>
        </w:rPr>
        <w:t>ETF</w:t>
      </w:r>
      <w:r>
        <w:rPr>
          <w:lang w:eastAsia="zh-CN"/>
        </w:rPr>
        <w:t>名单，市场担忧缺乏</w:t>
      </w:r>
      <w:r>
        <w:rPr>
          <w:lang w:eastAsia="zh-CN"/>
        </w:rPr>
        <w:t>ETF</w:t>
      </w:r>
      <w:r>
        <w:rPr>
          <w:lang w:eastAsia="zh-CN"/>
        </w:rPr>
        <w:t>通中的大量产品将意味着香港及内地投资者将会获发售的产品将会与其现在能够透过由当地证券公司现行发售的产品而估计的获发售产品相同。证监会行政总裁欧达礼已表示希望资格规定会有所放宽，因为该计划越来越受欢迎。</w:t>
      </w:r>
      <w:hyperlink w:anchor="footnote-598-11">
        <w:r>
          <w:rPr>
            <w:vertAlign w:val="superscript"/>
            <w:lang w:eastAsia="zh-CN"/>
          </w:rPr>
          <w:t>11</w:t>
        </w:r>
      </w:hyperlink>
    </w:p>
    <w:p w:rsidR="009539FC" w:rsidRDefault="00987F70">
      <w:pPr>
        <w:pStyle w:val="BodyText"/>
        <w:rPr>
          <w:lang w:eastAsia="zh-CN"/>
        </w:rPr>
      </w:pPr>
      <w:r>
        <w:rPr>
          <w:lang w:eastAsia="zh-CN"/>
        </w:rPr>
        <w:t>在内</w:t>
      </w:r>
      <w:r>
        <w:rPr>
          <w:lang w:eastAsia="zh-CN"/>
        </w:rPr>
        <w:t>地中国投资者对离岸投资的支持下，进一步放宽资格规定的范畴将会吸引更多的市场参与者以及带来更强劲的增长。</w:t>
      </w:r>
      <w:r>
        <w:rPr>
          <w:lang w:eastAsia="zh-CN"/>
        </w:rPr>
        <w:t>2021</w:t>
      </w:r>
      <w:r>
        <w:rPr>
          <w:lang w:eastAsia="zh-CN"/>
        </w:rPr>
        <w:t>年</w:t>
      </w:r>
      <w:r>
        <w:rPr>
          <w:lang w:eastAsia="zh-CN"/>
        </w:rPr>
        <w:t>12</w:t>
      </w:r>
      <w:r>
        <w:rPr>
          <w:lang w:eastAsia="zh-CN"/>
        </w:rPr>
        <w:t>月，深交所及新加坡证券交易所同意设立一个跨境</w:t>
      </w:r>
      <w:r>
        <w:rPr>
          <w:lang w:eastAsia="zh-CN"/>
        </w:rPr>
        <w:t>ETF</w:t>
      </w:r>
      <w:r>
        <w:rPr>
          <w:lang w:eastAsia="zh-CN"/>
        </w:rPr>
        <w:t>连接，两家交易所共同透过联接</w:t>
      </w:r>
      <w:r>
        <w:rPr>
          <w:lang w:eastAsia="zh-CN"/>
        </w:rPr>
        <w:t>ETF</w:t>
      </w:r>
      <w:r>
        <w:rPr>
          <w:lang w:eastAsia="zh-CN"/>
        </w:rPr>
        <w:t>的上市在新加坡和中国开发及推广</w:t>
      </w:r>
      <w:r>
        <w:rPr>
          <w:lang w:eastAsia="zh-CN"/>
        </w:rPr>
        <w:t>ETF</w:t>
      </w:r>
      <w:r>
        <w:rPr>
          <w:lang w:eastAsia="zh-CN"/>
        </w:rPr>
        <w:t>市场。</w:t>
      </w:r>
      <w:hyperlink w:anchor="footnote-598-12">
        <w:r>
          <w:rPr>
            <w:vertAlign w:val="superscript"/>
            <w:lang w:eastAsia="zh-CN"/>
          </w:rPr>
          <w:t>12</w:t>
        </w:r>
      </w:hyperlink>
    </w:p>
    <w:p w:rsidR="009539FC" w:rsidRDefault="00987F70" w:rsidP="00987F70">
      <w:pPr>
        <w:pStyle w:val="BodyText"/>
        <w:jc w:val="left"/>
        <w:rPr>
          <w:lang w:eastAsia="zh-CN"/>
        </w:rPr>
      </w:pPr>
      <w:hyperlink w:anchor="footnote-598-1-backlink">
        <w:r>
          <w:rPr>
            <w:lang w:eastAsia="zh-CN"/>
          </w:rPr>
          <w:t>1</w:t>
        </w:r>
      </w:hyperlink>
      <w:r>
        <w:rPr>
          <w:lang w:eastAsia="zh-CN"/>
        </w:rPr>
        <w:t xml:space="preserve"> </w:t>
      </w:r>
      <w:r>
        <w:rPr>
          <w:lang w:eastAsia="zh-CN"/>
        </w:rPr>
        <w:t>北向指的是向北对内陆市场投资的香港投资者。本文情境中指的是上海及深圳。</w:t>
      </w:r>
    </w:p>
    <w:p w:rsidR="009539FC" w:rsidRDefault="00987F70" w:rsidP="00987F70">
      <w:pPr>
        <w:pStyle w:val="BodyText"/>
        <w:jc w:val="left"/>
        <w:rPr>
          <w:lang w:eastAsia="zh-CN"/>
        </w:rPr>
      </w:pPr>
      <w:hyperlink w:anchor="footnote-598-2-backlink">
        <w:r>
          <w:rPr>
            <w:lang w:eastAsia="zh-CN"/>
          </w:rPr>
          <w:t>2</w:t>
        </w:r>
      </w:hyperlink>
      <w:r>
        <w:rPr>
          <w:lang w:eastAsia="zh-CN"/>
        </w:rPr>
        <w:t xml:space="preserve"> </w:t>
      </w:r>
      <w:hyperlink r:id="rId21">
        <w:r>
          <w:rPr>
            <w:lang w:eastAsia="zh-CN"/>
          </w:rPr>
          <w:t>https://www.ft.com/content/2392fbd8-5ce5-482d-8c46-4719140b676c</w:t>
        </w:r>
      </w:hyperlink>
      <w:bookmarkStart w:id="0" w:name="_GoBack"/>
      <w:bookmarkEnd w:id="0"/>
    </w:p>
    <w:p w:rsidR="009539FC" w:rsidRDefault="00987F70" w:rsidP="00987F70">
      <w:pPr>
        <w:pStyle w:val="BodyText"/>
        <w:jc w:val="left"/>
      </w:pPr>
      <w:hyperlink w:anchor="footnote-598-3-backlink">
        <w:r>
          <w:t>3</w:t>
        </w:r>
      </w:hyperlink>
      <w:r>
        <w:t xml:space="preserve"> </w:t>
      </w:r>
      <w:hyperlink r:id="rId22">
        <w:r>
          <w:t>https://apps.sfc.hk/edistributionWeb/gateway/TC/news-and-announcements/news/doc?refNo=16PR80</w:t>
        </w:r>
      </w:hyperlink>
    </w:p>
    <w:p w:rsidR="009539FC" w:rsidRDefault="00987F70" w:rsidP="00987F70">
      <w:pPr>
        <w:pStyle w:val="BodyText"/>
        <w:jc w:val="left"/>
      </w:pPr>
      <w:hyperlink w:anchor="footnote-598-4-backlink">
        <w:r>
          <w:t>4</w:t>
        </w:r>
      </w:hyperlink>
      <w:r>
        <w:t xml:space="preserve"> </w:t>
      </w:r>
      <w:hyperlink r:id="rId23">
        <w:r>
          <w:t>https://www.hkex.com.hk/News/News-Release/2020/201023news?sc_lang=zh-HK</w:t>
        </w:r>
      </w:hyperlink>
    </w:p>
    <w:p w:rsidR="009539FC" w:rsidRDefault="00987F70" w:rsidP="00987F70">
      <w:pPr>
        <w:pStyle w:val="BodyText"/>
        <w:jc w:val="left"/>
      </w:pPr>
      <w:hyperlink w:anchor="footnote-598-5-backlink">
        <w:r>
          <w:t>5</w:t>
        </w:r>
      </w:hyperlink>
      <w:r>
        <w:t xml:space="preserve"> </w:t>
      </w:r>
      <w:hyperlink r:id="rId24">
        <w:r>
          <w:t>https://www.hkex.com.hk/News/News-Release/2021/211224news?sc_lang=zh-HK</w:t>
        </w:r>
      </w:hyperlink>
    </w:p>
    <w:p w:rsidR="009539FC" w:rsidRDefault="00987F70" w:rsidP="00987F70">
      <w:pPr>
        <w:pStyle w:val="BodyText"/>
        <w:jc w:val="left"/>
      </w:pPr>
      <w:hyperlink w:anchor="footnote-598-6-backlink">
        <w:r>
          <w:t>6</w:t>
        </w:r>
      </w:hyperlink>
      <w:r>
        <w:t xml:space="preserve"> </w:t>
      </w:r>
      <w:hyperlink r:id="rId25">
        <w:r>
          <w:t>https://www.info.gov.</w:t>
        </w:r>
        <w:r>
          <w:t>hk/gia/general/202205/27/P2022052700546.htm?fontSize=1</w:t>
        </w:r>
      </w:hyperlink>
    </w:p>
    <w:p w:rsidR="009539FC" w:rsidRDefault="00987F70" w:rsidP="00987F70">
      <w:pPr>
        <w:pStyle w:val="BodyText"/>
        <w:jc w:val="left"/>
        <w:rPr>
          <w:lang w:eastAsia="zh-CN"/>
        </w:rPr>
      </w:pPr>
      <w:hyperlink w:anchor="footnote-598-7-backlink">
        <w:r>
          <w:rPr>
            <w:lang w:eastAsia="zh-CN"/>
          </w:rPr>
          <w:t>7</w:t>
        </w:r>
      </w:hyperlink>
      <w:r>
        <w:rPr>
          <w:lang w:eastAsia="zh-CN"/>
        </w:rPr>
        <w:t xml:space="preserve"> </w:t>
      </w:r>
      <w:r>
        <w:rPr>
          <w:lang w:eastAsia="zh-CN"/>
        </w:rPr>
        <w:t>定期考察数据截止日将为每年</w:t>
      </w:r>
      <w:r>
        <w:rPr>
          <w:lang w:eastAsia="zh-CN"/>
        </w:rPr>
        <w:t xml:space="preserve"> 6 </w:t>
      </w:r>
      <w:r>
        <w:rPr>
          <w:lang w:eastAsia="zh-CN"/>
        </w:rPr>
        <w:t>月及</w:t>
      </w:r>
      <w:r>
        <w:rPr>
          <w:lang w:eastAsia="zh-CN"/>
        </w:rPr>
        <w:t xml:space="preserve"> 12 </w:t>
      </w:r>
      <w:r>
        <w:rPr>
          <w:lang w:eastAsia="zh-CN"/>
        </w:rPr>
        <w:t>月的第二个星期五后的首个交易日。北向合资格</w:t>
      </w:r>
      <w:r>
        <w:rPr>
          <w:lang w:eastAsia="zh-CN"/>
        </w:rPr>
        <w:t xml:space="preserve"> ETF</w:t>
      </w:r>
      <w:r>
        <w:rPr>
          <w:lang w:eastAsia="zh-CN"/>
        </w:rPr>
        <w:t>名单将于定期调整考察数据截止日后第四个星期五（如非港股交易日，则为前一个港股交易日）公布。相应北向合资格</w:t>
      </w:r>
      <w:r>
        <w:rPr>
          <w:lang w:eastAsia="zh-CN"/>
        </w:rPr>
        <w:t xml:space="preserve"> ETF</w:t>
      </w:r>
      <w:r>
        <w:rPr>
          <w:lang w:eastAsia="zh-CN"/>
        </w:rPr>
        <w:t>名单的将于公布后的第二个星期一（如非</w:t>
      </w:r>
      <w:r>
        <w:rPr>
          <w:lang w:eastAsia="zh-CN"/>
        </w:rPr>
        <w:t xml:space="preserve"> CSC </w:t>
      </w:r>
      <w:r>
        <w:rPr>
          <w:lang w:eastAsia="zh-CN"/>
        </w:rPr>
        <w:t>交易日，则为下一个</w:t>
      </w:r>
      <w:r>
        <w:rPr>
          <w:lang w:eastAsia="zh-CN"/>
        </w:rPr>
        <w:t xml:space="preserve"> CSC </w:t>
      </w:r>
      <w:r>
        <w:rPr>
          <w:lang w:eastAsia="zh-CN"/>
        </w:rPr>
        <w:t>交易日）生效。</w:t>
      </w:r>
    </w:p>
    <w:p w:rsidR="009539FC" w:rsidRDefault="00987F70" w:rsidP="00987F70">
      <w:pPr>
        <w:pStyle w:val="BodyText"/>
        <w:jc w:val="left"/>
        <w:rPr>
          <w:lang w:eastAsia="zh-CN"/>
        </w:rPr>
      </w:pPr>
      <w:hyperlink w:anchor="footnote-598-8-backlink">
        <w:r>
          <w:rPr>
            <w:lang w:eastAsia="zh-CN"/>
          </w:rPr>
          <w:t>8</w:t>
        </w:r>
      </w:hyperlink>
      <w:r>
        <w:rPr>
          <w:lang w:eastAsia="zh-CN"/>
        </w:rPr>
        <w:t xml:space="preserve"> </w:t>
      </w:r>
      <w:r>
        <w:rPr>
          <w:lang w:eastAsia="zh-CN"/>
        </w:rPr>
        <w:t>宽基股票指数是指选样范围不限于特定行业或投资主题，但反映某个市场或某种规模股票表现的指数。</w:t>
      </w:r>
    </w:p>
    <w:p w:rsidR="009539FC" w:rsidRDefault="00987F70" w:rsidP="00987F70">
      <w:pPr>
        <w:pStyle w:val="BodyText"/>
        <w:jc w:val="left"/>
        <w:rPr>
          <w:lang w:eastAsia="zh-CN"/>
        </w:rPr>
      </w:pPr>
      <w:hyperlink w:anchor="footnote-598-9-backlink">
        <w:r>
          <w:rPr>
            <w:lang w:eastAsia="zh-CN"/>
          </w:rPr>
          <w:t>9</w:t>
        </w:r>
      </w:hyperlink>
      <w:r>
        <w:rPr>
          <w:lang w:eastAsia="zh-CN"/>
        </w:rPr>
        <w:t xml:space="preserve"> </w:t>
      </w:r>
      <w:r>
        <w:rPr>
          <w:lang w:eastAsia="zh-CN"/>
        </w:rPr>
        <w:t>关于此类事宜的更多详情载列于</w:t>
      </w:r>
      <w:hyperlink r:id="rId26">
        <w:r>
          <w:rPr>
            <w:lang w:eastAsia="zh-CN"/>
          </w:rPr>
          <w:t>香港交易所关于将</w:t>
        </w:r>
        <w:r>
          <w:rPr>
            <w:lang w:eastAsia="zh-CN"/>
          </w:rPr>
          <w:t>ETF</w:t>
        </w:r>
        <w:r>
          <w:rPr>
            <w:lang w:eastAsia="zh-CN"/>
          </w:rPr>
          <w:t>纳入互联互通机制北向交易的常问问题</w:t>
        </w:r>
      </w:hyperlink>
      <w:r>
        <w:rPr>
          <w:lang w:eastAsia="zh-CN"/>
        </w:rPr>
        <w:t>（</w:t>
      </w:r>
      <w:r>
        <w:rPr>
          <w:lang w:eastAsia="zh-CN"/>
        </w:rPr>
        <w:t>2022</w:t>
      </w:r>
      <w:r>
        <w:rPr>
          <w:lang w:eastAsia="zh-CN"/>
        </w:rPr>
        <w:t>年</w:t>
      </w:r>
      <w:r>
        <w:rPr>
          <w:lang w:eastAsia="zh-CN"/>
        </w:rPr>
        <w:t>5</w:t>
      </w:r>
      <w:r>
        <w:rPr>
          <w:lang w:eastAsia="zh-CN"/>
        </w:rPr>
        <w:t>月</w:t>
      </w:r>
      <w:r>
        <w:rPr>
          <w:lang w:eastAsia="zh-CN"/>
        </w:rPr>
        <w:t>27</w:t>
      </w:r>
      <w:r>
        <w:rPr>
          <w:lang w:eastAsia="zh-CN"/>
        </w:rPr>
        <w:t>日）。</w:t>
      </w:r>
    </w:p>
    <w:p w:rsidR="009539FC" w:rsidRDefault="00987F70" w:rsidP="00987F70">
      <w:pPr>
        <w:pStyle w:val="BodyText"/>
        <w:jc w:val="left"/>
        <w:rPr>
          <w:lang w:eastAsia="zh-CN"/>
        </w:rPr>
      </w:pPr>
      <w:hyperlink w:anchor="footnote-598-10-backlink">
        <w:r>
          <w:rPr>
            <w:lang w:eastAsia="zh-CN"/>
          </w:rPr>
          <w:t>10</w:t>
        </w:r>
      </w:hyperlink>
      <w:r>
        <w:rPr>
          <w:lang w:eastAsia="zh-CN"/>
        </w:rPr>
        <w:t xml:space="preserve"> </w:t>
      </w:r>
      <w:r>
        <w:rPr>
          <w:lang w:eastAsia="zh-CN"/>
        </w:rPr>
        <w:t>例如买卖单位、可接纳的买卖盘类型、数量限制以及有关取消买卖盘、修改买卖盘、券商客户编码编派、卖空及前端监控的安排。</w:t>
      </w:r>
    </w:p>
    <w:p w:rsidR="009539FC" w:rsidRDefault="00987F70" w:rsidP="00987F70">
      <w:pPr>
        <w:pStyle w:val="BodyText"/>
        <w:jc w:val="left"/>
      </w:pPr>
      <w:hyperlink w:anchor="footnote-598-11-backlink">
        <w:r>
          <w:t>11</w:t>
        </w:r>
      </w:hyperlink>
      <w:r>
        <w:t xml:space="preserve"> </w:t>
      </w:r>
      <w:hyperlink r:id="rId27">
        <w:r>
          <w:t>https://www.ft.com/content/2392fbd8-5ce5-482d-8c46-4719140b676c</w:t>
        </w:r>
      </w:hyperlink>
    </w:p>
    <w:p w:rsidR="009539FC" w:rsidRDefault="00987F70" w:rsidP="00987F70">
      <w:pPr>
        <w:pStyle w:val="BodyText"/>
        <w:jc w:val="left"/>
      </w:pPr>
      <w:hyperlink w:anchor="footnote-598-12-backlink">
        <w:r>
          <w:t>12</w:t>
        </w:r>
      </w:hyperlink>
      <w:r>
        <w:t xml:space="preserve"> </w:t>
      </w:r>
      <w:hyperlink r:id="rId28">
        <w:r>
          <w:t>https://corp.</w:t>
        </w:r>
        <w:r>
          <w:t>sgx.com/zh-hans/media-centre/20211228-sgx-and-szse-sign-mou-link-etf-markets-singapore-and-china</w:t>
        </w:r>
      </w:hyperlink>
    </w:p>
    <w:p w:rsidR="009539FC" w:rsidRDefault="00987F70">
      <w:pPr>
        <w:pStyle w:val="DisclaimerBold"/>
        <w:rPr>
          <w:lang w:eastAsia="zh-CN"/>
        </w:rPr>
      </w:pPr>
      <w:r>
        <w:rPr>
          <w:lang w:eastAsia="zh-CN"/>
        </w:rPr>
        <w:t>此法讯仅为提供相关资料信息之用，其内容并</w:t>
      </w:r>
    </w:p>
    <w:p w:rsidR="009539FC" w:rsidRDefault="00987F70">
      <w:pPr>
        <w:pStyle w:val="Disclaimer"/>
        <w:rPr>
          <w:lang w:eastAsia="zh-CN"/>
        </w:rPr>
      </w:pPr>
      <w:r>
        <w:rPr>
          <w:lang w:eastAsia="zh-CN"/>
        </w:rPr>
        <w:t>不构成法律建议及个案的法律分析。</w:t>
      </w:r>
    </w:p>
    <w:p w:rsidR="009539FC" w:rsidRDefault="00987F70">
      <w:pPr>
        <w:pStyle w:val="Disclaimer"/>
        <w:rPr>
          <w:lang w:eastAsia="zh-CN"/>
        </w:rPr>
      </w:pPr>
      <w:r>
        <w:rPr>
          <w:lang w:eastAsia="zh-CN"/>
        </w:rPr>
        <w:t>此法讯的发送并不是为了在易周律师行与用户或浏览者之间建立一种律师与客户之关系。</w:t>
      </w:r>
    </w:p>
    <w:p w:rsidR="009539FC" w:rsidRDefault="00987F70">
      <w:pPr>
        <w:pStyle w:val="Disclaimer"/>
        <w:rPr>
          <w:lang w:eastAsia="zh-CN"/>
        </w:rPr>
      </w:pPr>
      <w:r>
        <w:rPr>
          <w:lang w:eastAsia="zh-CN"/>
        </w:rPr>
        <w:t>易周律师行并不对可从互联网获得的任何第三方内容负责。</w:t>
      </w:r>
    </w:p>
    <w:p w:rsidR="009539FC" w:rsidRDefault="00987F70">
      <w:pPr>
        <w:pStyle w:val="Disclaimer"/>
        <w:rPr>
          <w:lang w:eastAsia="zh-CN"/>
        </w:rPr>
      </w:pPr>
      <w:r>
        <w:rPr>
          <w:lang w:eastAsia="zh-CN"/>
        </w:rPr>
        <w:t>如你不希望再收到易周法讯，请发送电邮至</w:t>
      </w:r>
      <w:r>
        <w:rPr>
          <w:lang w:eastAsia="zh-CN"/>
        </w:rPr>
        <w:t xml:space="preserve">  </w:t>
      </w:r>
      <w:hyperlink r:id="rId29">
        <w:r>
          <w:rPr>
            <w:lang w:eastAsia="zh-CN"/>
          </w:rPr>
          <w:t>unsubscribe@charltonslaw.com</w:t>
        </w:r>
      </w:hyperlink>
    </w:p>
    <w:p w:rsidR="009539FC" w:rsidRDefault="00987F70">
      <w:pPr>
        <w:pStyle w:val="BlackStrips"/>
      </w:pPr>
      <w:r>
        <w:t xml:space="preserve">Charltons - </w:t>
      </w:r>
      <w:r>
        <w:t>香港法律</w:t>
      </w:r>
      <w:r>
        <w:t xml:space="preserve"> - 2022</w:t>
      </w:r>
      <w:r>
        <w:t>年</w:t>
      </w:r>
      <w:r>
        <w:t>10</w:t>
      </w:r>
      <w:r>
        <w:t>月</w:t>
      </w:r>
      <w:r>
        <w:t>13</w:t>
      </w:r>
      <w:r>
        <w:t>日</w:t>
      </w:r>
    </w:p>
    <w:sectPr w:rsidR="009539F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7F70">
      <w:pPr>
        <w:spacing w:after="0"/>
      </w:pPr>
      <w:r>
        <w:separator/>
      </w:r>
    </w:p>
  </w:endnote>
  <w:endnote w:type="continuationSeparator" w:id="0">
    <w:p w:rsidR="00000000" w:rsidRDefault="00987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9FC" w:rsidRDefault="00987F70">
      <w:r>
        <w:separator/>
      </w:r>
    </w:p>
  </w:footnote>
  <w:footnote w:type="continuationSeparator" w:id="0">
    <w:p w:rsidR="009539FC" w:rsidRDefault="0098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0B48768"/>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21D423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9FAAAC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659471B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4" w15:restartNumberingAfterBreak="0">
    <w:nsid w:val="71315DCA"/>
    <w:multiLevelType w:val="multilevel"/>
    <w:tmpl w:val="FFD05A7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94B36"/>
    <w:rsid w:val="00784D58"/>
    <w:rsid w:val="008D6863"/>
    <w:rsid w:val="009539FC"/>
    <w:rsid w:val="00987F70"/>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41930-6B35-4E09-BA3F-6AD328A5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TC/News-and-announcements/Policy-statements-and-announcements/Joint-Announcement-of-the-CSRC-and-the-SFC" TargetMode="External"/><Relationship Id="rId13" Type="http://schemas.openxmlformats.org/officeDocument/2006/relationships/hyperlink" Target="https://www.charltonslaw.com/shenzhen-hong-kong-stock-connect-gets-green-light/" TargetMode="External"/><Relationship Id="rId18" Type="http://schemas.openxmlformats.org/officeDocument/2006/relationships/hyperlink" Target="https://www.hkex.com.hk/Mutual-Market/Stock-Connect/Eligible-Stocks/View-All-Eligible-Securities?sc_lang=zh-HK" TargetMode="External"/><Relationship Id="rId26" Type="http://schemas.openxmlformats.org/officeDocument/2006/relationships/hyperlink" Target="https://www.hkex.com.hk/-/media/HKEX-Market/Mutual-Market/Stock-Connect/Reference-Materials/Inclusion-of-ETFs-in-Stock-Connect/Inclusion_of_ETFs_in_Stock_Connect_FAQ_Eng.pdf" TargetMode="External"/><Relationship Id="rId3" Type="http://schemas.openxmlformats.org/officeDocument/2006/relationships/settings" Target="settings.xml"/><Relationship Id="rId21" Type="http://schemas.openxmlformats.org/officeDocument/2006/relationships/hyperlink" Target="https://www.ft.com/content/2392fbd8-5ce5-482d-8c46-4719140b676c" TargetMode="External"/><Relationship Id="rId7" Type="http://schemas.openxmlformats.org/officeDocument/2006/relationships/hyperlink" Target="http://www.charltonslaw.com.cn/xiang-gang-jiao-yi-suo-mai-mai-ji-jin-jiang-bei-na-ru-xiang-gang--nei-di-hu-lian-hu-tong" TargetMode="External"/><Relationship Id="rId12" Type="http://schemas.openxmlformats.org/officeDocument/2006/relationships/hyperlink" Target="https://www.charltonslaw.com/hong-kong-law/shanghai-hong-kong-stock-connect/" TargetMode="External"/><Relationship Id="rId17" Type="http://schemas.openxmlformats.org/officeDocument/2006/relationships/hyperlink" Target="https://www.hkex.com.hk/-/media/HKEX-Market/Services/Circulars-and-Notices/Participant-and-Members-Circulars/HKSCC/2022/ce_HKSCC_SET1_023_2022.pdf" TargetMode="External"/><Relationship Id="rId25" Type="http://schemas.openxmlformats.org/officeDocument/2006/relationships/hyperlink" Target="https://www.info.gov.hk/gia/general/202205/27/P2022052700546.htm?fontSize=1" TargetMode="External"/><Relationship Id="rId2" Type="http://schemas.openxmlformats.org/officeDocument/2006/relationships/styles" Target="styles.xml"/><Relationship Id="rId16" Type="http://schemas.openxmlformats.org/officeDocument/2006/relationships/hyperlink" Target="https://www.hkex.com.hk/Products/Securities/Exchange-Traded-Products/Overview?sc_lang=zh-HK" TargetMode="External"/><Relationship Id="rId20" Type="http://schemas.openxmlformats.org/officeDocument/2006/relationships/hyperlink" Target="https://www.hkex.com.hk/-/media/HKEX-Market/Mutual-Market/Stock-Connect/Reference-Materials/Inclusion-of-ETFs-in-Stock-Connect/Inclusion_of_ETFs_in_Stock_Connect_FAQ_Eng.pdf" TargetMode="External"/><Relationship Id="rId29"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n/xiang-gang-fa-lv/hu-gang-tong-yu-shen-gang-tong-zui-xin-zi-xun-lian-jie-guo-ji-tou-zi-zhe-yu-zhong-guo-tou-zi-zhe-de-xin-pian-zhang/" TargetMode="External"/><Relationship Id="rId24" Type="http://schemas.openxmlformats.org/officeDocument/2006/relationships/hyperlink" Target="https://www.hkex.com.hk/News/News-Release/2021/211224news?sc_lang=zh-HK" TargetMode="External"/><Relationship Id="rId5" Type="http://schemas.openxmlformats.org/officeDocument/2006/relationships/footnotes" Target="footnotes.xml"/><Relationship Id="rId15" Type="http://schemas.openxmlformats.org/officeDocument/2006/relationships/hyperlink" Target="https://www.hkex.com.hk/-/media/HKEX-Market/Mutual-Market/Stock-Connect/Reference-Materials/Inclusion-of-ETFs-in-Stock-Connect/Inclusion_of_ETFs_in_Stock_Connect_FAQ_Eng.pdf" TargetMode="External"/><Relationship Id="rId23" Type="http://schemas.openxmlformats.org/officeDocument/2006/relationships/hyperlink" Target="https://www.hkex.com.hk/News/News-Release/2020/201023news?sc_lang=zh-HK" TargetMode="External"/><Relationship Id="rId28" Type="http://schemas.openxmlformats.org/officeDocument/2006/relationships/hyperlink" Target="https://corp.sgx.com/zh-hans/media-centre/20211228-sgx-and-szse-sign-mou-link-etf-markets-singapore-and-china" TargetMode="External"/><Relationship Id="rId10" Type="http://schemas.openxmlformats.org/officeDocument/2006/relationships/hyperlink" Target="https://www.hkex.com.hk/Mutual-Market/Stock-Connect/Eligible-Stocks/View-All-Eligible-Securities?sc_lang=zh-HK" TargetMode="External"/><Relationship Id="rId19" Type="http://schemas.openxmlformats.org/officeDocument/2006/relationships/hyperlink" Target="https://www.hkex.com.hk/Mutual-Market/Stock-Connect/Eligible-Stocks/View-All-Eligible-Securities?sc_lang=zh-H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kex.com.hk/-/media/HKEX-Market/Services/Circulars-and-Notices/Participant-and-Members-Circulars/HKSCC/2022/cc_HKSCC_SET1_023_2022.pdf" TargetMode="External"/><Relationship Id="rId14" Type="http://schemas.openxmlformats.org/officeDocument/2006/relationships/hyperlink" Target="https://www.hkex.com.hk/Mutual-Market/Stock-Connect/Reference-Materials/Inclusion-of-ETFs-in-Stock-Connect?sc_lang=zh-HK" TargetMode="External"/><Relationship Id="rId22" Type="http://schemas.openxmlformats.org/officeDocument/2006/relationships/hyperlink" Target="https://apps.sfc.hk/edistributionWeb/gateway/TC/news-and-announcements/news/doc?refNo=16PR80" TargetMode="External"/><Relationship Id="rId27" Type="http://schemas.openxmlformats.org/officeDocument/2006/relationships/hyperlink" Target="https://www.ft.com/content/2392fbd8-5ce5-482d-8c46-4719140b676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1610</Words>
  <Characters>9182</Characters>
  <Application>Microsoft Office Word</Application>
  <DocSecurity>0</DocSecurity>
  <Lines>76</Lines>
  <Paragraphs>21</Paragraphs>
  <ScaleCrop>false</ScaleCrop>
  <Company>Charltons</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2022-10-13T09:20:00Z</dcterms:created>
  <dcterms:modified xsi:type="dcterms:W3CDTF">2022-10-13T09:23:00Z</dcterms:modified>
</cp:coreProperties>
</file>