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5D1" w:rsidRDefault="00C07B73">
      <w:pPr>
        <w:pStyle w:val="BlackStrips"/>
      </w:pPr>
      <w:r>
        <w:t xml:space="preserve">Charltons - </w:t>
      </w:r>
      <w:r>
        <w:t>香港法律</w:t>
      </w:r>
      <w:r>
        <w:t xml:space="preserve"> - 2022</w:t>
      </w:r>
      <w:r>
        <w:t>年</w:t>
      </w:r>
      <w:r>
        <w:t>10</w:t>
      </w:r>
      <w:r>
        <w:t>月</w:t>
      </w:r>
      <w:r>
        <w:t>18</w:t>
      </w:r>
      <w:r>
        <w:t>日</w:t>
      </w:r>
    </w:p>
    <w:p w:rsidR="00E675D1" w:rsidRDefault="00C07B73">
      <w:pPr>
        <w:pStyle w:val="ReadOnline"/>
        <w:rPr>
          <w:lang w:eastAsia="zh-CN"/>
        </w:rPr>
      </w:pPr>
      <w:hyperlink r:id="rId7">
        <w:r>
          <w:rPr>
            <w:lang w:eastAsia="zh-CN"/>
          </w:rPr>
          <w:t>online version</w:t>
        </w:r>
      </w:hyperlink>
    </w:p>
    <w:p w:rsidR="00E675D1" w:rsidRDefault="00C07B73">
      <w:pPr>
        <w:pStyle w:val="Title"/>
        <w:rPr>
          <w:lang w:eastAsia="zh-CN"/>
        </w:rPr>
      </w:pPr>
      <w:r>
        <w:rPr>
          <w:lang w:eastAsia="zh-CN"/>
        </w:rPr>
        <w:t>香港证监会及香港交易所于</w:t>
      </w:r>
      <w:r>
        <w:rPr>
          <w:lang w:eastAsia="zh-CN"/>
        </w:rPr>
        <w:t>2022</w:t>
      </w:r>
      <w:r>
        <w:rPr>
          <w:lang w:eastAsia="zh-CN"/>
        </w:rPr>
        <w:t>年</w:t>
      </w:r>
      <w:r>
        <w:rPr>
          <w:lang w:eastAsia="zh-CN"/>
        </w:rPr>
        <w:t>4</w:t>
      </w:r>
      <w:r>
        <w:rPr>
          <w:lang w:eastAsia="zh-CN"/>
        </w:rPr>
        <w:t>月份采取的纪律行动</w:t>
      </w:r>
    </w:p>
    <w:p w:rsidR="00E675D1" w:rsidRDefault="00C07B73">
      <w:pPr>
        <w:pStyle w:val="FirstParagraph"/>
        <w:rPr>
          <w:lang w:eastAsia="zh-CN"/>
        </w:rPr>
      </w:pPr>
      <w:r>
        <w:rPr>
          <w:lang w:eastAsia="zh-CN"/>
        </w:rPr>
        <w:t>2022</w:t>
      </w:r>
      <w:r>
        <w:rPr>
          <w:lang w:eastAsia="zh-CN"/>
        </w:rPr>
        <w:t>年</w:t>
      </w:r>
      <w:r>
        <w:rPr>
          <w:lang w:eastAsia="zh-CN"/>
        </w:rPr>
        <w:t>4</w:t>
      </w:r>
      <w:r>
        <w:rPr>
          <w:lang w:eastAsia="zh-CN"/>
        </w:rPr>
        <w:t>月份完成的香港执法行动包括收购执行人员公开谴责</w:t>
      </w:r>
      <w:r>
        <w:rPr>
          <w:lang w:eastAsia="zh-CN"/>
        </w:rPr>
        <w:t>2</w:t>
      </w:r>
      <w:r>
        <w:rPr>
          <w:lang w:eastAsia="zh-CN"/>
        </w:rPr>
        <w:t>名前董事违反证监会《公司收购及合并守则》中的「禁止阻挠行动」规则。另一份单独的纪律行动中，证监会禁止一名持牌代表从事没有取得客户授权委托且不符合客户开户规定的交易，为期</w:t>
      </w:r>
      <w:r>
        <w:rPr>
          <w:lang w:eastAsia="zh-CN"/>
        </w:rPr>
        <w:t>20</w:t>
      </w:r>
      <w:r>
        <w:rPr>
          <w:lang w:eastAsia="zh-CN"/>
        </w:rPr>
        <w:t>个月。</w:t>
      </w:r>
    </w:p>
    <w:p w:rsidR="00E675D1" w:rsidRDefault="00C07B73">
      <w:pPr>
        <w:pStyle w:val="BodyText"/>
        <w:rPr>
          <w:lang w:eastAsia="zh-CN"/>
        </w:rPr>
      </w:pPr>
      <w:r>
        <w:rPr>
          <w:lang w:eastAsia="zh-CN"/>
        </w:rPr>
        <w:t>香港联合交易所有限公司（</w:t>
      </w:r>
      <w:r>
        <w:rPr>
          <w:b/>
          <w:lang w:eastAsia="zh-CN"/>
        </w:rPr>
        <w:t>香港交易所</w:t>
      </w:r>
      <w:r>
        <w:rPr>
          <w:lang w:eastAsia="zh-CN"/>
        </w:rPr>
        <w:t>）针对新昌集团控股有限公司（</w:t>
      </w:r>
      <w:r>
        <w:rPr>
          <w:b/>
          <w:lang w:eastAsia="zh-CN"/>
        </w:rPr>
        <w:t>新昌</w:t>
      </w:r>
      <w:r>
        <w:rPr>
          <w:lang w:eastAsia="zh-CN"/>
        </w:rPr>
        <w:t>）与该公司一名执行董事有关的公司订立的协议对该公司及其</w:t>
      </w:r>
      <w:r>
        <w:rPr>
          <w:lang w:eastAsia="zh-CN"/>
        </w:rPr>
        <w:t>7</w:t>
      </w:r>
      <w:r>
        <w:rPr>
          <w:lang w:eastAsia="zh-CN"/>
        </w:rPr>
        <w:t>名前董事进行了处分。</w:t>
      </w:r>
    </w:p>
    <w:p w:rsidR="00E675D1" w:rsidRDefault="00C07B73">
      <w:pPr>
        <w:pStyle w:val="BodyText"/>
        <w:rPr>
          <w:lang w:eastAsia="zh-CN"/>
        </w:rPr>
      </w:pPr>
      <w:r>
        <w:rPr>
          <w:lang w:eastAsia="zh-CN"/>
        </w:rPr>
        <w:t>董事因应违反证监会《公司收购及合并守则》中规则</w:t>
      </w:r>
      <w:r>
        <w:rPr>
          <w:lang w:eastAsia="zh-CN"/>
        </w:rPr>
        <w:t>4</w:t>
      </w:r>
      <w:r>
        <w:rPr>
          <w:lang w:eastAsia="zh-CN"/>
        </w:rPr>
        <w:t>禁止阻挠行动规则被公开谴责</w:t>
      </w:r>
    </w:p>
    <w:p w:rsidR="00E675D1" w:rsidRDefault="00C07B73">
      <w:pPr>
        <w:pStyle w:val="BodyText"/>
        <w:rPr>
          <w:lang w:eastAsia="zh-CN"/>
        </w:rPr>
      </w:pPr>
      <w:r>
        <w:rPr>
          <w:lang w:eastAsia="zh-CN"/>
        </w:rPr>
        <w:t>证监会收购执行人员对两名前董事高云红先生（</w:t>
      </w:r>
      <w:r>
        <w:rPr>
          <w:b/>
          <w:lang w:eastAsia="zh-CN"/>
        </w:rPr>
        <w:t>高先生</w:t>
      </w:r>
      <w:r>
        <w:rPr>
          <w:lang w:eastAsia="zh-CN"/>
        </w:rPr>
        <w:t>）及</w:t>
      </w:r>
      <w:r>
        <w:rPr>
          <w:lang w:eastAsia="zh-CN"/>
        </w:rPr>
        <w:t>冯雪莲女士（</w:t>
      </w:r>
      <w:r>
        <w:rPr>
          <w:b/>
          <w:lang w:eastAsia="zh-CN"/>
        </w:rPr>
        <w:t>冯女士</w:t>
      </w:r>
      <w:r>
        <w:rPr>
          <w:lang w:eastAsia="zh-CN"/>
        </w:rPr>
        <w:t>）作出公开批评，原因是他们在旭通控股有限公司（</w:t>
      </w:r>
      <w:r>
        <w:rPr>
          <w:b/>
          <w:lang w:eastAsia="zh-CN"/>
        </w:rPr>
        <w:t>旭通</w:t>
      </w:r>
      <w:r>
        <w:rPr>
          <w:lang w:eastAsia="zh-CN"/>
        </w:rPr>
        <w:t>）要约期内出售该公司的重大资产，违反了证监会</w:t>
      </w:r>
      <w:hyperlink r:id="rId8">
        <w:r>
          <w:rPr>
            <w:lang w:eastAsia="zh-CN"/>
          </w:rPr>
          <w:t>《公司收购及合并守则》</w:t>
        </w:r>
      </w:hyperlink>
      <w:r>
        <w:rPr>
          <w:lang w:eastAsia="zh-CN"/>
        </w:rPr>
        <w:t>（</w:t>
      </w:r>
      <w:r>
        <w:rPr>
          <w:b/>
          <w:lang w:eastAsia="zh-CN"/>
        </w:rPr>
        <w:t>证监会《收购守则》</w:t>
      </w:r>
      <w:r>
        <w:rPr>
          <w:lang w:eastAsia="zh-CN"/>
        </w:rPr>
        <w:t>）规则</w:t>
      </w:r>
      <w:r>
        <w:rPr>
          <w:lang w:eastAsia="zh-CN"/>
        </w:rPr>
        <w:t xml:space="preserve">4 – </w:t>
      </w:r>
      <w:r>
        <w:rPr>
          <w:lang w:eastAsia="zh-CN"/>
        </w:rPr>
        <w:t>禁止阻挠行动规则。证监会于</w:t>
      </w:r>
      <w:r>
        <w:rPr>
          <w:lang w:eastAsia="zh-CN"/>
        </w:rPr>
        <w:t>2022</w:t>
      </w:r>
      <w:r>
        <w:rPr>
          <w:lang w:eastAsia="zh-CN"/>
        </w:rPr>
        <w:t>年</w:t>
      </w:r>
      <w:r>
        <w:rPr>
          <w:lang w:eastAsia="zh-CN"/>
        </w:rPr>
        <w:t>4</w:t>
      </w:r>
      <w:r>
        <w:rPr>
          <w:lang w:eastAsia="zh-CN"/>
        </w:rPr>
        <w:t>月</w:t>
      </w:r>
      <w:r>
        <w:rPr>
          <w:lang w:eastAsia="zh-CN"/>
        </w:rPr>
        <w:t>7</w:t>
      </w:r>
      <w:r>
        <w:rPr>
          <w:lang w:eastAsia="zh-CN"/>
        </w:rPr>
        <w:t>日刊发的《执行人员的声明》载列于</w:t>
      </w:r>
      <w:hyperlink r:id="rId9">
        <w:r>
          <w:rPr>
            <w:lang w:eastAsia="zh-CN"/>
          </w:rPr>
          <w:t>此处</w:t>
        </w:r>
      </w:hyperlink>
      <w:r>
        <w:rPr>
          <w:lang w:eastAsia="zh-CN"/>
        </w:rPr>
        <w:t>。</w:t>
      </w:r>
    </w:p>
    <w:p w:rsidR="00E675D1" w:rsidRDefault="00C07B73">
      <w:pPr>
        <w:pStyle w:val="BodyText"/>
        <w:rPr>
          <w:lang w:eastAsia="zh-CN"/>
        </w:rPr>
      </w:pPr>
      <w:r>
        <w:rPr>
          <w:lang w:eastAsia="zh-CN"/>
        </w:rPr>
        <w:t>违反证监会《收购守则》规则</w:t>
      </w:r>
      <w:r>
        <w:rPr>
          <w:lang w:eastAsia="zh-CN"/>
        </w:rPr>
        <w:t>4</w:t>
      </w:r>
      <w:r>
        <w:rPr>
          <w:lang w:eastAsia="zh-CN"/>
        </w:rPr>
        <w:t>的阻挠行动规则</w:t>
      </w:r>
    </w:p>
    <w:p w:rsidR="00E675D1" w:rsidRDefault="00C07B73">
      <w:pPr>
        <w:pStyle w:val="BodyText"/>
        <w:rPr>
          <w:lang w:eastAsia="zh-CN"/>
        </w:rPr>
      </w:pPr>
      <w:r>
        <w:t xml:space="preserve">2021 </w:t>
      </w:r>
      <w:r>
        <w:t>年</w:t>
      </w:r>
      <w:r>
        <w:t xml:space="preserve"> 4 </w:t>
      </w:r>
      <w:r>
        <w:t>月，由旭通执行董事吴建韶先生全资拥有的公司</w:t>
      </w:r>
      <w:r>
        <w:t>Master</w:t>
      </w:r>
      <w:r>
        <w:t>veyor Holdings Limited</w:t>
      </w:r>
      <w:r>
        <w:t>（</w:t>
      </w:r>
      <w:r>
        <w:rPr>
          <w:b/>
        </w:rPr>
        <w:t>要约人</w:t>
      </w:r>
      <w:r>
        <w:t>）向民银资本财务有限公司（</w:t>
      </w:r>
      <w:r>
        <w:rPr>
          <w:b/>
        </w:rPr>
        <w:t>民银资本</w:t>
      </w:r>
      <w:r>
        <w:t>）收购了旭通</w:t>
      </w:r>
      <w:r>
        <w:t>49%</w:t>
      </w:r>
      <w:r>
        <w:t>的股份。该民银资本股份一直被作为一项针对民银资本向旭通非执行董事高先生全资拥有的</w:t>
      </w:r>
      <w:r>
        <w:t>Gentle Soar Limited</w:t>
      </w:r>
      <w:r>
        <w:t>（</w:t>
      </w:r>
      <w:r>
        <w:rPr>
          <w:b/>
        </w:rPr>
        <w:t>Gentle Soar</w:t>
      </w:r>
      <w:r>
        <w:t>）提供的一笔贷款的抵押。</w:t>
      </w:r>
      <w:r>
        <w:rPr>
          <w:lang w:eastAsia="zh-CN"/>
        </w:rPr>
        <w:t>民银资本在强制执行该项贷款的强制抵押保证时卖出该股份。该项股份收购致使吴先生及与其一致行动的人士在旭通持有的权益由</w:t>
      </w:r>
      <w:r>
        <w:rPr>
          <w:lang w:eastAsia="zh-CN"/>
        </w:rPr>
        <w:t>4.62%</w:t>
      </w:r>
      <w:r>
        <w:rPr>
          <w:lang w:eastAsia="zh-CN"/>
        </w:rPr>
        <w:t>增加至</w:t>
      </w:r>
      <w:r>
        <w:rPr>
          <w:lang w:eastAsia="zh-CN"/>
        </w:rPr>
        <w:t>53.62%</w:t>
      </w:r>
      <w:r>
        <w:rPr>
          <w:lang w:eastAsia="zh-CN"/>
        </w:rPr>
        <w:t>，因而触发了要约人方依据《收购守则》规则</w:t>
      </w:r>
      <w:r>
        <w:rPr>
          <w:lang w:eastAsia="zh-CN"/>
        </w:rPr>
        <w:t>26.1</w:t>
      </w:r>
      <w:r>
        <w:rPr>
          <w:lang w:eastAsia="zh-CN"/>
        </w:rPr>
        <w:t>须就旭通作出无条件强制要约的责任。</w:t>
      </w:r>
    </w:p>
    <w:p w:rsidR="00E675D1" w:rsidRDefault="00C07B73">
      <w:pPr>
        <w:pStyle w:val="BodyText"/>
        <w:rPr>
          <w:lang w:eastAsia="zh-CN"/>
        </w:rPr>
      </w:pPr>
      <w:r>
        <w:rPr>
          <w:lang w:eastAsia="zh-CN"/>
        </w:rPr>
        <w:t>在有关收购之后以</w:t>
      </w:r>
      <w:r>
        <w:rPr>
          <w:lang w:eastAsia="zh-CN"/>
        </w:rPr>
        <w:t>及证监会收购执行人员审阅要约人拟发出的要约公布的草拟本期间，旭通公布吴先生及所有独立非执行董事（</w:t>
      </w:r>
      <w:r>
        <w:rPr>
          <w:b/>
          <w:lang w:eastAsia="zh-CN"/>
        </w:rPr>
        <w:t>独立非执行董事</w:t>
      </w:r>
      <w:r>
        <w:rPr>
          <w:lang w:eastAsia="zh-CN"/>
        </w:rPr>
        <w:t>）均已被旭通董事会罢免。仅有高先生及冯女士留任董事职位。该项公布的次日，旭通公司公布，高先生已告知董事会</w:t>
      </w:r>
      <w:r>
        <w:rPr>
          <w:lang w:eastAsia="zh-CN"/>
        </w:rPr>
        <w:t>Gentle Soar</w:t>
      </w:r>
      <w:r>
        <w:rPr>
          <w:lang w:eastAsia="zh-CN"/>
        </w:rPr>
        <w:t>已就民银资本强制执行以旭通股份作为抵押的保证，及向要约人转让销售股份的事宜对要约人、民银资本及吴先生展开法律程序。</w:t>
      </w:r>
    </w:p>
    <w:p w:rsidR="00E675D1" w:rsidRDefault="00C07B73">
      <w:pPr>
        <w:pStyle w:val="BodyText"/>
        <w:rPr>
          <w:lang w:eastAsia="zh-CN"/>
        </w:rPr>
      </w:pPr>
      <w:r>
        <w:rPr>
          <w:lang w:eastAsia="zh-CN"/>
        </w:rPr>
        <w:t>两日后，旭通公司公布已委任一名新的执行董事及三名新的独立非执行董事加入其董事会。在该项新委任后，旭通公司的董事会由高先生、冯女士及新任董事组成。该新董事会在次日</w:t>
      </w:r>
      <w:r>
        <w:rPr>
          <w:lang w:eastAsia="zh-CN"/>
        </w:rPr>
        <w:t>举行会议，并批准了出售</w:t>
      </w:r>
      <w:r>
        <w:rPr>
          <w:lang w:eastAsia="zh-CN"/>
        </w:rPr>
        <w:t>137,740,000</w:t>
      </w:r>
      <w:r>
        <w:rPr>
          <w:lang w:eastAsia="zh-CN"/>
        </w:rPr>
        <w:t>股民银资本控股有限公司股份（</w:t>
      </w:r>
      <w:r>
        <w:rPr>
          <w:b/>
          <w:lang w:eastAsia="zh-CN"/>
        </w:rPr>
        <w:t>民银资本控股股份</w:t>
      </w:r>
      <w:r>
        <w:rPr>
          <w:lang w:eastAsia="zh-CN"/>
        </w:rPr>
        <w:t>）。而民银资本控股股份由冯女士担任唯一董事的旭通公司全资附属公司创捷亚太有限公司（</w:t>
      </w:r>
      <w:r>
        <w:rPr>
          <w:b/>
          <w:lang w:eastAsia="zh-CN"/>
        </w:rPr>
        <w:t>创捷</w:t>
      </w:r>
      <w:r>
        <w:rPr>
          <w:lang w:eastAsia="zh-CN"/>
        </w:rPr>
        <w:t>）持有。</w:t>
      </w:r>
    </w:p>
    <w:p w:rsidR="00E675D1" w:rsidRDefault="00C07B73">
      <w:pPr>
        <w:pStyle w:val="BodyText"/>
        <w:rPr>
          <w:lang w:eastAsia="zh-CN"/>
        </w:rPr>
      </w:pPr>
      <w:r>
        <w:rPr>
          <w:lang w:eastAsia="zh-CN"/>
        </w:rPr>
        <w:t>一周之后，</w:t>
      </w:r>
      <w:r>
        <w:rPr>
          <w:lang w:eastAsia="zh-CN"/>
        </w:rPr>
        <w:t>2021</w:t>
      </w:r>
      <w:r>
        <w:rPr>
          <w:lang w:eastAsia="zh-CN"/>
        </w:rPr>
        <w:t>年</w:t>
      </w:r>
      <w:r>
        <w:rPr>
          <w:lang w:eastAsia="zh-CN"/>
        </w:rPr>
        <w:t>5</w:t>
      </w:r>
      <w:r>
        <w:rPr>
          <w:lang w:eastAsia="zh-CN"/>
        </w:rPr>
        <w:t>月</w:t>
      </w:r>
      <w:r>
        <w:rPr>
          <w:lang w:eastAsia="zh-CN"/>
        </w:rPr>
        <w:t>13</w:t>
      </w:r>
      <w:r>
        <w:rPr>
          <w:lang w:eastAsia="zh-CN"/>
        </w:rPr>
        <w:t>日，要约人遵照《收购守则》规则</w:t>
      </w:r>
      <w:r>
        <w:rPr>
          <w:lang w:eastAsia="zh-CN"/>
        </w:rPr>
        <w:t>3.5</w:t>
      </w:r>
      <w:r>
        <w:rPr>
          <w:lang w:eastAsia="zh-CN"/>
        </w:rPr>
        <w:t>的规定，公布就旭通公司的股份作出要约的确实意图，而涉及旭通公司的要约期在同日起算。</w:t>
      </w:r>
      <w:r>
        <w:rPr>
          <w:lang w:eastAsia="zh-CN"/>
        </w:rPr>
        <w:t>2021</w:t>
      </w:r>
      <w:r>
        <w:rPr>
          <w:lang w:eastAsia="zh-CN"/>
        </w:rPr>
        <w:t>年</w:t>
      </w:r>
      <w:r>
        <w:rPr>
          <w:lang w:eastAsia="zh-CN"/>
        </w:rPr>
        <w:t>5</w:t>
      </w:r>
      <w:r>
        <w:rPr>
          <w:lang w:eastAsia="zh-CN"/>
        </w:rPr>
        <w:t>月</w:t>
      </w:r>
      <w:r>
        <w:rPr>
          <w:lang w:eastAsia="zh-CN"/>
        </w:rPr>
        <w:t>14</w:t>
      </w:r>
      <w:r>
        <w:rPr>
          <w:lang w:eastAsia="zh-CN"/>
        </w:rPr>
        <w:t>日，要约人的法律顾问致函</w:t>
      </w:r>
      <w:r>
        <w:rPr>
          <w:lang w:eastAsia="zh-CN"/>
        </w:rPr>
        <w:t>Gentle Soar</w:t>
      </w:r>
      <w:r>
        <w:rPr>
          <w:lang w:eastAsia="zh-CN"/>
        </w:rPr>
        <w:t>、高先生及冯女士的法律顾问，提醒他们任何出售旭通公司资产（包括出售民银资本控股股份）的行为均可能构成违反《收购守则》规</w:t>
      </w:r>
      <w:r>
        <w:rPr>
          <w:lang w:eastAsia="zh-CN"/>
        </w:rPr>
        <w:t>则</w:t>
      </w:r>
      <w:r>
        <w:rPr>
          <w:lang w:eastAsia="zh-CN"/>
        </w:rPr>
        <w:t xml:space="preserve"> 4</w:t>
      </w:r>
      <w:r>
        <w:rPr>
          <w:lang w:eastAsia="zh-CN"/>
        </w:rPr>
        <w:t>下的阻挠行动条文规定。</w:t>
      </w:r>
    </w:p>
    <w:p w:rsidR="00E675D1" w:rsidRDefault="00C07B73">
      <w:pPr>
        <w:pStyle w:val="BodyText"/>
        <w:rPr>
          <w:lang w:eastAsia="zh-CN"/>
        </w:rPr>
      </w:pPr>
      <w:r>
        <w:rPr>
          <w:lang w:eastAsia="zh-CN"/>
        </w:rPr>
        <w:t>鉴于该股份售卖出现了纠纷，</w:t>
      </w:r>
      <w:r>
        <w:rPr>
          <w:lang w:eastAsia="zh-CN"/>
        </w:rPr>
        <w:t>Gentle Soar</w:t>
      </w:r>
      <w:r>
        <w:rPr>
          <w:lang w:eastAsia="zh-CN"/>
        </w:rPr>
        <w:t>的法律顾问在</w:t>
      </w:r>
      <w:r>
        <w:rPr>
          <w:lang w:eastAsia="zh-CN"/>
        </w:rPr>
        <w:t>2021</w:t>
      </w:r>
      <w:r>
        <w:rPr>
          <w:lang w:eastAsia="zh-CN"/>
        </w:rPr>
        <w:t>年</w:t>
      </w:r>
      <w:r>
        <w:rPr>
          <w:lang w:eastAsia="zh-CN"/>
        </w:rPr>
        <w:t>5</w:t>
      </w:r>
      <w:r>
        <w:rPr>
          <w:lang w:eastAsia="zh-CN"/>
        </w:rPr>
        <w:t>月</w:t>
      </w:r>
      <w:r>
        <w:rPr>
          <w:lang w:eastAsia="zh-CN"/>
        </w:rPr>
        <w:t>17</w:t>
      </w:r>
      <w:r>
        <w:rPr>
          <w:lang w:eastAsia="zh-CN"/>
        </w:rPr>
        <w:t>日，就要约人事实上有否触发《收购守则》规则</w:t>
      </w:r>
      <w:r>
        <w:rPr>
          <w:lang w:eastAsia="zh-CN"/>
        </w:rPr>
        <w:t>26.1</w:t>
      </w:r>
      <w:r>
        <w:rPr>
          <w:lang w:eastAsia="zh-CN"/>
        </w:rPr>
        <w:t>中的全面要约责任，致函咨询收购执行人员的意见。该收购执行人员回复道，由于向要约人转让旭通股份一事已经完成，因此就《收购守则》而言，不论有否出现该纠纷，要约人须作出全面要约的责任已</w:t>
      </w:r>
      <w:r>
        <w:rPr>
          <w:lang w:eastAsia="zh-CN"/>
        </w:rPr>
        <w:lastRenderedPageBreak/>
        <w:t>被触发。四日后，即</w:t>
      </w:r>
      <w:r>
        <w:rPr>
          <w:lang w:eastAsia="zh-CN"/>
        </w:rPr>
        <w:t>2021</w:t>
      </w:r>
      <w:r>
        <w:rPr>
          <w:lang w:eastAsia="zh-CN"/>
        </w:rPr>
        <w:t>年</w:t>
      </w:r>
      <w:r>
        <w:rPr>
          <w:lang w:eastAsia="zh-CN"/>
        </w:rPr>
        <w:t>5</w:t>
      </w:r>
      <w:r>
        <w:rPr>
          <w:lang w:eastAsia="zh-CN"/>
        </w:rPr>
        <w:t>月</w:t>
      </w:r>
      <w:r>
        <w:rPr>
          <w:lang w:eastAsia="zh-CN"/>
        </w:rPr>
        <w:t>21</w:t>
      </w:r>
      <w:r>
        <w:rPr>
          <w:lang w:eastAsia="zh-CN"/>
        </w:rPr>
        <w:t>日，旭通公司根据《收购守则》规则</w:t>
      </w:r>
      <w:r>
        <w:rPr>
          <w:lang w:eastAsia="zh-CN"/>
        </w:rPr>
        <w:t>3.2</w:t>
      </w:r>
      <w:r>
        <w:rPr>
          <w:lang w:eastAsia="zh-CN"/>
        </w:rPr>
        <w:t>的规定刊发公布，对要约公布作出回应。回应公布是新董事会授权刊发的。</w:t>
      </w:r>
    </w:p>
    <w:p w:rsidR="00E675D1" w:rsidRDefault="00C07B73">
      <w:pPr>
        <w:pStyle w:val="BodyText"/>
        <w:rPr>
          <w:lang w:eastAsia="zh-CN"/>
        </w:rPr>
      </w:pPr>
      <w:r>
        <w:rPr>
          <w:lang w:eastAsia="zh-CN"/>
        </w:rPr>
        <w:t>2021</w:t>
      </w:r>
      <w:r>
        <w:rPr>
          <w:lang w:eastAsia="zh-CN"/>
        </w:rPr>
        <w:t>年</w:t>
      </w:r>
      <w:r>
        <w:rPr>
          <w:lang w:eastAsia="zh-CN"/>
        </w:rPr>
        <w:t>6</w:t>
      </w:r>
      <w:r>
        <w:rPr>
          <w:lang w:eastAsia="zh-CN"/>
        </w:rPr>
        <w:t>月</w:t>
      </w:r>
      <w:r>
        <w:rPr>
          <w:lang w:eastAsia="zh-CN"/>
        </w:rPr>
        <w:t>1</w:t>
      </w:r>
      <w:r>
        <w:rPr>
          <w:lang w:eastAsia="zh-CN"/>
        </w:rPr>
        <w:t>日，旭通公司公布，</w:t>
      </w:r>
      <w:r>
        <w:rPr>
          <w:lang w:eastAsia="zh-CN"/>
        </w:rPr>
        <w:t>民银资本控股股份出售事项已在</w:t>
      </w:r>
      <w:r>
        <w:rPr>
          <w:lang w:eastAsia="zh-CN"/>
        </w:rPr>
        <w:t>2021</w:t>
      </w:r>
      <w:r>
        <w:rPr>
          <w:lang w:eastAsia="zh-CN"/>
        </w:rPr>
        <w:t>年</w:t>
      </w:r>
      <w:r>
        <w:rPr>
          <w:lang w:eastAsia="zh-CN"/>
        </w:rPr>
        <w:t>5</w:t>
      </w:r>
      <w:r>
        <w:rPr>
          <w:lang w:eastAsia="zh-CN"/>
        </w:rPr>
        <w:t>月</w:t>
      </w:r>
      <w:r>
        <w:rPr>
          <w:lang w:eastAsia="zh-CN"/>
        </w:rPr>
        <w:t>27</w:t>
      </w:r>
      <w:r>
        <w:rPr>
          <w:lang w:eastAsia="zh-CN"/>
        </w:rPr>
        <w:t>日至</w:t>
      </w:r>
      <w:r>
        <w:rPr>
          <w:lang w:eastAsia="zh-CN"/>
        </w:rPr>
        <w:t>2021</w:t>
      </w:r>
      <w:r>
        <w:rPr>
          <w:lang w:eastAsia="zh-CN"/>
        </w:rPr>
        <w:t>年</w:t>
      </w:r>
      <w:r>
        <w:rPr>
          <w:lang w:eastAsia="zh-CN"/>
        </w:rPr>
        <w:t>6</w:t>
      </w:r>
      <w:r>
        <w:rPr>
          <w:lang w:eastAsia="zh-CN"/>
        </w:rPr>
        <w:t>月</w:t>
      </w:r>
      <w:r>
        <w:rPr>
          <w:lang w:eastAsia="zh-CN"/>
        </w:rPr>
        <w:t>1</w:t>
      </w:r>
      <w:r>
        <w:rPr>
          <w:lang w:eastAsia="zh-CN"/>
        </w:rPr>
        <w:t>日期间进行，且该出售事项构成香港交易所《上市规则》下的须予披露交易。冯女士指示经纪商在场内出售民银资本控股股份并告知了高先生该宗出售事项。</w:t>
      </w:r>
    </w:p>
    <w:p w:rsidR="00E675D1" w:rsidRDefault="00C07B73">
      <w:pPr>
        <w:pStyle w:val="BodyText"/>
        <w:rPr>
          <w:lang w:eastAsia="zh-CN"/>
        </w:rPr>
      </w:pPr>
      <w:r>
        <w:rPr>
          <w:lang w:eastAsia="zh-CN"/>
        </w:rPr>
        <w:t>2021</w:t>
      </w:r>
      <w:r>
        <w:rPr>
          <w:lang w:eastAsia="zh-CN"/>
        </w:rPr>
        <w:t>年</w:t>
      </w:r>
      <w:r>
        <w:rPr>
          <w:lang w:eastAsia="zh-CN"/>
        </w:rPr>
        <w:t>6</w:t>
      </w:r>
      <w:r>
        <w:rPr>
          <w:lang w:eastAsia="zh-CN"/>
        </w:rPr>
        <w:t>月</w:t>
      </w:r>
      <w:r>
        <w:rPr>
          <w:lang w:eastAsia="zh-CN"/>
        </w:rPr>
        <w:t>15</w:t>
      </w:r>
      <w:r>
        <w:rPr>
          <w:lang w:eastAsia="zh-CN"/>
        </w:rPr>
        <w:t>日，旭通公司公布，新董事会决议暂停先前有关批准罢免吴先生及之前的独立非执行董事以及委任一名新执行董事及若干名独立非执行董事的决议案的实施，犹如该决议案不曾生效。因此，吴先生及旭通公司的三名原有的独立非执行董事恢复在该公司董事会的职务。</w:t>
      </w:r>
    </w:p>
    <w:p w:rsidR="00E675D1" w:rsidRDefault="00C07B73">
      <w:pPr>
        <w:pStyle w:val="BodyText"/>
        <w:rPr>
          <w:lang w:eastAsia="zh-CN"/>
        </w:rPr>
      </w:pPr>
      <w:r>
        <w:rPr>
          <w:lang w:eastAsia="zh-CN"/>
        </w:rPr>
        <w:t>证监会《收购守则》规则</w:t>
      </w:r>
      <w:r>
        <w:rPr>
          <w:lang w:eastAsia="zh-CN"/>
        </w:rPr>
        <w:t>4</w:t>
      </w:r>
    </w:p>
    <w:p w:rsidR="00E675D1" w:rsidRDefault="00C07B73">
      <w:pPr>
        <w:pStyle w:val="BodyText"/>
        <w:rPr>
          <w:lang w:eastAsia="zh-CN"/>
        </w:rPr>
      </w:pPr>
      <w:r>
        <w:rPr>
          <w:lang w:eastAsia="zh-CN"/>
        </w:rPr>
        <w:t>《收购守则》规则</w:t>
      </w:r>
      <w:r>
        <w:rPr>
          <w:lang w:eastAsia="zh-CN"/>
        </w:rPr>
        <w:t>4</w:t>
      </w:r>
      <w:r>
        <w:rPr>
          <w:lang w:eastAsia="zh-CN"/>
        </w:rPr>
        <w:t>旨在防止</w:t>
      </w:r>
      <w:r>
        <w:rPr>
          <w:lang w:eastAsia="zh-CN"/>
        </w:rPr>
        <w:t>受要约公司在其董事局接获真正的要约后，或当受要约公司的董事局有理由相信可能即将收到真正的要约时，采取任何足以阻挠该项要约或剥夺股东判断该项要约利弊的机会的行动。不论受要约人是否对有关要约表示欢迎，规则</w:t>
      </w:r>
      <w:r>
        <w:rPr>
          <w:lang w:eastAsia="zh-CN"/>
        </w:rPr>
        <w:t>4</w:t>
      </w:r>
      <w:r>
        <w:rPr>
          <w:lang w:eastAsia="zh-CN"/>
        </w:rPr>
        <w:t>仍然适用。规则</w:t>
      </w:r>
      <w:r>
        <w:rPr>
          <w:lang w:eastAsia="zh-CN"/>
        </w:rPr>
        <w:t xml:space="preserve"> 4 </w:t>
      </w:r>
      <w:r>
        <w:rPr>
          <w:lang w:eastAsia="zh-CN"/>
        </w:rPr>
        <w:t>亦旨在为要约中的当事人提供一个公平的竞争环境。</w:t>
      </w:r>
    </w:p>
    <w:p w:rsidR="00E675D1" w:rsidRDefault="00C07B73">
      <w:pPr>
        <w:pStyle w:val="BodyText"/>
        <w:rPr>
          <w:lang w:eastAsia="zh-CN"/>
        </w:rPr>
      </w:pPr>
      <w:r>
        <w:rPr>
          <w:lang w:eastAsia="zh-CN"/>
        </w:rPr>
        <w:t>《收购守则》规则</w:t>
      </w:r>
      <w:r>
        <w:rPr>
          <w:lang w:eastAsia="zh-CN"/>
        </w:rPr>
        <w:t>4</w:t>
      </w:r>
      <w:r>
        <w:rPr>
          <w:lang w:eastAsia="zh-CN"/>
        </w:rPr>
        <w:t>规定：</w:t>
      </w:r>
    </w:p>
    <w:p w:rsidR="00E675D1" w:rsidRDefault="00C07B73">
      <w:pPr>
        <w:pStyle w:val="BodyText"/>
        <w:rPr>
          <w:lang w:eastAsia="zh-CN"/>
        </w:rPr>
      </w:pPr>
      <w:r>
        <w:rPr>
          <w:i/>
          <w:lang w:eastAsia="zh-CN"/>
        </w:rPr>
        <w:t>「受要约公司的董事局一经接获真正的要约，或当受要约公司的董事局有理由相信可能即将收到真正的要约时，在未获得受要约公司股东在股东大会批准前，受要约公司的董事局在该公司事务上，不得采取任何行动，其效果足以阻挠该项要约或剥</w:t>
      </w:r>
      <w:r>
        <w:rPr>
          <w:i/>
          <w:lang w:eastAsia="zh-CN"/>
        </w:rPr>
        <w:t>夺受要约公司股东判断该项要约利弊的机会。特别是受要约公司的董事局如果未取得该等批准，不得作出或协议作出</w:t>
      </w:r>
      <w:r>
        <w:rPr>
          <w:i/>
          <w:lang w:eastAsia="zh-CN"/>
        </w:rPr>
        <w:t xml:space="preserve">…… (c) </w:t>
      </w:r>
      <w:r>
        <w:rPr>
          <w:i/>
          <w:lang w:eastAsia="zh-CN"/>
        </w:rPr>
        <w:t>出售、处置或取得重大价值的资产</w:t>
      </w:r>
      <w:r>
        <w:rPr>
          <w:i/>
          <w:lang w:eastAsia="zh-CN"/>
        </w:rPr>
        <w:t>……</w:t>
      </w:r>
      <w:r>
        <w:rPr>
          <w:i/>
          <w:lang w:eastAsia="zh-CN"/>
        </w:rPr>
        <w:t>」。</w:t>
      </w:r>
    </w:p>
    <w:p w:rsidR="00E675D1" w:rsidRDefault="00C07B73">
      <w:pPr>
        <w:pStyle w:val="BodyText"/>
        <w:rPr>
          <w:lang w:eastAsia="zh-CN"/>
        </w:rPr>
      </w:pPr>
      <w:r>
        <w:rPr>
          <w:lang w:eastAsia="zh-CN"/>
        </w:rPr>
        <w:t>规则</w:t>
      </w:r>
      <w:r>
        <w:rPr>
          <w:lang w:eastAsia="zh-CN"/>
        </w:rPr>
        <w:t>4</w:t>
      </w:r>
      <w:r>
        <w:rPr>
          <w:lang w:eastAsia="zh-CN"/>
        </w:rPr>
        <w:t>注释</w:t>
      </w:r>
      <w:r>
        <w:rPr>
          <w:lang w:eastAsia="zh-CN"/>
        </w:rPr>
        <w:t>1</w:t>
      </w:r>
      <w:r>
        <w:rPr>
          <w:lang w:eastAsia="zh-CN"/>
        </w:rPr>
        <w:t>规定：</w:t>
      </w:r>
    </w:p>
    <w:p w:rsidR="00E675D1" w:rsidRDefault="00C07B73">
      <w:pPr>
        <w:pStyle w:val="BodyText"/>
        <w:rPr>
          <w:lang w:eastAsia="zh-CN"/>
        </w:rPr>
      </w:pPr>
      <w:r>
        <w:rPr>
          <w:i/>
          <w:lang w:eastAsia="zh-CN"/>
        </w:rPr>
        <w:t>「如果要约人</w:t>
      </w:r>
      <w:r>
        <w:rPr>
          <w:i/>
          <w:lang w:eastAsia="zh-CN"/>
        </w:rPr>
        <w:t>……</w:t>
      </w:r>
      <w:r>
        <w:rPr>
          <w:i/>
          <w:lang w:eastAsia="zh-CN"/>
        </w:rPr>
        <w:t>同意，执行人员可能宽免召开股东大会的规定」。</w:t>
      </w:r>
    </w:p>
    <w:p w:rsidR="00E675D1" w:rsidRDefault="00C07B73">
      <w:pPr>
        <w:pStyle w:val="BodyText"/>
        <w:rPr>
          <w:lang w:eastAsia="zh-CN"/>
        </w:rPr>
      </w:pPr>
      <w:r>
        <w:rPr>
          <w:lang w:eastAsia="zh-CN"/>
        </w:rPr>
        <w:t>规则</w:t>
      </w:r>
      <w:r>
        <w:rPr>
          <w:lang w:eastAsia="zh-CN"/>
        </w:rPr>
        <w:t>4</w:t>
      </w:r>
      <w:r>
        <w:rPr>
          <w:lang w:eastAsia="zh-CN"/>
        </w:rPr>
        <w:t>注释</w:t>
      </w:r>
      <w:r>
        <w:rPr>
          <w:lang w:eastAsia="zh-CN"/>
        </w:rPr>
        <w:t>6</w:t>
      </w:r>
      <w:r>
        <w:rPr>
          <w:lang w:eastAsia="zh-CN"/>
        </w:rPr>
        <w:t>进一步规定：</w:t>
      </w:r>
    </w:p>
    <w:p w:rsidR="00E675D1" w:rsidRDefault="00C07B73">
      <w:pPr>
        <w:pStyle w:val="BodyText"/>
        <w:rPr>
          <w:lang w:eastAsia="zh-CN"/>
        </w:rPr>
      </w:pPr>
      <w:r>
        <w:rPr>
          <w:i/>
          <w:lang w:eastAsia="zh-CN"/>
        </w:rPr>
        <w:t>「为了确定某项处置或取得是否涉及</w:t>
      </w:r>
      <w:r>
        <w:rPr>
          <w:i/>
          <w:lang w:eastAsia="zh-CN"/>
        </w:rPr>
        <w:t>‘</w:t>
      </w:r>
      <w:r>
        <w:rPr>
          <w:i/>
          <w:lang w:eastAsia="zh-CN"/>
        </w:rPr>
        <w:t>重大价值</w:t>
      </w:r>
      <w:r>
        <w:rPr>
          <w:i/>
          <w:lang w:eastAsia="zh-CN"/>
        </w:rPr>
        <w:t>’</w:t>
      </w:r>
      <w:r>
        <w:rPr>
          <w:i/>
          <w:lang w:eastAsia="zh-CN"/>
        </w:rPr>
        <w:t>，执行人员一般会采用载于《上市规则》内的相同测试，以确定某项交易是否</w:t>
      </w:r>
      <w:r>
        <w:rPr>
          <w:i/>
          <w:lang w:eastAsia="zh-CN"/>
        </w:rPr>
        <w:t>‘</w:t>
      </w:r>
      <w:r>
        <w:rPr>
          <w:i/>
          <w:lang w:eastAsia="zh-CN"/>
        </w:rPr>
        <w:t>须予披露的交易</w:t>
      </w:r>
      <w:r>
        <w:rPr>
          <w:i/>
          <w:lang w:eastAsia="zh-CN"/>
        </w:rPr>
        <w:t>’</w:t>
      </w:r>
      <w:r>
        <w:rPr>
          <w:i/>
          <w:lang w:eastAsia="zh-CN"/>
        </w:rPr>
        <w:t>。</w:t>
      </w:r>
    </w:p>
    <w:p w:rsidR="00E675D1" w:rsidRDefault="00C07B73">
      <w:pPr>
        <w:pStyle w:val="BodyText"/>
        <w:rPr>
          <w:lang w:eastAsia="zh-CN"/>
        </w:rPr>
      </w:pPr>
      <w:r>
        <w:rPr>
          <w:i/>
          <w:lang w:eastAsia="zh-CN"/>
        </w:rPr>
        <w:t>假如出现或有关方面有意进行数宗与本规则</w:t>
      </w:r>
      <w:r>
        <w:rPr>
          <w:i/>
          <w:lang w:eastAsia="zh-CN"/>
        </w:rPr>
        <w:t>4</w:t>
      </w:r>
      <w:r>
        <w:rPr>
          <w:i/>
          <w:lang w:eastAsia="zh-CN"/>
        </w:rPr>
        <w:t>有关但在个别而言并非涉及重大价值的交易，执行人员会将有关交易汇总计算，以确</w:t>
      </w:r>
      <w:r>
        <w:rPr>
          <w:i/>
          <w:lang w:eastAsia="zh-CN"/>
        </w:rPr>
        <w:t>定本规则</w:t>
      </w:r>
      <w:r>
        <w:rPr>
          <w:i/>
          <w:lang w:eastAsia="zh-CN"/>
        </w:rPr>
        <w:t>4</w:t>
      </w:r>
      <w:r>
        <w:rPr>
          <w:i/>
          <w:lang w:eastAsia="zh-CN"/>
        </w:rPr>
        <w:t>的规定是否适用于当中任何交易。</w:t>
      </w:r>
    </w:p>
    <w:p w:rsidR="00E675D1" w:rsidRDefault="00C07B73">
      <w:pPr>
        <w:pStyle w:val="BodyText"/>
        <w:rPr>
          <w:lang w:eastAsia="zh-CN"/>
        </w:rPr>
      </w:pPr>
      <w:r>
        <w:rPr>
          <w:i/>
          <w:lang w:eastAsia="zh-CN"/>
        </w:rPr>
        <w:t>如对上述规定的适用情况有任何疑问，应先咨询执行人员的意见。」</w:t>
      </w:r>
    </w:p>
    <w:p w:rsidR="00E675D1" w:rsidRDefault="00C07B73">
      <w:pPr>
        <w:pStyle w:val="BodyText"/>
        <w:rPr>
          <w:lang w:eastAsia="zh-CN"/>
        </w:rPr>
      </w:pPr>
      <w:r>
        <w:rPr>
          <w:lang w:eastAsia="zh-CN"/>
        </w:rPr>
        <w:t>证监会纪律行动：公开谴责该等董事</w:t>
      </w:r>
    </w:p>
    <w:p w:rsidR="00E675D1" w:rsidRDefault="00C07B73">
      <w:pPr>
        <w:pStyle w:val="BodyText"/>
        <w:rPr>
          <w:lang w:eastAsia="zh-CN"/>
        </w:rPr>
      </w:pPr>
      <w:r>
        <w:rPr>
          <w:lang w:eastAsia="zh-CN"/>
        </w:rPr>
        <w:t>鉴于民银资本控股股份出售事项在要约期内进行，并属香港交易所《上市规则》下的须予披露交易，因而构成阻挠行动，须受证监会《收购守则》规则</w:t>
      </w:r>
      <w:r>
        <w:rPr>
          <w:lang w:eastAsia="zh-CN"/>
        </w:rPr>
        <w:t>4</w:t>
      </w:r>
      <w:r>
        <w:rPr>
          <w:lang w:eastAsia="zh-CN"/>
        </w:rPr>
        <w:t>的规定所约束。然而，旭通既没有取得规则</w:t>
      </w:r>
      <w:r>
        <w:rPr>
          <w:lang w:eastAsia="zh-CN"/>
        </w:rPr>
        <w:t>4</w:t>
      </w:r>
      <w:r>
        <w:rPr>
          <w:lang w:eastAsia="zh-CN"/>
        </w:rPr>
        <w:t>要求的公司股东的对该阻挠行动的批准，亦没有就须取得股东批准的规定向收购执行人员寻求豁免，因此其明显地违反了《收购守则》规则</w:t>
      </w:r>
      <w:r>
        <w:rPr>
          <w:lang w:eastAsia="zh-CN"/>
        </w:rPr>
        <w:t>4</w:t>
      </w:r>
      <w:r>
        <w:rPr>
          <w:lang w:eastAsia="zh-CN"/>
        </w:rPr>
        <w:t>的规定。</w:t>
      </w:r>
    </w:p>
    <w:p w:rsidR="00E675D1" w:rsidRDefault="00C07B73">
      <w:pPr>
        <w:pStyle w:val="BodyText"/>
        <w:rPr>
          <w:lang w:eastAsia="zh-CN"/>
        </w:rPr>
      </w:pPr>
      <w:r>
        <w:rPr>
          <w:lang w:eastAsia="zh-CN"/>
        </w:rPr>
        <w:t>证监会认为该行为不遵守证监会《收购守则》规则</w:t>
      </w:r>
      <w:r>
        <w:rPr>
          <w:lang w:eastAsia="zh-CN"/>
        </w:rPr>
        <w:t>4</w:t>
      </w:r>
      <w:r>
        <w:rPr>
          <w:lang w:eastAsia="zh-CN"/>
        </w:rPr>
        <w:t>提出的一项基本原则，</w:t>
      </w:r>
      <w:r>
        <w:rPr>
          <w:lang w:eastAsia="zh-CN"/>
        </w:rPr>
        <w:t>足以使证监会对有关人士采取纪律行动。证监会将以下情况纳入考量：高先生及冯女士在整段相关期间一直仅担任公司董事会的董事以及冯女士是创捷的唯一董事。鉴于他们相当程度地参与该股份出售事项以及身为董事对旭通公司负有责任，收购执行人员对高先生及冯女士各自采取纪律行动。</w:t>
      </w:r>
    </w:p>
    <w:p w:rsidR="00E675D1" w:rsidRDefault="00C07B73">
      <w:pPr>
        <w:pStyle w:val="BodyText"/>
        <w:rPr>
          <w:lang w:eastAsia="zh-CN"/>
        </w:rPr>
      </w:pPr>
      <w:r>
        <w:rPr>
          <w:lang w:eastAsia="zh-CN"/>
        </w:rPr>
        <w:t>高先生和冯女士均承认违反了证监会《收购守则》规则</w:t>
      </w:r>
      <w:r>
        <w:rPr>
          <w:lang w:eastAsia="zh-CN"/>
        </w:rPr>
        <w:t>4</w:t>
      </w:r>
      <w:r>
        <w:rPr>
          <w:lang w:eastAsia="zh-CN"/>
        </w:rPr>
        <w:t>下的规定，对于这一点他们表示，违规是由于他们对证监会《收购守则》的规定存在疏忽和误解所致。如该收购执行人员纪律声明中所</w:t>
      </w:r>
      <w:r>
        <w:rPr>
          <w:lang w:eastAsia="zh-CN"/>
        </w:rPr>
        <w:lastRenderedPageBreak/>
        <w:t>提述，该个案阐明上市公司董事在其行动可能符合证监会《收购守则》下的规定时咨询专业意见的重要性。如对《收购守则》的适用范围有任何不确定，应尽早咨询收购执行人员的意见。</w:t>
      </w:r>
    </w:p>
    <w:p w:rsidR="00E675D1" w:rsidRDefault="00C07B73">
      <w:pPr>
        <w:pStyle w:val="BodyText"/>
        <w:rPr>
          <w:lang w:eastAsia="zh-CN"/>
        </w:rPr>
      </w:pPr>
      <w:r>
        <w:rPr>
          <w:lang w:eastAsia="zh-CN"/>
        </w:rPr>
        <w:t>证监会禁止持牌代表</w:t>
      </w:r>
      <w:r>
        <w:rPr>
          <w:lang w:eastAsia="zh-CN"/>
        </w:rPr>
        <w:t>20</w:t>
      </w:r>
      <w:r>
        <w:rPr>
          <w:lang w:eastAsia="zh-CN"/>
        </w:rPr>
        <w:t>个月内未经客户授权而进行交易</w:t>
      </w:r>
    </w:p>
    <w:p w:rsidR="00E675D1" w:rsidRDefault="00C07B73">
      <w:pPr>
        <w:pStyle w:val="BodyText"/>
        <w:rPr>
          <w:lang w:eastAsia="zh-CN"/>
        </w:rPr>
      </w:pPr>
      <w:r>
        <w:t>2022</w:t>
      </w:r>
      <w:r>
        <w:t>年</w:t>
      </w:r>
      <w:r>
        <w:t>4</w:t>
      </w:r>
      <w:r>
        <w:t>月</w:t>
      </w:r>
      <w:r>
        <w:t>12</w:t>
      </w:r>
      <w:r>
        <w:t>日，证监会依据《证券及期货条例》第</w:t>
      </w:r>
      <w:bookmarkStart w:id="0" w:name="_GoBack"/>
      <w:bookmarkEnd w:id="0"/>
      <w:r>
        <w:t>194</w:t>
      </w:r>
      <w:r>
        <w:t>条下的纪律研讯规定禁止持牌代表潘在勇先生（</w:t>
      </w:r>
      <w:r>
        <w:rPr>
          <w:b/>
        </w:rPr>
        <w:t>潘先生</w:t>
      </w:r>
      <w:r>
        <w:t>）重投业界，为期</w:t>
      </w:r>
      <w:r>
        <w:t>20</w:t>
      </w:r>
      <w:r>
        <w:t>个月。</w:t>
      </w:r>
      <w:r>
        <w:rPr>
          <w:lang w:eastAsia="zh-CN"/>
        </w:rPr>
        <w:t>施加该项禁令是因为潘先生的以下行为违反了</w:t>
      </w:r>
      <w:hyperlink r:id="rId10">
        <w:r>
          <w:rPr>
            <w:lang w:eastAsia="zh-CN"/>
          </w:rPr>
          <w:t>《证券及期货事务监察委员会持牌人或注册人操守准则》</w:t>
        </w:r>
      </w:hyperlink>
      <w:r>
        <w:rPr>
          <w:lang w:eastAsia="zh-CN"/>
        </w:rPr>
        <w:t>（</w:t>
      </w:r>
      <w:r>
        <w:rPr>
          <w:b/>
          <w:lang w:eastAsia="zh-CN"/>
        </w:rPr>
        <w:t>证监会《操守准则》</w:t>
      </w:r>
      <w:r>
        <w:rPr>
          <w:lang w:eastAsia="zh-CN"/>
        </w:rPr>
        <w:t>）的规定：</w:t>
      </w:r>
    </w:p>
    <w:p w:rsidR="00E675D1" w:rsidRDefault="00C07B73">
      <w:pPr>
        <w:pStyle w:val="Compact"/>
        <w:numPr>
          <w:ilvl w:val="0"/>
          <w:numId w:val="3"/>
        </w:numPr>
        <w:rPr>
          <w:lang w:eastAsia="zh-CN"/>
        </w:rPr>
      </w:pPr>
      <w:r>
        <w:rPr>
          <w:lang w:eastAsia="zh-CN"/>
        </w:rPr>
        <w:t>在客户的账户内进行了交易，而没有就这些交易取得客户的特定授权及／或他们的书面授权以委托他进行这些交易；及</w:t>
      </w:r>
    </w:p>
    <w:p w:rsidR="00E675D1" w:rsidRDefault="00C07B73">
      <w:pPr>
        <w:pStyle w:val="Compact"/>
        <w:numPr>
          <w:ilvl w:val="0"/>
          <w:numId w:val="3"/>
        </w:numPr>
        <w:rPr>
          <w:lang w:eastAsia="zh-CN"/>
        </w:rPr>
      </w:pPr>
      <w:r>
        <w:rPr>
          <w:lang w:eastAsia="zh-CN"/>
        </w:rPr>
        <w:t>在协助客户填写开户</w:t>
      </w:r>
      <w:r>
        <w:rPr>
          <w:lang w:eastAsia="zh-CN"/>
        </w:rPr>
        <w:t>表格时，没有以适当的技能、小心审慎和勤勉尽责的态度行事，以及没有在开户期间采取合理步骤，以确立客户的财务状况和投资经验。</w:t>
      </w:r>
    </w:p>
    <w:p w:rsidR="00E675D1" w:rsidRDefault="00C07B73">
      <w:pPr>
        <w:pStyle w:val="FirstParagraph"/>
        <w:rPr>
          <w:lang w:eastAsia="zh-CN"/>
        </w:rPr>
      </w:pPr>
      <w:r>
        <w:rPr>
          <w:lang w:eastAsia="zh-CN"/>
        </w:rPr>
        <w:t>证监会的该份《纪律行动声明》载列于</w:t>
      </w:r>
      <w:hyperlink r:id="rId11">
        <w:r>
          <w:rPr>
            <w:lang w:eastAsia="zh-CN"/>
          </w:rPr>
          <w:t>此处</w:t>
        </w:r>
      </w:hyperlink>
      <w:r>
        <w:rPr>
          <w:lang w:eastAsia="zh-CN"/>
        </w:rPr>
        <w:t>。</w:t>
      </w:r>
    </w:p>
    <w:p w:rsidR="00E675D1" w:rsidRDefault="00C07B73">
      <w:pPr>
        <w:pStyle w:val="BodyText"/>
        <w:rPr>
          <w:lang w:eastAsia="zh-CN"/>
        </w:rPr>
      </w:pPr>
      <w:r>
        <w:rPr>
          <w:lang w:eastAsia="zh-CN"/>
        </w:rPr>
        <w:t>潘先生是中国通海证券有限公司（</w:t>
      </w:r>
      <w:r>
        <w:rPr>
          <w:b/>
          <w:lang w:eastAsia="zh-CN"/>
        </w:rPr>
        <w:t>中国通海证券</w:t>
      </w:r>
      <w:r>
        <w:rPr>
          <w:lang w:eastAsia="zh-CN"/>
        </w:rPr>
        <w:t>）的持牌代表，负责为客户开户及落盘。证监会接获中国通海证券一名客户的投诉，指称潘先生在</w:t>
      </w:r>
      <w:r>
        <w:rPr>
          <w:lang w:eastAsia="zh-CN"/>
        </w:rPr>
        <w:t>操作她的中国通海证券账户时不负责任。随后，证监会对潘先生的操守展开调查。</w:t>
      </w:r>
    </w:p>
    <w:p w:rsidR="00E675D1" w:rsidRDefault="00C07B73">
      <w:pPr>
        <w:pStyle w:val="BodyText"/>
        <w:rPr>
          <w:lang w:eastAsia="zh-CN"/>
        </w:rPr>
      </w:pPr>
      <w:r>
        <w:rPr>
          <w:lang w:eastAsia="zh-CN"/>
        </w:rPr>
        <w:t>违反证监会《操守准则》的规定</w:t>
      </w:r>
    </w:p>
    <w:p w:rsidR="00E675D1" w:rsidRDefault="00C07B73">
      <w:pPr>
        <w:pStyle w:val="BodyText"/>
        <w:rPr>
          <w:lang w:eastAsia="zh-CN"/>
        </w:rPr>
      </w:pPr>
      <w:r>
        <w:rPr>
          <w:lang w:eastAsia="zh-CN"/>
        </w:rPr>
        <w:t>证监会发现潘先生违反了证监会《操守准则》第</w:t>
      </w:r>
      <w:r>
        <w:rPr>
          <w:lang w:eastAsia="zh-CN"/>
        </w:rPr>
        <w:t>2</w:t>
      </w:r>
      <w:r>
        <w:rPr>
          <w:lang w:eastAsia="zh-CN"/>
        </w:rPr>
        <w:t>项一般原则、第</w:t>
      </w:r>
      <w:r>
        <w:rPr>
          <w:lang w:eastAsia="zh-CN"/>
        </w:rPr>
        <w:t>5.1(a)</w:t>
      </w:r>
      <w:r>
        <w:rPr>
          <w:lang w:eastAsia="zh-CN"/>
        </w:rPr>
        <w:t>及</w:t>
      </w:r>
      <w:r>
        <w:rPr>
          <w:lang w:eastAsia="zh-CN"/>
        </w:rPr>
        <w:t>7.1(a)</w:t>
      </w:r>
      <w:r>
        <w:rPr>
          <w:lang w:eastAsia="zh-CN"/>
        </w:rPr>
        <w:t>段的规定。</w:t>
      </w:r>
    </w:p>
    <w:p w:rsidR="00E675D1" w:rsidRDefault="00C07B73">
      <w:pPr>
        <w:pStyle w:val="BodyText"/>
        <w:rPr>
          <w:lang w:eastAsia="zh-CN"/>
        </w:rPr>
      </w:pPr>
      <w:r>
        <w:rPr>
          <w:b/>
          <w:lang w:eastAsia="zh-CN"/>
        </w:rPr>
        <w:t>第</w:t>
      </w:r>
      <w:r>
        <w:rPr>
          <w:b/>
          <w:lang w:eastAsia="zh-CN"/>
        </w:rPr>
        <w:t>2</w:t>
      </w:r>
      <w:r>
        <w:rPr>
          <w:b/>
          <w:lang w:eastAsia="zh-CN"/>
        </w:rPr>
        <w:t>项一般原则</w:t>
      </w:r>
      <w:r>
        <w:rPr>
          <w:lang w:eastAsia="zh-CN"/>
        </w:rPr>
        <w:t>规定持牌人应以适当的技能、小心审慎和勤勉尽责的态度行事，以维护客户的最佳利益及确保市场廉洁稳健。</w:t>
      </w:r>
    </w:p>
    <w:p w:rsidR="00E675D1" w:rsidRDefault="00C07B73">
      <w:pPr>
        <w:pStyle w:val="BodyText"/>
        <w:rPr>
          <w:lang w:eastAsia="zh-CN"/>
        </w:rPr>
      </w:pPr>
      <w:r>
        <w:rPr>
          <w:b/>
          <w:lang w:eastAsia="zh-CN"/>
        </w:rPr>
        <w:t>第</w:t>
      </w:r>
      <w:r>
        <w:rPr>
          <w:b/>
          <w:lang w:eastAsia="zh-CN"/>
        </w:rPr>
        <w:t>7.1(a)</w:t>
      </w:r>
      <w:r>
        <w:rPr>
          <w:b/>
          <w:lang w:eastAsia="zh-CN"/>
        </w:rPr>
        <w:t>段</w:t>
      </w:r>
      <w:r>
        <w:rPr>
          <w:lang w:eastAsia="zh-CN"/>
        </w:rPr>
        <w:t>规定持牌人不应为客户进行交易，除非在进行交易之前：</w:t>
      </w:r>
      <w:r>
        <w:rPr>
          <w:lang w:eastAsia="zh-CN"/>
        </w:rPr>
        <w:t>(i)</w:t>
      </w:r>
      <w:r>
        <w:rPr>
          <w:lang w:eastAsia="zh-CN"/>
        </w:rPr>
        <w:t>已获得该客户（或其以书面指定的人士）特定授权进行交易；或</w:t>
      </w:r>
      <w:r>
        <w:rPr>
          <w:lang w:eastAsia="zh-CN"/>
        </w:rPr>
        <w:t>(ii)</w:t>
      </w:r>
      <w:r>
        <w:rPr>
          <w:lang w:eastAsia="zh-CN"/>
        </w:rPr>
        <w:t>该客户已经以书面授权持牌人（或任何受雇于该持牌人的人士（本身亦必</w:t>
      </w:r>
      <w:r>
        <w:rPr>
          <w:lang w:eastAsia="zh-CN"/>
        </w:rPr>
        <w:t>须为持牌人））即使在未有该客户特定授权的情况下，仍可为其进行交易。</w:t>
      </w:r>
    </w:p>
    <w:p w:rsidR="00E675D1" w:rsidRDefault="00C07B73">
      <w:pPr>
        <w:pStyle w:val="BodyText"/>
        <w:rPr>
          <w:lang w:eastAsia="zh-CN"/>
        </w:rPr>
      </w:pPr>
      <w:r>
        <w:rPr>
          <w:b/>
          <w:lang w:eastAsia="zh-CN"/>
        </w:rPr>
        <w:t>第</w:t>
      </w:r>
      <w:r>
        <w:rPr>
          <w:b/>
          <w:lang w:eastAsia="zh-CN"/>
        </w:rPr>
        <w:t>5.1(a)</w:t>
      </w:r>
      <w:r>
        <w:rPr>
          <w:b/>
          <w:lang w:eastAsia="zh-CN"/>
        </w:rPr>
        <w:t>段</w:t>
      </w:r>
      <w:r>
        <w:rPr>
          <w:lang w:eastAsia="zh-CN"/>
        </w:rPr>
        <w:t>要求持牌人应采取一切合理步骤，以确立其每位客户的真实和全部的身分、每位客户的财政状况、投资经验及投资目标。如客户并非亲身开立帐户，则有关的开户程序应该以令人满意的方式进行，从而确保持牌人或注册人得以知悉该客户的身分。</w:t>
      </w:r>
    </w:p>
    <w:p w:rsidR="00E675D1" w:rsidRDefault="00C07B73">
      <w:pPr>
        <w:pStyle w:val="BodyText"/>
        <w:rPr>
          <w:lang w:eastAsia="zh-CN"/>
        </w:rPr>
      </w:pPr>
      <w:r>
        <w:rPr>
          <w:lang w:eastAsia="zh-CN"/>
        </w:rPr>
        <w:t>未经客户书面授权而进行委托交易</w:t>
      </w:r>
    </w:p>
    <w:p w:rsidR="00E675D1" w:rsidRDefault="00C07B73">
      <w:pPr>
        <w:pStyle w:val="BodyText"/>
        <w:rPr>
          <w:lang w:eastAsia="zh-CN"/>
        </w:rPr>
      </w:pPr>
      <w:r>
        <w:rPr>
          <w:lang w:eastAsia="zh-CN"/>
        </w:rPr>
        <w:t>证监会经调查后发现，在</w:t>
      </w:r>
      <w:r>
        <w:rPr>
          <w:lang w:eastAsia="zh-CN"/>
        </w:rPr>
        <w:t>2019</w:t>
      </w:r>
      <w:r>
        <w:rPr>
          <w:lang w:eastAsia="zh-CN"/>
        </w:rPr>
        <w:t>年</w:t>
      </w:r>
      <w:r>
        <w:rPr>
          <w:lang w:eastAsia="zh-CN"/>
        </w:rPr>
        <w:t>6</w:t>
      </w:r>
      <w:r>
        <w:rPr>
          <w:lang w:eastAsia="zh-CN"/>
        </w:rPr>
        <w:t>月至</w:t>
      </w:r>
      <w:r>
        <w:rPr>
          <w:lang w:eastAsia="zh-CN"/>
        </w:rPr>
        <w:t>2020</w:t>
      </w:r>
      <w:r>
        <w:rPr>
          <w:lang w:eastAsia="zh-CN"/>
        </w:rPr>
        <w:t>年</w:t>
      </w:r>
      <w:r>
        <w:rPr>
          <w:lang w:eastAsia="zh-CN"/>
        </w:rPr>
        <w:t>3</w:t>
      </w:r>
      <w:r>
        <w:rPr>
          <w:lang w:eastAsia="zh-CN"/>
        </w:rPr>
        <w:t>月期间，潘先生曾在六名客户的中国通海证券股票期权账户内进行了</w:t>
      </w:r>
      <w:r>
        <w:rPr>
          <w:lang w:eastAsia="zh-CN"/>
        </w:rPr>
        <w:t>1,089</w:t>
      </w:r>
      <w:r>
        <w:rPr>
          <w:lang w:eastAsia="zh-CN"/>
        </w:rPr>
        <w:t>宗交易。然而，该六名客户仅授权潘先生进行</w:t>
      </w:r>
      <w:r>
        <w:rPr>
          <w:lang w:eastAsia="zh-CN"/>
        </w:rPr>
        <w:t>87</w:t>
      </w:r>
      <w:r>
        <w:rPr>
          <w:lang w:eastAsia="zh-CN"/>
        </w:rPr>
        <w:t>宗交易（即总交</w:t>
      </w:r>
      <w:r>
        <w:rPr>
          <w:lang w:eastAsia="zh-CN"/>
        </w:rPr>
        <w:t>易量的约</w:t>
      </w:r>
      <w:r>
        <w:rPr>
          <w:lang w:eastAsia="zh-CN"/>
        </w:rPr>
        <w:t>8%</w:t>
      </w:r>
      <w:r>
        <w:rPr>
          <w:lang w:eastAsia="zh-CN"/>
        </w:rPr>
        <w:t>）。其他的</w:t>
      </w:r>
      <w:r>
        <w:rPr>
          <w:lang w:eastAsia="zh-CN"/>
        </w:rPr>
        <w:t>1,002</w:t>
      </w:r>
      <w:r>
        <w:rPr>
          <w:lang w:eastAsia="zh-CN"/>
        </w:rPr>
        <w:t>宗交易（即总交易量的约</w:t>
      </w:r>
      <w:r>
        <w:rPr>
          <w:lang w:eastAsia="zh-CN"/>
        </w:rPr>
        <w:t>92%</w:t>
      </w:r>
      <w:r>
        <w:rPr>
          <w:lang w:eastAsia="zh-CN"/>
        </w:rPr>
        <w:t>）未经客户特定授权，而且客户亦未书面授权其以委托方式进行该等交易。</w:t>
      </w:r>
    </w:p>
    <w:p w:rsidR="00E675D1" w:rsidRDefault="00C07B73">
      <w:pPr>
        <w:pStyle w:val="BodyText"/>
      </w:pPr>
      <w:r>
        <w:t>证监会的调查显示：</w:t>
      </w:r>
    </w:p>
    <w:p w:rsidR="00E675D1" w:rsidRDefault="00C07B73">
      <w:pPr>
        <w:pStyle w:val="Compact"/>
        <w:numPr>
          <w:ilvl w:val="0"/>
          <w:numId w:val="4"/>
        </w:numPr>
        <w:rPr>
          <w:lang w:eastAsia="zh-CN"/>
        </w:rPr>
      </w:pPr>
      <w:r>
        <w:rPr>
          <w:lang w:eastAsia="zh-CN"/>
        </w:rPr>
        <w:t>一般而言，潘先生会在每个交易日使用中国通海证券的录音电话致电该六名客户中每名客户一次，表明当日稍后时间他会在客户的股票期权帐户内进行交易；</w:t>
      </w:r>
    </w:p>
    <w:p w:rsidR="00E675D1" w:rsidRDefault="00C07B73">
      <w:pPr>
        <w:pStyle w:val="Compact"/>
        <w:numPr>
          <w:ilvl w:val="0"/>
          <w:numId w:val="4"/>
        </w:numPr>
        <w:rPr>
          <w:lang w:eastAsia="zh-CN"/>
        </w:rPr>
      </w:pPr>
      <w:r>
        <w:rPr>
          <w:lang w:eastAsia="zh-CN"/>
        </w:rPr>
        <w:t>全部录音通话均由潘先生拨出，而该等客户总是同意潘的交易建议，以及未曾自行作出任何交易指示；</w:t>
      </w:r>
    </w:p>
    <w:p w:rsidR="00E675D1" w:rsidRDefault="00C07B73">
      <w:pPr>
        <w:pStyle w:val="Compact"/>
        <w:numPr>
          <w:ilvl w:val="0"/>
          <w:numId w:val="4"/>
        </w:numPr>
        <w:rPr>
          <w:lang w:eastAsia="zh-CN"/>
        </w:rPr>
      </w:pPr>
      <w:r>
        <w:rPr>
          <w:lang w:eastAsia="zh-CN"/>
        </w:rPr>
        <w:t>虽然潘先生曾在录音通话中提及客户同意的该</w:t>
      </w:r>
      <w:r>
        <w:rPr>
          <w:lang w:eastAsia="zh-CN"/>
        </w:rPr>
        <w:t>87</w:t>
      </w:r>
      <w:r>
        <w:rPr>
          <w:lang w:eastAsia="zh-CN"/>
        </w:rPr>
        <w:t>宗交易的细节，但他从未说明其他的</w:t>
      </w:r>
      <w:r>
        <w:rPr>
          <w:lang w:eastAsia="zh-CN"/>
        </w:rPr>
        <w:t>1,002</w:t>
      </w:r>
      <w:r>
        <w:rPr>
          <w:lang w:eastAsia="zh-CN"/>
        </w:rPr>
        <w:t>宗交易的细节，例如交易数量及价格；及</w:t>
      </w:r>
    </w:p>
    <w:p w:rsidR="00E675D1" w:rsidRDefault="00C07B73">
      <w:pPr>
        <w:pStyle w:val="Compact"/>
        <w:numPr>
          <w:ilvl w:val="0"/>
          <w:numId w:val="4"/>
        </w:numPr>
        <w:rPr>
          <w:lang w:eastAsia="zh-CN"/>
        </w:rPr>
      </w:pPr>
      <w:r>
        <w:rPr>
          <w:lang w:eastAsia="zh-CN"/>
        </w:rPr>
        <w:t>虽然该</w:t>
      </w:r>
      <w:r>
        <w:rPr>
          <w:lang w:eastAsia="zh-CN"/>
        </w:rPr>
        <w:t>6</w:t>
      </w:r>
      <w:r>
        <w:rPr>
          <w:lang w:eastAsia="zh-CN"/>
        </w:rPr>
        <w:t>名客户曾经同意潘先生可以行使酌情权在他们的股票期权账户内进行交易，但该等安排从未以书面形式加以记录，而中国通海证券也从未获悉有关委托交易安排。这就违反了中国通海证券的内部政策规定，即</w:t>
      </w:r>
      <w:r>
        <w:rPr>
          <w:lang w:eastAsia="zh-CN"/>
        </w:rPr>
        <w:t>(i)</w:t>
      </w:r>
      <w:r>
        <w:rPr>
          <w:lang w:eastAsia="zh-CN"/>
        </w:rPr>
        <w:t>授权中国通海证券及／或其代表以委托形式代表其进行</w:t>
      </w:r>
      <w:r>
        <w:rPr>
          <w:lang w:eastAsia="zh-CN"/>
        </w:rPr>
        <w:lastRenderedPageBreak/>
        <w:t>交易的客户，需要签订全权委托客户委托书；及</w:t>
      </w:r>
      <w:r>
        <w:rPr>
          <w:lang w:eastAsia="zh-CN"/>
        </w:rPr>
        <w:t>(ii)</w:t>
      </w:r>
      <w:r>
        <w:rPr>
          <w:lang w:eastAsia="zh-CN"/>
        </w:rPr>
        <w:t>中国通海证券的高级管理层需要签署全权委托客户委托书，以批准开立委托账户。该等客户中无一人曾经签署全权委托客户委托书。</w:t>
      </w:r>
    </w:p>
    <w:p w:rsidR="00E675D1" w:rsidRDefault="00C07B73">
      <w:pPr>
        <w:pStyle w:val="FirstParagraph"/>
        <w:rPr>
          <w:lang w:eastAsia="zh-CN"/>
        </w:rPr>
      </w:pPr>
      <w:r>
        <w:rPr>
          <w:lang w:eastAsia="zh-CN"/>
        </w:rPr>
        <w:t>潘先生显然是在没有就这些交易取得该等客户的特定授权及／或他们的书面授权以委托他进行这些交易的情况下进行的该</w:t>
      </w:r>
      <w:r>
        <w:rPr>
          <w:lang w:eastAsia="zh-CN"/>
        </w:rPr>
        <w:t>1</w:t>
      </w:r>
      <w:r>
        <w:rPr>
          <w:lang w:eastAsia="zh-CN"/>
        </w:rPr>
        <w:t>,002</w:t>
      </w:r>
      <w:r>
        <w:rPr>
          <w:lang w:eastAsia="zh-CN"/>
        </w:rPr>
        <w:t>宗委托交易，这违反了证监会《操守准则》第</w:t>
      </w:r>
      <w:r>
        <w:rPr>
          <w:lang w:eastAsia="zh-CN"/>
        </w:rPr>
        <w:t>7.1(a)</w:t>
      </w:r>
      <w:r>
        <w:rPr>
          <w:lang w:eastAsia="zh-CN"/>
        </w:rPr>
        <w:t>段的规定。</w:t>
      </w:r>
    </w:p>
    <w:p w:rsidR="00E675D1" w:rsidRDefault="00C07B73">
      <w:pPr>
        <w:pStyle w:val="BodyText"/>
        <w:rPr>
          <w:lang w:eastAsia="zh-CN"/>
        </w:rPr>
      </w:pPr>
      <w:r>
        <w:rPr>
          <w:lang w:eastAsia="zh-CN"/>
        </w:rPr>
        <w:t>中国通海证券不知道该等客户曾经同意潘先生可以行使酌情权在他们的股票期权账户内进行交易，以及该等客户的股票期权账户未获中国通海证券指定为委托账户。鉴于中国通海证券因而无法监察及监督客户的账户的操作，证监会认为这不但损害了该等客户的利益，亦剥夺了该等客户的账户免受进行未经授权交易的风险的保障。此外，潘先生被发现在进行业务活动时，没有以适当的技能、小心审慎和勤勉尽责的态度行事，以维护客户的最佳利益，违反了证监会《操守准则》第</w:t>
      </w:r>
      <w:r>
        <w:rPr>
          <w:lang w:eastAsia="zh-CN"/>
        </w:rPr>
        <w:t>2</w:t>
      </w:r>
      <w:r>
        <w:rPr>
          <w:lang w:eastAsia="zh-CN"/>
        </w:rPr>
        <w:t>项一般原则的规定</w:t>
      </w:r>
      <w:r>
        <w:rPr>
          <w:lang w:eastAsia="zh-CN"/>
        </w:rPr>
        <w:t>。</w:t>
      </w:r>
    </w:p>
    <w:p w:rsidR="00E675D1" w:rsidRDefault="00C07B73">
      <w:pPr>
        <w:pStyle w:val="BodyText"/>
        <w:rPr>
          <w:lang w:eastAsia="zh-CN"/>
        </w:rPr>
      </w:pPr>
      <w:r>
        <w:rPr>
          <w:lang w:eastAsia="zh-CN"/>
        </w:rPr>
        <w:t>客户的开户表格上的数据错误</w:t>
      </w:r>
    </w:p>
    <w:p w:rsidR="00E675D1" w:rsidRDefault="00C07B73">
      <w:pPr>
        <w:pStyle w:val="BodyText"/>
        <w:rPr>
          <w:lang w:eastAsia="zh-CN"/>
        </w:rPr>
      </w:pPr>
      <w:r>
        <w:rPr>
          <w:lang w:eastAsia="zh-CN"/>
        </w:rPr>
        <w:t>在</w:t>
      </w:r>
      <w:r>
        <w:rPr>
          <w:lang w:eastAsia="zh-CN"/>
        </w:rPr>
        <w:t>2019</w:t>
      </w:r>
      <w:r>
        <w:rPr>
          <w:lang w:eastAsia="zh-CN"/>
        </w:rPr>
        <w:t>年</w:t>
      </w:r>
      <w:r>
        <w:rPr>
          <w:lang w:eastAsia="zh-CN"/>
        </w:rPr>
        <w:t>5</w:t>
      </w:r>
      <w:r>
        <w:rPr>
          <w:lang w:eastAsia="zh-CN"/>
        </w:rPr>
        <w:t>月至</w:t>
      </w:r>
      <w:r>
        <w:rPr>
          <w:lang w:eastAsia="zh-CN"/>
        </w:rPr>
        <w:t>2020</w:t>
      </w:r>
      <w:r>
        <w:rPr>
          <w:lang w:eastAsia="zh-CN"/>
        </w:rPr>
        <w:t>年</w:t>
      </w:r>
      <w:r>
        <w:rPr>
          <w:lang w:eastAsia="zh-CN"/>
        </w:rPr>
        <w:t>2</w:t>
      </w:r>
      <w:r>
        <w:rPr>
          <w:lang w:eastAsia="zh-CN"/>
        </w:rPr>
        <w:t>月期间潘先生曾协助该等客户中的三名客户填写开户表格。然而，他没有采取步骤确立及／或核实他们的财务状况和投资经验。这致使该等开户表格中部分有关该三名客户的财务状况和投资经验的答案有错误。</w:t>
      </w:r>
    </w:p>
    <w:p w:rsidR="00E675D1" w:rsidRDefault="00C07B73">
      <w:pPr>
        <w:pStyle w:val="BodyText"/>
        <w:rPr>
          <w:lang w:eastAsia="zh-CN"/>
        </w:rPr>
      </w:pPr>
      <w:r>
        <w:rPr>
          <w:lang w:eastAsia="zh-CN"/>
        </w:rPr>
        <w:t>潘先生亦没有妥善执行开户表格内规定的风险披露程序。但是他在开户表格上签署确认他已为该三名客户中的两名客户完成了相关程序。潘先生唯一关注的似乎是确保填写开户表格的方式能使该三名客户达到中国通海证券对希望投资于其股票挂钩票据的客户的合适性要求。</w:t>
      </w:r>
    </w:p>
    <w:p w:rsidR="00E675D1" w:rsidRDefault="00C07B73">
      <w:pPr>
        <w:pStyle w:val="BodyText"/>
        <w:rPr>
          <w:lang w:eastAsia="zh-CN"/>
        </w:rPr>
      </w:pPr>
      <w:r>
        <w:rPr>
          <w:lang w:eastAsia="zh-CN"/>
        </w:rPr>
        <w:t>因此，证监会认为潘先生</w:t>
      </w:r>
      <w:r>
        <w:rPr>
          <w:lang w:eastAsia="zh-CN"/>
        </w:rPr>
        <w:t>没有以适当的技能、小心审慎和勤勉尽责的态度行事，亦没有采取一切合理步骤，以确立该三名客户的真实和全部身分，以及他们的财务状况和投资经验。他的行为违反了证监会《操守准则》第</w:t>
      </w:r>
      <w:r>
        <w:rPr>
          <w:lang w:eastAsia="zh-CN"/>
        </w:rPr>
        <w:t>5.1(a)</w:t>
      </w:r>
      <w:r>
        <w:rPr>
          <w:lang w:eastAsia="zh-CN"/>
        </w:rPr>
        <w:t>段和第</w:t>
      </w:r>
      <w:r>
        <w:rPr>
          <w:lang w:eastAsia="zh-CN"/>
        </w:rPr>
        <w:t>2</w:t>
      </w:r>
      <w:r>
        <w:rPr>
          <w:lang w:eastAsia="zh-CN"/>
        </w:rPr>
        <w:t>项一般原则的规定。</w:t>
      </w:r>
    </w:p>
    <w:p w:rsidR="00E675D1" w:rsidRDefault="00C07B73">
      <w:pPr>
        <w:pStyle w:val="BodyText"/>
        <w:rPr>
          <w:lang w:eastAsia="zh-CN"/>
        </w:rPr>
      </w:pPr>
      <w:r>
        <w:rPr>
          <w:lang w:eastAsia="zh-CN"/>
        </w:rPr>
        <w:t>联交所对新昌及其</w:t>
      </w:r>
      <w:r>
        <w:rPr>
          <w:lang w:eastAsia="zh-CN"/>
        </w:rPr>
        <w:t>7</w:t>
      </w:r>
      <w:r>
        <w:rPr>
          <w:lang w:eastAsia="zh-CN"/>
        </w:rPr>
        <w:t>名前董事的纪律行动</w:t>
      </w:r>
    </w:p>
    <w:p w:rsidR="00E675D1" w:rsidRDefault="00C07B73">
      <w:pPr>
        <w:pStyle w:val="BodyText"/>
        <w:rPr>
          <w:lang w:eastAsia="zh-CN"/>
        </w:rPr>
      </w:pPr>
      <w:r>
        <w:rPr>
          <w:lang w:eastAsia="zh-CN"/>
        </w:rPr>
        <w:t>2022</w:t>
      </w:r>
      <w:r>
        <w:rPr>
          <w:lang w:eastAsia="zh-CN"/>
        </w:rPr>
        <w:t>年</w:t>
      </w:r>
      <w:r>
        <w:rPr>
          <w:lang w:eastAsia="zh-CN"/>
        </w:rPr>
        <w:t>4</w:t>
      </w:r>
      <w:r>
        <w:rPr>
          <w:lang w:eastAsia="zh-CN"/>
        </w:rPr>
        <w:t>月</w:t>
      </w:r>
      <w:r>
        <w:rPr>
          <w:lang w:eastAsia="zh-CN"/>
        </w:rPr>
        <w:t>11</w:t>
      </w:r>
      <w:r>
        <w:rPr>
          <w:lang w:eastAsia="zh-CN"/>
        </w:rPr>
        <w:t>日，联交所制裁了已除牌的新昌及其前董事中的</w:t>
      </w:r>
      <w:r>
        <w:rPr>
          <w:lang w:eastAsia="zh-CN"/>
        </w:rPr>
        <w:t>7</w:t>
      </w:r>
      <w:r>
        <w:rPr>
          <w:lang w:eastAsia="zh-CN"/>
        </w:rPr>
        <w:t>名董事，原因是其违反了联交所《上市规则》若干规定，包括须予公布交易及关连交易规定，及董事承诺，包括避免利益冲突的承诺。</w:t>
      </w:r>
    </w:p>
    <w:p w:rsidR="00E675D1" w:rsidRDefault="00C07B73">
      <w:pPr>
        <w:pStyle w:val="BodyText"/>
      </w:pPr>
      <w:r>
        <w:t>联交所</w:t>
      </w:r>
    </w:p>
    <w:p w:rsidR="00E675D1" w:rsidRDefault="00C07B73">
      <w:pPr>
        <w:pStyle w:val="Compact"/>
        <w:numPr>
          <w:ilvl w:val="0"/>
          <w:numId w:val="5"/>
        </w:numPr>
        <w:rPr>
          <w:lang w:eastAsia="zh-CN"/>
        </w:rPr>
      </w:pPr>
      <w:r>
        <w:rPr>
          <w:lang w:eastAsia="zh-CN"/>
        </w:rPr>
        <w:t>谴责新昌及该公司前执行董事周炜先生（</w:t>
      </w:r>
      <w:r>
        <w:rPr>
          <w:b/>
          <w:lang w:eastAsia="zh-CN"/>
        </w:rPr>
        <w:t>周先生</w:t>
      </w:r>
      <w:r>
        <w:rPr>
          <w:lang w:eastAsia="zh-CN"/>
        </w:rPr>
        <w:t>）；</w:t>
      </w:r>
    </w:p>
    <w:p w:rsidR="00E675D1" w:rsidRDefault="00C07B73">
      <w:pPr>
        <w:pStyle w:val="Compact"/>
        <w:numPr>
          <w:ilvl w:val="0"/>
          <w:numId w:val="5"/>
        </w:numPr>
        <w:rPr>
          <w:lang w:eastAsia="zh-CN"/>
        </w:rPr>
      </w:pPr>
      <w:r>
        <w:rPr>
          <w:lang w:eastAsia="zh-CN"/>
        </w:rPr>
        <w:t>批评其他</w:t>
      </w:r>
      <w:r>
        <w:rPr>
          <w:lang w:eastAsia="zh-CN"/>
        </w:rPr>
        <w:t>6</w:t>
      </w:r>
      <w:r>
        <w:rPr>
          <w:lang w:eastAsia="zh-CN"/>
        </w:rPr>
        <w:t>名新昌董事并指令其完成董事培训；及</w:t>
      </w:r>
    </w:p>
    <w:p w:rsidR="00E675D1" w:rsidRDefault="00C07B73">
      <w:pPr>
        <w:pStyle w:val="Compact"/>
        <w:numPr>
          <w:ilvl w:val="0"/>
          <w:numId w:val="5"/>
        </w:numPr>
        <w:rPr>
          <w:lang w:eastAsia="zh-CN"/>
        </w:rPr>
      </w:pPr>
      <w:r>
        <w:rPr>
          <w:lang w:eastAsia="zh-CN"/>
        </w:rPr>
        <w:t>针对周先生作出一份投资者权益损害声明</w:t>
      </w:r>
      <w:r>
        <w:rPr>
          <w:lang w:eastAsia="zh-CN"/>
        </w:rPr>
        <w:t>-</w:t>
      </w:r>
      <w:r>
        <w:rPr>
          <w:lang w:eastAsia="zh-CN"/>
        </w:rPr>
        <w:t>由于周先生蓄意不履行其在联交所《上市规则》项下的责任，联交所发出一份声明，即若周先生仍留任该公司董事会的董事及新昌仍继续上市，那么周先生的留任会损害投资者的权益。</w:t>
      </w:r>
    </w:p>
    <w:p w:rsidR="00E675D1" w:rsidRDefault="00C07B73">
      <w:pPr>
        <w:pStyle w:val="FirstParagraph"/>
        <w:rPr>
          <w:lang w:eastAsia="zh-CN"/>
        </w:rPr>
      </w:pPr>
      <w:r>
        <w:rPr>
          <w:lang w:eastAsia="zh-CN"/>
        </w:rPr>
        <w:t>2017</w:t>
      </w:r>
      <w:r>
        <w:rPr>
          <w:lang w:eastAsia="zh-CN"/>
        </w:rPr>
        <w:t>年</w:t>
      </w:r>
      <w:r>
        <w:rPr>
          <w:lang w:eastAsia="zh-CN"/>
        </w:rPr>
        <w:t>4</w:t>
      </w:r>
      <w:r>
        <w:rPr>
          <w:lang w:eastAsia="zh-CN"/>
        </w:rPr>
        <w:t>月，联交所将新昌的股份作停牌处理。</w:t>
      </w:r>
      <w:r>
        <w:rPr>
          <w:lang w:eastAsia="zh-CN"/>
        </w:rPr>
        <w:t>2019</w:t>
      </w:r>
      <w:r>
        <w:rPr>
          <w:lang w:eastAsia="zh-CN"/>
        </w:rPr>
        <w:t>年</w:t>
      </w:r>
      <w:r>
        <w:rPr>
          <w:lang w:eastAsia="zh-CN"/>
        </w:rPr>
        <w:t>12</w:t>
      </w:r>
      <w:r>
        <w:rPr>
          <w:lang w:eastAsia="zh-CN"/>
        </w:rPr>
        <w:t>月</w:t>
      </w:r>
      <w:r>
        <w:rPr>
          <w:lang w:eastAsia="zh-CN"/>
        </w:rPr>
        <w:t>31</w:t>
      </w:r>
      <w:r>
        <w:rPr>
          <w:lang w:eastAsia="zh-CN"/>
        </w:rPr>
        <w:t>日，鉴于新昌公司未能于规定日期或之前复牌，联交所根据《上市规则》第</w:t>
      </w:r>
      <w:r>
        <w:rPr>
          <w:lang w:eastAsia="zh-CN"/>
        </w:rPr>
        <w:t>6.01A</w:t>
      </w:r>
      <w:r>
        <w:rPr>
          <w:lang w:eastAsia="zh-CN"/>
        </w:rPr>
        <w:t>条规定</w:t>
      </w:r>
      <w:hyperlink r:id="rId12">
        <w:r>
          <w:rPr>
            <w:lang w:eastAsia="zh-CN"/>
          </w:rPr>
          <w:t>取消新昌公司股份在联交所的上市地位</w:t>
        </w:r>
      </w:hyperlink>
      <w:r>
        <w:rPr>
          <w:lang w:eastAsia="zh-CN"/>
        </w:rPr>
        <w:t>。</w:t>
      </w:r>
    </w:p>
    <w:p w:rsidR="00E675D1" w:rsidRDefault="00C07B73">
      <w:pPr>
        <w:pStyle w:val="BodyText"/>
        <w:rPr>
          <w:lang w:eastAsia="zh-CN"/>
        </w:rPr>
      </w:pPr>
      <w:r>
        <w:rPr>
          <w:lang w:eastAsia="zh-CN"/>
        </w:rPr>
        <w:t>联交所的《纪律行动声明》载列于</w:t>
      </w:r>
      <w:hyperlink r:id="rId13">
        <w:r>
          <w:rPr>
            <w:lang w:eastAsia="zh-CN"/>
          </w:rPr>
          <w:t>此处</w:t>
        </w:r>
      </w:hyperlink>
      <w:r>
        <w:rPr>
          <w:lang w:eastAsia="zh-CN"/>
        </w:rPr>
        <w:t>。</w:t>
      </w:r>
    </w:p>
    <w:p w:rsidR="00E675D1" w:rsidRDefault="00C07B73">
      <w:pPr>
        <w:pStyle w:val="BodyText"/>
        <w:rPr>
          <w:lang w:eastAsia="zh-CN"/>
        </w:rPr>
      </w:pPr>
      <w:r>
        <w:rPr>
          <w:lang w:eastAsia="zh-CN"/>
        </w:rPr>
        <w:t>须予披露的关连交</w:t>
      </w:r>
      <w:r>
        <w:rPr>
          <w:lang w:eastAsia="zh-CN"/>
        </w:rPr>
        <w:t>易</w:t>
      </w:r>
    </w:p>
    <w:p w:rsidR="00E675D1" w:rsidRDefault="00C07B73">
      <w:pPr>
        <w:pStyle w:val="BodyText"/>
        <w:rPr>
          <w:lang w:eastAsia="zh-CN"/>
        </w:rPr>
      </w:pPr>
      <w:r>
        <w:rPr>
          <w:lang w:eastAsia="zh-CN"/>
        </w:rPr>
        <w:t>2016</w:t>
      </w:r>
      <w:r>
        <w:rPr>
          <w:lang w:eastAsia="zh-CN"/>
        </w:rPr>
        <w:t>年，新昌公司订立了一系列交易：</w:t>
      </w:r>
      <w:r>
        <w:rPr>
          <w:lang w:eastAsia="zh-CN"/>
        </w:rPr>
        <w:t>(i)</w:t>
      </w:r>
      <w:r>
        <w:rPr>
          <w:lang w:eastAsia="zh-CN"/>
        </w:rPr>
        <w:t>售后回租协议，以</w:t>
      </w:r>
      <w:r>
        <w:rPr>
          <w:lang w:eastAsia="zh-CN"/>
        </w:rPr>
        <w:t>5</w:t>
      </w:r>
      <w:r>
        <w:rPr>
          <w:lang w:eastAsia="zh-CN"/>
        </w:rPr>
        <w:t>亿元人民币向周先生的相关公司收购两项物业，新昌公司依据该协议支付首期收购款项</w:t>
      </w:r>
      <w:r>
        <w:rPr>
          <w:lang w:eastAsia="zh-CN"/>
        </w:rPr>
        <w:t>1.29</w:t>
      </w:r>
      <w:r>
        <w:rPr>
          <w:lang w:eastAsia="zh-CN"/>
        </w:rPr>
        <w:t>亿元人民币；及</w:t>
      </w:r>
      <w:r>
        <w:rPr>
          <w:lang w:eastAsia="zh-CN"/>
        </w:rPr>
        <w:t>(ii)</w:t>
      </w:r>
      <w:r>
        <w:rPr>
          <w:lang w:eastAsia="zh-CN"/>
        </w:rPr>
        <w:t>与周先生的另一家相关公司订立翻新合作协议，以翻新有关物业，新昌公司依据该协议支付</w:t>
      </w:r>
      <w:r>
        <w:rPr>
          <w:lang w:eastAsia="zh-CN"/>
        </w:rPr>
        <w:t>2.475</w:t>
      </w:r>
      <w:r>
        <w:rPr>
          <w:lang w:eastAsia="zh-CN"/>
        </w:rPr>
        <w:t>亿元人民币。两项协议均已于其后终止，而新昌公司支付的上述两笔款项各被视为向周先生的相关公司作出的贷款。</w:t>
      </w:r>
    </w:p>
    <w:p w:rsidR="00E675D1" w:rsidRDefault="00C07B73">
      <w:pPr>
        <w:pStyle w:val="BodyText"/>
        <w:rPr>
          <w:lang w:eastAsia="zh-CN"/>
        </w:rPr>
      </w:pPr>
      <w:r>
        <w:rPr>
          <w:lang w:eastAsia="zh-CN"/>
        </w:rPr>
        <w:lastRenderedPageBreak/>
        <w:t>根据联交所《上市规则》，该等交易构成须予披露的关连交易。但是，新昌公司并未遵守相关汇报、公告、通函及股东批准规定。该公司直至</w:t>
      </w:r>
      <w:r>
        <w:rPr>
          <w:lang w:eastAsia="zh-CN"/>
        </w:rPr>
        <w:t>2017</w:t>
      </w:r>
      <w:r>
        <w:rPr>
          <w:lang w:eastAsia="zh-CN"/>
        </w:rPr>
        <w:t>年</w:t>
      </w:r>
      <w:r>
        <w:rPr>
          <w:lang w:eastAsia="zh-CN"/>
        </w:rPr>
        <w:t>3</w:t>
      </w:r>
      <w:r>
        <w:rPr>
          <w:lang w:eastAsia="zh-CN"/>
        </w:rPr>
        <w:t>月</w:t>
      </w:r>
      <w:r>
        <w:rPr>
          <w:lang w:eastAsia="zh-CN"/>
        </w:rPr>
        <w:t>31</w:t>
      </w:r>
      <w:r>
        <w:rPr>
          <w:lang w:eastAsia="zh-CN"/>
        </w:rPr>
        <w:t>日才</w:t>
      </w:r>
      <w:r>
        <w:rPr>
          <w:lang w:eastAsia="zh-CN"/>
        </w:rPr>
        <w:t>公布有关交易。且截至</w:t>
      </w:r>
      <w:r>
        <w:rPr>
          <w:lang w:eastAsia="zh-CN"/>
        </w:rPr>
        <w:t>2019</w:t>
      </w:r>
      <w:r>
        <w:rPr>
          <w:lang w:eastAsia="zh-CN"/>
        </w:rPr>
        <w:t>年</w:t>
      </w:r>
      <w:r>
        <w:rPr>
          <w:lang w:eastAsia="zh-CN"/>
        </w:rPr>
        <w:t>12</w:t>
      </w:r>
      <w:r>
        <w:rPr>
          <w:lang w:eastAsia="zh-CN"/>
        </w:rPr>
        <w:t>月</w:t>
      </w:r>
      <w:r>
        <w:rPr>
          <w:lang w:eastAsia="zh-CN"/>
        </w:rPr>
        <w:t>31</w:t>
      </w:r>
      <w:r>
        <w:rPr>
          <w:lang w:eastAsia="zh-CN"/>
        </w:rPr>
        <w:t>日（该公司除牌日期），新昌公司仍未向其股东发出通函。联交所的《纪律行动声明》指出：售后回租协议并无商业理据。尤其是：</w:t>
      </w:r>
      <w:r>
        <w:rPr>
          <w:lang w:eastAsia="zh-CN"/>
        </w:rPr>
        <w:t>(i)</w:t>
      </w:r>
      <w:r>
        <w:rPr>
          <w:lang w:eastAsia="zh-CN"/>
        </w:rPr>
        <w:t>为期</w:t>
      </w:r>
      <w:r>
        <w:rPr>
          <w:lang w:eastAsia="zh-CN"/>
        </w:rPr>
        <w:t>8</w:t>
      </w:r>
      <w:r>
        <w:rPr>
          <w:lang w:eastAsia="zh-CN"/>
        </w:rPr>
        <w:t>年的回租条款准许周先生的相关公司以总租金</w:t>
      </w:r>
      <w:r>
        <w:rPr>
          <w:lang w:eastAsia="zh-CN"/>
        </w:rPr>
        <w:t>2.035</w:t>
      </w:r>
      <w:r>
        <w:rPr>
          <w:lang w:eastAsia="zh-CN"/>
        </w:rPr>
        <w:t>亿元人民币租赁有关物业（低于新昌购买价的一半）；及</w:t>
      </w:r>
      <w:r>
        <w:rPr>
          <w:lang w:eastAsia="zh-CN"/>
        </w:rPr>
        <w:t>(ii)</w:t>
      </w:r>
      <w:r>
        <w:rPr>
          <w:lang w:eastAsia="zh-CN"/>
        </w:rPr>
        <w:t>新昌公司须遵守一项回购条文规定，即其须于</w:t>
      </w:r>
      <w:r>
        <w:rPr>
          <w:lang w:eastAsia="zh-CN"/>
        </w:rPr>
        <w:t>8</w:t>
      </w:r>
      <w:r>
        <w:rPr>
          <w:lang w:eastAsia="zh-CN"/>
        </w:rPr>
        <w:t>年回租期届满后以</w:t>
      </w:r>
      <w:r>
        <w:rPr>
          <w:lang w:eastAsia="zh-CN"/>
        </w:rPr>
        <w:t>100</w:t>
      </w:r>
      <w:r>
        <w:rPr>
          <w:lang w:eastAsia="zh-CN"/>
        </w:rPr>
        <w:t>元人民币的代价将有关物业归还予周先生的相关公司。</w:t>
      </w:r>
    </w:p>
    <w:p w:rsidR="00E675D1" w:rsidRDefault="00C07B73">
      <w:pPr>
        <w:pStyle w:val="BodyText"/>
        <w:rPr>
          <w:lang w:eastAsia="zh-CN"/>
        </w:rPr>
      </w:pPr>
      <w:r>
        <w:rPr>
          <w:lang w:eastAsia="zh-CN"/>
        </w:rPr>
        <w:t>周先生为有关交易的唯一批准人。新昌公司订立有关交易前他并未通知新昌的董事会，亦未有寻求董事会批准有关交易或披露其于有关交易</w:t>
      </w:r>
      <w:r>
        <w:rPr>
          <w:lang w:eastAsia="zh-CN"/>
        </w:rPr>
        <w:t>中的个人利益。其他</w:t>
      </w:r>
      <w:r>
        <w:rPr>
          <w:lang w:eastAsia="zh-CN"/>
        </w:rPr>
        <w:t>6</w:t>
      </w:r>
      <w:r>
        <w:rPr>
          <w:lang w:eastAsia="zh-CN"/>
        </w:rPr>
        <w:t>名董事表示其并不知悉有关交易，有关交易是直至新昌公司核数师编备</w:t>
      </w:r>
      <w:r>
        <w:rPr>
          <w:lang w:eastAsia="zh-CN"/>
        </w:rPr>
        <w:t>2016</w:t>
      </w:r>
      <w:r>
        <w:rPr>
          <w:lang w:eastAsia="zh-CN"/>
        </w:rPr>
        <w:t>年年度业绩期间，才由新昌公司核数师发现。有关交易被作为审核问题提出，而截至</w:t>
      </w:r>
      <w:r>
        <w:rPr>
          <w:lang w:eastAsia="zh-CN"/>
        </w:rPr>
        <w:t>2016</w:t>
      </w:r>
      <w:r>
        <w:rPr>
          <w:lang w:eastAsia="zh-CN"/>
        </w:rPr>
        <w:t>年</w:t>
      </w:r>
      <w:r>
        <w:rPr>
          <w:lang w:eastAsia="zh-CN"/>
        </w:rPr>
        <w:t>12</w:t>
      </w:r>
      <w:r>
        <w:rPr>
          <w:lang w:eastAsia="zh-CN"/>
        </w:rPr>
        <w:t>月</w:t>
      </w:r>
      <w:r>
        <w:rPr>
          <w:lang w:eastAsia="zh-CN"/>
        </w:rPr>
        <w:t>31</w:t>
      </w:r>
      <w:r>
        <w:rPr>
          <w:lang w:eastAsia="zh-CN"/>
        </w:rPr>
        <w:t>日止</w:t>
      </w:r>
      <w:r>
        <w:rPr>
          <w:lang w:eastAsia="zh-CN"/>
        </w:rPr>
        <w:t>3</w:t>
      </w:r>
      <w:r>
        <w:rPr>
          <w:lang w:eastAsia="zh-CN"/>
        </w:rPr>
        <w:t>年的年度年报因此被核数师发出无法表示意见声明。</w:t>
      </w:r>
    </w:p>
    <w:p w:rsidR="00E675D1" w:rsidRDefault="00C07B73">
      <w:pPr>
        <w:pStyle w:val="BodyText"/>
        <w:rPr>
          <w:lang w:eastAsia="zh-CN"/>
        </w:rPr>
      </w:pPr>
      <w:r>
        <w:rPr>
          <w:lang w:eastAsia="zh-CN"/>
        </w:rPr>
        <w:t>截至</w:t>
      </w:r>
      <w:r>
        <w:rPr>
          <w:lang w:eastAsia="zh-CN"/>
        </w:rPr>
        <w:t>2017</w:t>
      </w:r>
      <w:r>
        <w:rPr>
          <w:lang w:eastAsia="zh-CN"/>
        </w:rPr>
        <w:t>年年报日期（</w:t>
      </w:r>
      <w:r>
        <w:rPr>
          <w:lang w:eastAsia="zh-CN"/>
        </w:rPr>
        <w:t>2018</w:t>
      </w:r>
      <w:r>
        <w:rPr>
          <w:lang w:eastAsia="zh-CN"/>
        </w:rPr>
        <w:t>年</w:t>
      </w:r>
      <w:r>
        <w:rPr>
          <w:lang w:eastAsia="zh-CN"/>
        </w:rPr>
        <w:t>3</w:t>
      </w:r>
      <w:r>
        <w:rPr>
          <w:lang w:eastAsia="zh-CN"/>
        </w:rPr>
        <w:t>月</w:t>
      </w:r>
      <w:r>
        <w:rPr>
          <w:lang w:eastAsia="zh-CN"/>
        </w:rPr>
        <w:t>23</w:t>
      </w:r>
      <w:r>
        <w:rPr>
          <w:lang w:eastAsia="zh-CN"/>
        </w:rPr>
        <w:t>日），有关贷款仍未偿清。</w:t>
      </w:r>
    </w:p>
    <w:p w:rsidR="00E675D1" w:rsidRDefault="00C07B73">
      <w:pPr>
        <w:pStyle w:val="BodyText"/>
        <w:rPr>
          <w:lang w:eastAsia="zh-CN"/>
        </w:rPr>
      </w:pPr>
      <w:r>
        <w:rPr>
          <w:lang w:eastAsia="zh-CN"/>
        </w:rPr>
        <w:t>财务汇报延误</w:t>
      </w:r>
    </w:p>
    <w:p w:rsidR="00E675D1" w:rsidRDefault="00C07B73">
      <w:pPr>
        <w:pStyle w:val="BodyText"/>
        <w:rPr>
          <w:lang w:eastAsia="zh-CN"/>
        </w:rPr>
      </w:pPr>
      <w:r>
        <w:rPr>
          <w:lang w:eastAsia="zh-CN"/>
        </w:rPr>
        <w:t>新昌公司亦未有根据联交所《上市规则》及时刊发及／或派发其</w:t>
      </w:r>
      <w:r>
        <w:rPr>
          <w:lang w:eastAsia="zh-CN"/>
        </w:rPr>
        <w:t>2016</w:t>
      </w:r>
      <w:r>
        <w:rPr>
          <w:lang w:eastAsia="zh-CN"/>
        </w:rPr>
        <w:t>年年度业绩及</w:t>
      </w:r>
      <w:r>
        <w:rPr>
          <w:lang w:eastAsia="zh-CN"/>
        </w:rPr>
        <w:t>2017</w:t>
      </w:r>
      <w:r>
        <w:rPr>
          <w:lang w:eastAsia="zh-CN"/>
        </w:rPr>
        <w:t>年年报（分别延迟了</w:t>
      </w:r>
      <w:r>
        <w:rPr>
          <w:lang w:eastAsia="zh-CN"/>
        </w:rPr>
        <w:t>18</w:t>
      </w:r>
      <w:r>
        <w:rPr>
          <w:lang w:eastAsia="zh-CN"/>
        </w:rPr>
        <w:t>日及</w:t>
      </w:r>
      <w:r>
        <w:rPr>
          <w:lang w:eastAsia="zh-CN"/>
        </w:rPr>
        <w:t>17</w:t>
      </w:r>
      <w:r>
        <w:rPr>
          <w:lang w:eastAsia="zh-CN"/>
        </w:rPr>
        <w:t>日）。</w:t>
      </w:r>
    </w:p>
    <w:p w:rsidR="00E675D1" w:rsidRDefault="00C07B73">
      <w:pPr>
        <w:pStyle w:val="BodyText"/>
        <w:rPr>
          <w:lang w:eastAsia="zh-CN"/>
        </w:rPr>
      </w:pPr>
      <w:r>
        <w:rPr>
          <w:lang w:eastAsia="zh-CN"/>
        </w:rPr>
        <w:t>上市公司内部监控不足</w:t>
      </w:r>
    </w:p>
    <w:p w:rsidR="00E675D1" w:rsidRDefault="00C07B73">
      <w:pPr>
        <w:pStyle w:val="BodyText"/>
        <w:rPr>
          <w:lang w:eastAsia="zh-CN"/>
        </w:rPr>
      </w:pPr>
      <w:r>
        <w:rPr>
          <w:lang w:eastAsia="zh-CN"/>
        </w:rPr>
        <w:t>新昌公司承认其于订立有关交易时，就（其中包括）财务汇报、有关须予公布交易及关连交易的联交所《上市规则》合规事宜、批准及汇报交易以及避免利益冲突等方面均缺乏相关内部监控措施。其亦承认正是因为当时内部监控不足而令有关交易未能上报董事会。</w:t>
      </w:r>
    </w:p>
    <w:p w:rsidR="00E675D1" w:rsidRDefault="00C07B73">
      <w:pPr>
        <w:pStyle w:val="BodyText"/>
        <w:rPr>
          <w:lang w:eastAsia="zh-CN"/>
        </w:rPr>
      </w:pPr>
      <w:r>
        <w:rPr>
          <w:lang w:eastAsia="zh-CN"/>
        </w:rPr>
        <w:t>新昌公司对《上市规则》规定的违规事项</w:t>
      </w:r>
    </w:p>
    <w:p w:rsidR="00E675D1" w:rsidRDefault="00C07B73">
      <w:pPr>
        <w:pStyle w:val="BodyText"/>
        <w:rPr>
          <w:lang w:eastAsia="zh-CN"/>
        </w:rPr>
      </w:pPr>
      <w:r>
        <w:rPr>
          <w:lang w:eastAsia="zh-CN"/>
        </w:rPr>
        <w:t>联交所上市委员会裁定新昌公司违反：</w:t>
      </w:r>
    </w:p>
    <w:p w:rsidR="00E675D1" w:rsidRDefault="00C07B73">
      <w:pPr>
        <w:pStyle w:val="Compact"/>
        <w:numPr>
          <w:ilvl w:val="0"/>
          <w:numId w:val="6"/>
        </w:numPr>
        <w:rPr>
          <w:lang w:eastAsia="zh-CN"/>
        </w:rPr>
      </w:pPr>
      <w:r>
        <w:rPr>
          <w:lang w:eastAsia="zh-CN"/>
        </w:rPr>
        <w:t>联交所《上市规则》第</w:t>
      </w:r>
      <w:r>
        <w:rPr>
          <w:lang w:eastAsia="zh-CN"/>
        </w:rPr>
        <w:t>13.46(2)</w:t>
      </w:r>
      <w:r>
        <w:rPr>
          <w:lang w:eastAsia="zh-CN"/>
        </w:rPr>
        <w:t>及</w:t>
      </w:r>
      <w:r>
        <w:rPr>
          <w:lang w:eastAsia="zh-CN"/>
        </w:rPr>
        <w:t>13.49(1)</w:t>
      </w:r>
      <w:r>
        <w:rPr>
          <w:lang w:eastAsia="zh-CN"/>
        </w:rPr>
        <w:t>条订明上市公司刊发或派发初步年度业绩及年报公告的时间；及</w:t>
      </w:r>
    </w:p>
    <w:p w:rsidR="00E675D1" w:rsidRDefault="00C07B73">
      <w:pPr>
        <w:pStyle w:val="Compact"/>
        <w:numPr>
          <w:ilvl w:val="0"/>
          <w:numId w:val="6"/>
        </w:numPr>
        <w:rPr>
          <w:lang w:eastAsia="zh-CN"/>
        </w:rPr>
      </w:pPr>
      <w:r>
        <w:rPr>
          <w:lang w:eastAsia="zh-CN"/>
        </w:rPr>
        <w:t>联交所《上市规则》第</w:t>
      </w:r>
      <w:r>
        <w:rPr>
          <w:lang w:eastAsia="zh-CN"/>
        </w:rPr>
        <w:t>14.34</w:t>
      </w:r>
      <w:r>
        <w:rPr>
          <w:lang w:eastAsia="zh-CN"/>
        </w:rPr>
        <w:t>、</w:t>
      </w:r>
      <w:r>
        <w:rPr>
          <w:lang w:eastAsia="zh-CN"/>
        </w:rPr>
        <w:t>14A.35</w:t>
      </w:r>
      <w:r>
        <w:rPr>
          <w:lang w:eastAsia="zh-CN"/>
        </w:rPr>
        <w:t>、</w:t>
      </w:r>
      <w:r>
        <w:rPr>
          <w:lang w:eastAsia="zh-CN"/>
        </w:rPr>
        <w:t>14A.36</w:t>
      </w:r>
      <w:r>
        <w:rPr>
          <w:lang w:eastAsia="zh-CN"/>
        </w:rPr>
        <w:t>及</w:t>
      </w:r>
      <w:r>
        <w:rPr>
          <w:lang w:eastAsia="zh-CN"/>
        </w:rPr>
        <w:t>14A.46</w:t>
      </w:r>
      <w:r>
        <w:rPr>
          <w:lang w:eastAsia="zh-CN"/>
        </w:rPr>
        <w:t>条规定上市公司须就须</w:t>
      </w:r>
      <w:r>
        <w:rPr>
          <w:lang w:eastAsia="zh-CN"/>
        </w:rPr>
        <w:t>予披露交易及关连交易遵守公告、通函及／或独立股东批准规定。</w:t>
      </w:r>
    </w:p>
    <w:p w:rsidR="00E675D1" w:rsidRDefault="00C07B73">
      <w:pPr>
        <w:pStyle w:val="FirstParagraph"/>
        <w:rPr>
          <w:lang w:eastAsia="zh-CN"/>
        </w:rPr>
      </w:pPr>
      <w:r>
        <w:rPr>
          <w:lang w:eastAsia="zh-CN"/>
        </w:rPr>
        <w:t>董事违反联交所《上市规则》及《承诺》</w:t>
      </w:r>
    </w:p>
    <w:p w:rsidR="00E675D1" w:rsidRDefault="00C07B73">
      <w:pPr>
        <w:pStyle w:val="BodyText"/>
        <w:rPr>
          <w:lang w:eastAsia="zh-CN"/>
        </w:rPr>
      </w:pPr>
      <w:r>
        <w:rPr>
          <w:lang w:eastAsia="zh-CN"/>
        </w:rPr>
        <w:t>根据联交所《上市规则》第</w:t>
      </w:r>
      <w:r>
        <w:rPr>
          <w:lang w:eastAsia="zh-CN"/>
        </w:rPr>
        <w:t>3.08</w:t>
      </w:r>
      <w:r>
        <w:rPr>
          <w:lang w:eastAsia="zh-CN"/>
        </w:rPr>
        <w:t>、</w:t>
      </w:r>
      <w:r>
        <w:rPr>
          <w:lang w:eastAsia="zh-CN"/>
        </w:rPr>
        <w:t>3.16</w:t>
      </w:r>
      <w:r>
        <w:rPr>
          <w:lang w:eastAsia="zh-CN"/>
        </w:rPr>
        <w:t>及</w:t>
      </w:r>
      <w:r>
        <w:rPr>
          <w:lang w:eastAsia="zh-CN"/>
        </w:rPr>
        <w:t>13.04</w:t>
      </w:r>
      <w:r>
        <w:rPr>
          <w:lang w:eastAsia="zh-CN"/>
        </w:rPr>
        <w:t>条，董事会须共同负责管理与经营上市公司业务。其中，《上市规则》第</w:t>
      </w:r>
      <w:r>
        <w:rPr>
          <w:lang w:eastAsia="zh-CN"/>
        </w:rPr>
        <w:t>3.08</w:t>
      </w:r>
      <w:r>
        <w:rPr>
          <w:lang w:eastAsia="zh-CN"/>
        </w:rPr>
        <w:t>条更规定董事须（其中包括）避免潜在及实际的利益和职务冲突（联交所《上市规则》第</w:t>
      </w:r>
      <w:r>
        <w:rPr>
          <w:lang w:eastAsia="zh-CN"/>
        </w:rPr>
        <w:t>3.08(d)</w:t>
      </w:r>
      <w:r>
        <w:rPr>
          <w:lang w:eastAsia="zh-CN"/>
        </w:rPr>
        <w:t>条），亦须以应有的技能、谨慎和勤勉行事，程度相当于别人合理地预期一名具备相同知识及经验，并担任该公司董事职务的人士所应有的程度（联交所《上市规则》第</w:t>
      </w:r>
      <w:r>
        <w:rPr>
          <w:lang w:eastAsia="zh-CN"/>
        </w:rPr>
        <w:t>3.08(f)</w:t>
      </w:r>
      <w:r>
        <w:rPr>
          <w:lang w:eastAsia="zh-CN"/>
        </w:rPr>
        <w:t>条）。联交所《上市规则》第</w:t>
      </w:r>
      <w:r>
        <w:rPr>
          <w:lang w:eastAsia="zh-CN"/>
        </w:rPr>
        <w:t xml:space="preserve"> 3.0</w:t>
      </w:r>
      <w:r>
        <w:rPr>
          <w:lang w:eastAsia="zh-CN"/>
        </w:rPr>
        <w:t>8</w:t>
      </w:r>
      <w:r>
        <w:rPr>
          <w:lang w:eastAsia="zh-CN"/>
        </w:rPr>
        <w:t>条亦要求上市公司董事应积极关心该公司事务，并对该公司业务进行全面理解。该等条文还要求在发现任何欠妥事宜时必须跟进。</w:t>
      </w:r>
    </w:p>
    <w:p w:rsidR="00E675D1" w:rsidRDefault="00C07B73">
      <w:pPr>
        <w:pStyle w:val="BodyText"/>
        <w:rPr>
          <w:lang w:eastAsia="zh-CN"/>
        </w:rPr>
      </w:pPr>
      <w:r>
        <w:rPr>
          <w:lang w:eastAsia="zh-CN"/>
        </w:rPr>
        <w:t>根据联交所《上市规则》所载的《董事的声明及承诺》</w:t>
      </w:r>
      <w:hyperlink w:anchor="footnote-598-1">
        <w:r>
          <w:rPr>
            <w:vertAlign w:val="superscript"/>
            <w:lang w:eastAsia="zh-CN"/>
          </w:rPr>
          <w:t>1</w:t>
        </w:r>
      </w:hyperlink>
      <w:r>
        <w:rPr>
          <w:lang w:eastAsia="zh-CN"/>
        </w:rPr>
        <w:t>，上市公司董事亦须尽力遵守《上巿规则》并尽力促使该公司遵守《上巿规则》。</w:t>
      </w:r>
    </w:p>
    <w:p w:rsidR="00E675D1" w:rsidRDefault="00C07B73">
      <w:pPr>
        <w:pStyle w:val="BodyText"/>
        <w:rPr>
          <w:lang w:eastAsia="zh-CN"/>
        </w:rPr>
      </w:pPr>
      <w:r>
        <w:rPr>
          <w:lang w:eastAsia="zh-CN"/>
        </w:rPr>
        <w:t>上市委员会裁定周先生以下行为违反了联交所《上市规则》第</w:t>
      </w:r>
      <w:r>
        <w:rPr>
          <w:lang w:eastAsia="zh-CN"/>
        </w:rPr>
        <w:t xml:space="preserve"> 3.08(a)</w:t>
      </w:r>
      <w:r>
        <w:rPr>
          <w:lang w:eastAsia="zh-CN"/>
        </w:rPr>
        <w:t>、</w:t>
      </w:r>
      <w:r>
        <w:rPr>
          <w:lang w:eastAsia="zh-CN"/>
        </w:rPr>
        <w:t>(b)</w:t>
      </w:r>
      <w:r>
        <w:rPr>
          <w:lang w:eastAsia="zh-CN"/>
        </w:rPr>
        <w:t>、</w:t>
      </w:r>
      <w:r>
        <w:rPr>
          <w:lang w:eastAsia="zh-CN"/>
        </w:rPr>
        <w:t>(e)</w:t>
      </w:r>
      <w:r>
        <w:rPr>
          <w:lang w:eastAsia="zh-CN"/>
        </w:rPr>
        <w:t>及</w:t>
      </w:r>
      <w:r>
        <w:rPr>
          <w:lang w:eastAsia="zh-CN"/>
        </w:rPr>
        <w:t>(f)</w:t>
      </w:r>
      <w:r>
        <w:rPr>
          <w:lang w:eastAsia="zh-CN"/>
        </w:rPr>
        <w:t>条以及其《声明及承诺》：</w:t>
      </w:r>
    </w:p>
    <w:p w:rsidR="00E675D1" w:rsidRDefault="00C07B73">
      <w:pPr>
        <w:pStyle w:val="Compact"/>
        <w:numPr>
          <w:ilvl w:val="0"/>
          <w:numId w:val="7"/>
        </w:numPr>
        <w:rPr>
          <w:lang w:eastAsia="zh-CN"/>
        </w:rPr>
      </w:pPr>
      <w:r>
        <w:rPr>
          <w:lang w:eastAsia="zh-CN"/>
        </w:rPr>
        <w:t>未有避免实际利益冲突；</w:t>
      </w:r>
    </w:p>
    <w:p w:rsidR="00E675D1" w:rsidRDefault="00C07B73">
      <w:pPr>
        <w:pStyle w:val="Compact"/>
        <w:numPr>
          <w:ilvl w:val="0"/>
          <w:numId w:val="7"/>
        </w:numPr>
        <w:rPr>
          <w:lang w:eastAsia="zh-CN"/>
        </w:rPr>
      </w:pPr>
      <w:r>
        <w:rPr>
          <w:lang w:eastAsia="zh-CN"/>
        </w:rPr>
        <w:t>未有向新昌公司披露其在其相关公司与新昌之间订立的有关</w:t>
      </w:r>
      <w:r>
        <w:rPr>
          <w:lang w:eastAsia="zh-CN"/>
        </w:rPr>
        <w:t>交易中的个人利益；</w:t>
      </w:r>
    </w:p>
    <w:p w:rsidR="00E675D1" w:rsidRDefault="00C07B73">
      <w:pPr>
        <w:pStyle w:val="Compact"/>
        <w:numPr>
          <w:ilvl w:val="0"/>
          <w:numId w:val="7"/>
        </w:numPr>
        <w:rPr>
          <w:lang w:eastAsia="zh-CN"/>
        </w:rPr>
      </w:pPr>
      <w:r>
        <w:rPr>
          <w:lang w:eastAsia="zh-CN"/>
        </w:rPr>
        <w:t>未有真诚善意地按新昌公司及其股东的利益行事；</w:t>
      </w:r>
    </w:p>
    <w:p w:rsidR="00E675D1" w:rsidRDefault="00C07B73">
      <w:pPr>
        <w:pStyle w:val="Compact"/>
        <w:numPr>
          <w:ilvl w:val="0"/>
          <w:numId w:val="7"/>
        </w:numPr>
        <w:rPr>
          <w:lang w:eastAsia="zh-CN"/>
        </w:rPr>
      </w:pPr>
      <w:r>
        <w:rPr>
          <w:lang w:eastAsia="zh-CN"/>
        </w:rPr>
        <w:lastRenderedPageBreak/>
        <w:t>未有按适用法律、规则及规例（包括联交所《上市规则》）进行新昌公司业务；及</w:t>
      </w:r>
    </w:p>
    <w:p w:rsidR="00E675D1" w:rsidRDefault="00C07B73">
      <w:pPr>
        <w:pStyle w:val="Compact"/>
        <w:numPr>
          <w:ilvl w:val="0"/>
          <w:numId w:val="7"/>
        </w:numPr>
        <w:rPr>
          <w:lang w:eastAsia="zh-CN"/>
        </w:rPr>
      </w:pPr>
      <w:r>
        <w:rPr>
          <w:lang w:eastAsia="zh-CN"/>
        </w:rPr>
        <w:t>蓄意不以适当的技能、谨慎和勤勉履行其应承担的董事责任，严重违反《上市规则》规定。</w:t>
      </w:r>
    </w:p>
    <w:p w:rsidR="00E675D1" w:rsidRDefault="00C07B73">
      <w:pPr>
        <w:pStyle w:val="FirstParagraph"/>
      </w:pPr>
      <w:r>
        <w:rPr>
          <w:lang w:eastAsia="zh-CN"/>
        </w:rPr>
        <w:t>其他</w:t>
      </w:r>
      <w:r>
        <w:rPr>
          <w:lang w:eastAsia="zh-CN"/>
        </w:rPr>
        <w:t>6</w:t>
      </w:r>
      <w:r>
        <w:rPr>
          <w:lang w:eastAsia="zh-CN"/>
        </w:rPr>
        <w:t>名董事被发现未有按《上市规则》第</w:t>
      </w:r>
      <w:r>
        <w:rPr>
          <w:lang w:eastAsia="zh-CN"/>
        </w:rPr>
        <w:t xml:space="preserve"> 3.08(f)</w:t>
      </w:r>
      <w:r>
        <w:rPr>
          <w:lang w:eastAsia="zh-CN"/>
        </w:rPr>
        <w:t>条的规定以应有的技能、谨慎和勤勉行事，并违反其《承诺》，未有尽力遵守联交所《上市规则》及尽力促使该公司遵守联交所《上市规则》。</w:t>
      </w:r>
      <w:r>
        <w:t>该等董事未有：</w:t>
      </w:r>
    </w:p>
    <w:p w:rsidR="00E675D1" w:rsidRDefault="00C07B73">
      <w:pPr>
        <w:pStyle w:val="Compact"/>
        <w:numPr>
          <w:ilvl w:val="0"/>
          <w:numId w:val="8"/>
        </w:numPr>
        <w:rPr>
          <w:lang w:eastAsia="zh-CN"/>
        </w:rPr>
      </w:pPr>
      <w:r>
        <w:rPr>
          <w:lang w:eastAsia="zh-CN"/>
        </w:rPr>
        <w:t>积极关注新昌公司的营运状况及财务资产用途；</w:t>
      </w:r>
    </w:p>
    <w:p w:rsidR="00E675D1" w:rsidRDefault="00C07B73">
      <w:pPr>
        <w:pStyle w:val="Compact"/>
        <w:numPr>
          <w:ilvl w:val="0"/>
          <w:numId w:val="8"/>
        </w:numPr>
        <w:rPr>
          <w:lang w:eastAsia="zh-CN"/>
        </w:rPr>
      </w:pPr>
      <w:r>
        <w:rPr>
          <w:lang w:eastAsia="zh-CN"/>
        </w:rPr>
        <w:t>确保该公司在保障公司资产并且识别及汇报重大交易以及处理重大款项等事上有足够及有效的内部监控措施；及</w:t>
      </w:r>
    </w:p>
    <w:p w:rsidR="00E675D1" w:rsidRDefault="00C07B73">
      <w:pPr>
        <w:pStyle w:val="Compact"/>
        <w:numPr>
          <w:ilvl w:val="0"/>
          <w:numId w:val="8"/>
        </w:numPr>
        <w:rPr>
          <w:lang w:eastAsia="zh-CN"/>
        </w:rPr>
      </w:pPr>
      <w:r>
        <w:rPr>
          <w:lang w:eastAsia="zh-CN"/>
        </w:rPr>
        <w:t>确保该公司有足够及有效的内部监控措施，以遵守有关财务汇报和关连交易及须予公布的交易的联交所《上市规则》规定。</w:t>
      </w:r>
    </w:p>
    <w:p w:rsidR="00E675D1" w:rsidRDefault="00C07B73">
      <w:pPr>
        <w:pStyle w:val="FirstParagraph"/>
        <w:rPr>
          <w:lang w:eastAsia="zh-CN"/>
        </w:rPr>
      </w:pPr>
      <w:r>
        <w:rPr>
          <w:lang w:eastAsia="zh-CN"/>
        </w:rPr>
        <w:t>尽管该公司声称其已有若干政策，但其并未适当实施有关政策，亦未有为相关雇员提供培训。</w:t>
      </w:r>
    </w:p>
    <w:p w:rsidR="00E675D1" w:rsidRDefault="00C07B73">
      <w:pPr>
        <w:pStyle w:val="BodyText"/>
        <w:rPr>
          <w:lang w:eastAsia="zh-CN"/>
        </w:rPr>
      </w:pPr>
      <w:r>
        <w:rPr>
          <w:lang w:eastAsia="zh-CN"/>
        </w:rPr>
        <w:t>该个案提示董事们承担积极关注该公司的营运状况及财务资产用途，保障公司资产及确保该公司遵守联交所《上市规则》的责任，以及担负起实施适当控制及风险管理框架的责任。</w:t>
      </w:r>
    </w:p>
    <w:p w:rsidR="00E675D1" w:rsidRDefault="00C07B73">
      <w:pPr>
        <w:pStyle w:val="BodyText"/>
        <w:rPr>
          <w:lang w:eastAsia="zh-CN"/>
        </w:rPr>
      </w:pPr>
      <w:hyperlink w:anchor="footnote-598-1-backlink">
        <w:r>
          <w:rPr>
            <w:lang w:eastAsia="zh-CN"/>
          </w:rPr>
          <w:t>1</w:t>
        </w:r>
      </w:hyperlink>
      <w:r>
        <w:rPr>
          <w:lang w:eastAsia="zh-CN"/>
        </w:rPr>
        <w:t xml:space="preserve"> </w:t>
      </w:r>
      <w:r>
        <w:rPr>
          <w:lang w:eastAsia="zh-CN"/>
        </w:rPr>
        <w:t>载列于联交所《上市规则》附录五</w:t>
      </w:r>
      <w:r>
        <w:rPr>
          <w:lang w:eastAsia="zh-CN"/>
        </w:rPr>
        <w:t xml:space="preserve"> B </w:t>
      </w:r>
      <w:r>
        <w:rPr>
          <w:lang w:eastAsia="zh-CN"/>
        </w:rPr>
        <w:t>的表格中</w:t>
      </w:r>
    </w:p>
    <w:p w:rsidR="00E675D1" w:rsidRDefault="00C07B73">
      <w:pPr>
        <w:pStyle w:val="DisclaimerBold"/>
        <w:rPr>
          <w:lang w:eastAsia="zh-CN"/>
        </w:rPr>
      </w:pPr>
      <w:r>
        <w:rPr>
          <w:lang w:eastAsia="zh-CN"/>
        </w:rPr>
        <w:t>此法讯仅为提供相关资料信息之用，其内容并</w:t>
      </w:r>
    </w:p>
    <w:p w:rsidR="00E675D1" w:rsidRDefault="00C07B73">
      <w:pPr>
        <w:pStyle w:val="Disclaimer"/>
        <w:rPr>
          <w:lang w:eastAsia="zh-CN"/>
        </w:rPr>
      </w:pPr>
      <w:r>
        <w:rPr>
          <w:lang w:eastAsia="zh-CN"/>
        </w:rPr>
        <w:t>不构成法律建议及个案的法律分析。</w:t>
      </w:r>
    </w:p>
    <w:p w:rsidR="00E675D1" w:rsidRDefault="00C07B73">
      <w:pPr>
        <w:pStyle w:val="Disclaimer"/>
        <w:rPr>
          <w:lang w:eastAsia="zh-CN"/>
        </w:rPr>
      </w:pPr>
      <w:r>
        <w:rPr>
          <w:lang w:eastAsia="zh-CN"/>
        </w:rPr>
        <w:t>此法讯的发送并不是为了在易周律师行与用户或浏览者之间建立一种律师与客户之关系。</w:t>
      </w:r>
    </w:p>
    <w:p w:rsidR="00E675D1" w:rsidRDefault="00C07B73">
      <w:pPr>
        <w:pStyle w:val="Disclaimer"/>
        <w:rPr>
          <w:lang w:eastAsia="zh-CN"/>
        </w:rPr>
      </w:pPr>
      <w:r>
        <w:rPr>
          <w:lang w:eastAsia="zh-CN"/>
        </w:rPr>
        <w:t>易周律师行并不对可从互联网获得的任何第三方内容负责。</w:t>
      </w:r>
    </w:p>
    <w:p w:rsidR="00E675D1" w:rsidRDefault="00C07B73">
      <w:pPr>
        <w:pStyle w:val="Disclaimer"/>
        <w:rPr>
          <w:lang w:eastAsia="zh-CN"/>
        </w:rPr>
      </w:pPr>
      <w:r>
        <w:rPr>
          <w:lang w:eastAsia="zh-CN"/>
        </w:rPr>
        <w:t>如你不希望再收到易周法讯，请发送电邮至</w:t>
      </w:r>
      <w:r>
        <w:rPr>
          <w:lang w:eastAsia="zh-CN"/>
        </w:rPr>
        <w:t xml:space="preserve">  </w:t>
      </w:r>
      <w:hyperlink r:id="rId14">
        <w:r>
          <w:rPr>
            <w:lang w:eastAsia="zh-CN"/>
          </w:rPr>
          <w:t>unsubscribe@charltonslaw.com</w:t>
        </w:r>
      </w:hyperlink>
    </w:p>
    <w:p w:rsidR="00E675D1" w:rsidRDefault="00C07B73">
      <w:pPr>
        <w:pStyle w:val="BlackStrips"/>
      </w:pPr>
      <w:r>
        <w:t xml:space="preserve">Charltons - </w:t>
      </w:r>
      <w:r>
        <w:t>香港法律</w:t>
      </w:r>
      <w:r>
        <w:t xml:space="preserve"> - 2022</w:t>
      </w:r>
      <w:r>
        <w:t>年</w:t>
      </w:r>
      <w:r>
        <w:t>10</w:t>
      </w:r>
      <w:r>
        <w:t>月</w:t>
      </w:r>
      <w:r>
        <w:t>18</w:t>
      </w:r>
      <w:r>
        <w:t>日</w:t>
      </w:r>
    </w:p>
    <w:sectPr w:rsidR="00E675D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7B73">
      <w:pPr>
        <w:spacing w:after="0"/>
      </w:pPr>
      <w:r>
        <w:separator/>
      </w:r>
    </w:p>
  </w:endnote>
  <w:endnote w:type="continuationSeparator" w:id="0">
    <w:p w:rsidR="00000000" w:rsidRDefault="00C07B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5D1" w:rsidRDefault="00C07B73">
      <w:r>
        <w:separator/>
      </w:r>
    </w:p>
  </w:footnote>
  <w:footnote w:type="continuationSeparator" w:id="0">
    <w:p w:rsidR="00E675D1" w:rsidRDefault="00C07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7164302"/>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67C0A16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CA3E25E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14A8AE32"/>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86B75"/>
    <w:rsid w:val="00BC48D5"/>
    <w:rsid w:val="00C07B73"/>
    <w:rsid w:val="00C36279"/>
    <w:rsid w:val="00E315A3"/>
    <w:rsid w:val="00E675D1"/>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01DB7"/>
  <w15:docId w15:val="{58FFFACE-3B1C-4BD2-900A-445B4A8FC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TC/assets/components/codes/files-current/zh-hant/codes/the-codes-on-takeovers-and-mergers-and-share-buy-backs/the-codes-on-takeovers-and-mergers-and-share-buy-backs.pdf" TargetMode="External"/><Relationship Id="rId13" Type="http://schemas.openxmlformats.org/officeDocument/2006/relationships/hyperlink" Target="https://www.hkex.com.hk/-/media/HKEX-Market/Listing/Rules-and-Guidance/Disciplinary-and-Enforcement/Disciplinary-Sanctions/2022/220411_SoDA_c.pdf" TargetMode="External"/><Relationship Id="rId3" Type="http://schemas.openxmlformats.org/officeDocument/2006/relationships/settings" Target="settings.xml"/><Relationship Id="rId7" Type="http://schemas.openxmlformats.org/officeDocument/2006/relationships/hyperlink" Target="http://www.charltonslaw.com.cn/xiang-gang-zheng-jian-hui-ji-xiang-gang-jiao-yi-suo-yu-2022nian-4yue-fen-cai-qu-de-ji-lu-xing-dong" TargetMode="External"/><Relationship Id="rId12" Type="http://schemas.openxmlformats.org/officeDocument/2006/relationships/hyperlink" Target="https://www.hkex.com.hk/News/Regulatory-Announcements/2019/191227news?sc_lang=zh-H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s.sfc.hk/edistributionWeb/api/news/openAppendix?lang=TC&amp;refNo=22PR25&amp;appendix=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fc.hk/-/media/TC/assets/components/codes/files-current/Code_of_conduct_05082022_Chi.pdf" TargetMode="External"/><Relationship Id="rId4" Type="http://schemas.openxmlformats.org/officeDocument/2006/relationships/webSettings" Target="webSettings.xml"/><Relationship Id="rId9" Type="http://schemas.openxmlformats.org/officeDocument/2006/relationships/hyperlink" Target="https://www.sfc.hk/-/media/EN/files/CF/pdf/Public_censure/Executive-statement_CHI-20220407.pdf" TargetMode="External"/><Relationship Id="rId14" Type="http://schemas.openxmlformats.org/officeDocument/2006/relationships/hyperlink" Target="mailto:unsubscribe@charltonslaw.com?subject=unsubscribe%20-Hong%20Kong%20La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1274</Words>
  <Characters>7262</Characters>
  <Application>Microsoft Office Word</Application>
  <DocSecurity>0</DocSecurity>
  <Lines>60</Lines>
  <Paragraphs>17</Paragraphs>
  <ScaleCrop>false</ScaleCrop>
  <Company>Charltons</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2022-10-18T09:36:00Z</dcterms:created>
  <dcterms:modified xsi:type="dcterms:W3CDTF">2022-10-18T09:37:00Z</dcterms:modified>
</cp:coreProperties>
</file>