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65" w:rsidRDefault="00C03C1A">
      <w:pPr>
        <w:pStyle w:val="BlackStrips"/>
      </w:pPr>
      <w:r>
        <w:t xml:space="preserve">Charltons - </w:t>
      </w:r>
      <w:r>
        <w:t>香港法律</w:t>
      </w:r>
      <w:r>
        <w:t xml:space="preserve"> - 2022</w:t>
      </w:r>
      <w:r>
        <w:t>年</w:t>
      </w:r>
      <w:r>
        <w:t>12</w:t>
      </w:r>
      <w:r>
        <w:t>月</w:t>
      </w:r>
      <w:r>
        <w:t>28</w:t>
      </w:r>
      <w:r>
        <w:t>日</w:t>
      </w:r>
    </w:p>
    <w:p w:rsidR="000F5865" w:rsidRDefault="00C03C1A">
      <w:pPr>
        <w:pStyle w:val="ReadOnline"/>
        <w:rPr>
          <w:lang w:eastAsia="zh-CN"/>
        </w:rPr>
      </w:pPr>
      <w:hyperlink r:id="rId7">
        <w:r>
          <w:rPr>
            <w:lang w:eastAsia="zh-CN"/>
          </w:rPr>
          <w:t>online version</w:t>
        </w:r>
      </w:hyperlink>
    </w:p>
    <w:p w:rsidR="000F5865" w:rsidRDefault="00C03C1A">
      <w:pPr>
        <w:pStyle w:val="Title"/>
        <w:rPr>
          <w:lang w:eastAsia="zh-CN"/>
        </w:rPr>
      </w:pPr>
      <w:r>
        <w:rPr>
          <w:lang w:eastAsia="zh-CN"/>
        </w:rPr>
        <w:t>香港证监会建议对《证券及期货条例》执法制度作重大修订</w:t>
      </w:r>
    </w:p>
    <w:p w:rsidR="000F5865" w:rsidRDefault="00C03C1A">
      <w:pPr>
        <w:pStyle w:val="FirstParagraph"/>
        <w:rPr>
          <w:lang w:eastAsia="zh-CN"/>
        </w:rPr>
      </w:pPr>
      <w:r>
        <w:rPr>
          <w:lang w:eastAsia="zh-CN"/>
        </w:rPr>
        <w:t>2022</w:t>
      </w:r>
      <w:r>
        <w:rPr>
          <w:lang w:eastAsia="zh-CN"/>
        </w:rPr>
        <w:t>年</w:t>
      </w:r>
      <w:r>
        <w:rPr>
          <w:lang w:eastAsia="zh-CN"/>
        </w:rPr>
        <w:t>6</w:t>
      </w:r>
      <w:r>
        <w:rPr>
          <w:lang w:eastAsia="zh-CN"/>
        </w:rPr>
        <w:t>月</w:t>
      </w:r>
      <w:r>
        <w:rPr>
          <w:lang w:eastAsia="zh-CN"/>
        </w:rPr>
        <w:t>10</w:t>
      </w:r>
      <w:r>
        <w:rPr>
          <w:lang w:eastAsia="zh-CN"/>
        </w:rPr>
        <w:t>日，证券及期货事务监察委员会（</w:t>
      </w:r>
      <w:r>
        <w:rPr>
          <w:b/>
          <w:lang w:eastAsia="zh-CN"/>
        </w:rPr>
        <w:t>证监会</w:t>
      </w:r>
      <w:r>
        <w:rPr>
          <w:lang w:eastAsia="zh-CN"/>
        </w:rPr>
        <w:t>）推出了一项为期</w:t>
      </w:r>
      <w:r>
        <w:rPr>
          <w:lang w:eastAsia="zh-CN"/>
        </w:rPr>
        <w:t>2</w:t>
      </w:r>
      <w:r>
        <w:rPr>
          <w:lang w:eastAsia="zh-CN"/>
        </w:rPr>
        <w:t>个月的咨询，主题是关于建议修订《证券及期货条例》内与执法相关的条文。</w:t>
      </w:r>
    </w:p>
    <w:p w:rsidR="000F5865" w:rsidRDefault="00C03C1A">
      <w:pPr>
        <w:pStyle w:val="BodyText"/>
        <w:rPr>
          <w:lang w:eastAsia="zh-CN"/>
        </w:rPr>
      </w:pPr>
      <w:r>
        <w:rPr>
          <w:lang w:eastAsia="zh-CN"/>
        </w:rPr>
        <w:t>该</w:t>
      </w:r>
      <w:hyperlink r:id="rId8">
        <w:r>
          <w:rPr>
            <w:lang w:eastAsia="zh-CN"/>
          </w:rPr>
          <w:t>咨询文件</w:t>
        </w:r>
      </w:hyperlink>
      <w:r>
        <w:rPr>
          <w:lang w:eastAsia="zh-CN"/>
        </w:rPr>
        <w:t>中的建议影响深远，包含以下</w:t>
      </w:r>
      <w:r>
        <w:rPr>
          <w:lang w:eastAsia="zh-CN"/>
        </w:rPr>
        <w:t>3</w:t>
      </w:r>
      <w:r>
        <w:rPr>
          <w:lang w:eastAsia="zh-CN"/>
        </w:rPr>
        <w:t>项主要建议：</w:t>
      </w:r>
    </w:p>
    <w:p w:rsidR="000F5865" w:rsidRDefault="00C03C1A">
      <w:pPr>
        <w:pStyle w:val="Compact"/>
        <w:numPr>
          <w:ilvl w:val="0"/>
          <w:numId w:val="3"/>
        </w:numPr>
        <w:rPr>
          <w:lang w:eastAsia="zh-CN"/>
        </w:rPr>
      </w:pPr>
      <w:r>
        <w:rPr>
          <w:lang w:eastAsia="zh-CN"/>
        </w:rPr>
        <w:t>修订《证券及期货条例》第</w:t>
      </w:r>
      <w:r>
        <w:rPr>
          <w:lang w:eastAsia="zh-CN"/>
        </w:rPr>
        <w:t>213</w:t>
      </w:r>
      <w:r>
        <w:rPr>
          <w:lang w:eastAsia="zh-CN"/>
        </w:rPr>
        <w:t>条，使证监会在根据《证券及期货条例》第</w:t>
      </w:r>
      <w:r>
        <w:rPr>
          <w:lang w:eastAsia="zh-CN"/>
        </w:rPr>
        <w:t>194</w:t>
      </w:r>
      <w:r>
        <w:rPr>
          <w:lang w:eastAsia="zh-CN"/>
        </w:rPr>
        <w:t>或</w:t>
      </w:r>
      <w:r>
        <w:rPr>
          <w:lang w:eastAsia="zh-CN"/>
        </w:rPr>
        <w:t>196</w:t>
      </w:r>
      <w:r>
        <w:rPr>
          <w:lang w:eastAsia="zh-CN"/>
        </w:rPr>
        <w:t>条对某受证监会规管人士行使任何权</w:t>
      </w:r>
      <w:r>
        <w:rPr>
          <w:lang w:eastAsia="zh-CN"/>
        </w:rPr>
        <w:t>力后，能够向原讼法庭申请作出强制令及其他命令（包括投资者补偿命令）。该项修订影响重大。一旦实施，可以准许原讼法庭要求获证监会发牌或者在证监会注册的人员（例如首次公开发售保荐人）在违反证监会守则条文及指引的情况下补偿投资者；</w:t>
      </w:r>
    </w:p>
    <w:p w:rsidR="000F5865" w:rsidRDefault="00C03C1A">
      <w:pPr>
        <w:pStyle w:val="Compact"/>
        <w:numPr>
          <w:ilvl w:val="0"/>
          <w:numId w:val="3"/>
        </w:numPr>
        <w:rPr>
          <w:lang w:eastAsia="zh-CN"/>
        </w:rPr>
      </w:pPr>
      <w:r>
        <w:rPr>
          <w:lang w:eastAsia="zh-CN"/>
        </w:rPr>
        <w:t>修订《证券及期货条例》第</w:t>
      </w:r>
      <w:r>
        <w:rPr>
          <w:lang w:eastAsia="zh-CN"/>
        </w:rPr>
        <w:t>103(3)(k)</w:t>
      </w:r>
      <w:r>
        <w:rPr>
          <w:lang w:eastAsia="zh-CN"/>
        </w:rPr>
        <w:t>条所载对专业投资者的豁免，务求使有关豁免仅适用于投资产品广告，而该广告仅可向事先已获中介人透过其认识你的客户及相关程序识别为专业投资者的专业投资者发出。同时会对针对仅出售予或者意图仅出售予在香港以外人员的投资产品的第</w:t>
      </w:r>
      <w:r>
        <w:rPr>
          <w:lang w:eastAsia="zh-CN"/>
        </w:rPr>
        <w:t>103(3)(j)</w:t>
      </w:r>
      <w:r>
        <w:rPr>
          <w:lang w:eastAsia="zh-CN"/>
        </w:rPr>
        <w:t>条作出相同的</w:t>
      </w:r>
      <w:r>
        <w:rPr>
          <w:lang w:eastAsia="zh-CN"/>
        </w:rPr>
        <w:t>修订；及</w:t>
      </w:r>
    </w:p>
    <w:p w:rsidR="000F5865" w:rsidRDefault="00C03C1A">
      <w:pPr>
        <w:pStyle w:val="Compact"/>
        <w:numPr>
          <w:ilvl w:val="0"/>
          <w:numId w:val="3"/>
        </w:numPr>
        <w:rPr>
          <w:lang w:eastAsia="zh-CN"/>
        </w:rPr>
      </w:pPr>
      <w:r>
        <w:rPr>
          <w:lang w:eastAsia="zh-CN"/>
        </w:rPr>
        <w:t>扩阔《证券及期货条例》下内幕交易条文的范围，以涵盖：</w:t>
      </w:r>
      <w:r>
        <w:rPr>
          <w:lang w:eastAsia="zh-CN"/>
        </w:rPr>
        <w:t>(i)</w:t>
      </w:r>
      <w:r>
        <w:rPr>
          <w:lang w:eastAsia="zh-CN"/>
        </w:rPr>
        <w:t>在香港就于境外证券市场上市的证券或其衍生工具进行的内幕交易；及</w:t>
      </w:r>
      <w:r>
        <w:rPr>
          <w:lang w:eastAsia="zh-CN"/>
        </w:rPr>
        <w:t>(ii)</w:t>
      </w:r>
      <w:r>
        <w:rPr>
          <w:lang w:eastAsia="zh-CN"/>
        </w:rPr>
        <w:t>在香港以外地方进行的内幕交易，前提是当中涉及在上市的任何证券或其衍生工具。</w:t>
      </w:r>
    </w:p>
    <w:p w:rsidR="000F5865" w:rsidRDefault="00C03C1A">
      <w:pPr>
        <w:pStyle w:val="FirstParagraph"/>
        <w:rPr>
          <w:lang w:eastAsia="zh-CN"/>
        </w:rPr>
      </w:pPr>
      <w:r>
        <w:rPr>
          <w:lang w:eastAsia="zh-CN"/>
        </w:rPr>
        <w:t>有关修订建议的意见应于</w:t>
      </w:r>
      <w:r>
        <w:rPr>
          <w:lang w:eastAsia="zh-CN"/>
        </w:rPr>
        <w:t>2022</w:t>
      </w:r>
      <w:r>
        <w:rPr>
          <w:lang w:eastAsia="zh-CN"/>
        </w:rPr>
        <w:t>年</w:t>
      </w:r>
      <w:r>
        <w:rPr>
          <w:lang w:eastAsia="zh-CN"/>
        </w:rPr>
        <w:t>8</w:t>
      </w:r>
      <w:r>
        <w:rPr>
          <w:lang w:eastAsia="zh-CN"/>
        </w:rPr>
        <w:t>月</w:t>
      </w:r>
      <w:r>
        <w:rPr>
          <w:lang w:eastAsia="zh-CN"/>
        </w:rPr>
        <w:t>12</w:t>
      </w:r>
      <w:r>
        <w:rPr>
          <w:lang w:eastAsia="zh-CN"/>
        </w:rPr>
        <w:t>日或之前提交证监会。</w:t>
      </w:r>
    </w:p>
    <w:p w:rsidR="000F5865" w:rsidRDefault="00C03C1A">
      <w:pPr>
        <w:pStyle w:val="BodyText"/>
        <w:rPr>
          <w:lang w:eastAsia="zh-CN"/>
        </w:rPr>
      </w:pPr>
      <w:r>
        <w:rPr>
          <w:lang w:eastAsia="zh-CN"/>
        </w:rPr>
        <w:t>第</w:t>
      </w:r>
      <w:r>
        <w:rPr>
          <w:lang w:eastAsia="zh-CN"/>
        </w:rPr>
        <w:t>1</w:t>
      </w:r>
      <w:r>
        <w:rPr>
          <w:lang w:eastAsia="zh-CN"/>
        </w:rPr>
        <w:t>部分</w:t>
      </w:r>
      <w:r>
        <w:rPr>
          <w:lang w:eastAsia="zh-CN"/>
        </w:rPr>
        <w:t xml:space="preserve"> ─ </w:t>
      </w:r>
      <w:r>
        <w:rPr>
          <w:lang w:eastAsia="zh-CN"/>
        </w:rPr>
        <w:t>对《证券及期货条例》第</w:t>
      </w:r>
      <w:r>
        <w:rPr>
          <w:lang w:eastAsia="zh-CN"/>
        </w:rPr>
        <w:t>213</w:t>
      </w:r>
      <w:r>
        <w:rPr>
          <w:lang w:eastAsia="zh-CN"/>
        </w:rPr>
        <w:t>条作出修订以扩大证监会可针对受规管人士而申请作出补救及其他命令的基础</w:t>
      </w:r>
    </w:p>
    <w:p w:rsidR="000F5865" w:rsidRDefault="00C03C1A">
      <w:pPr>
        <w:pStyle w:val="BodyText"/>
        <w:rPr>
          <w:lang w:eastAsia="zh-CN"/>
        </w:rPr>
      </w:pPr>
      <w:r>
        <w:rPr>
          <w:lang w:eastAsia="zh-CN"/>
        </w:rPr>
        <w:t>证监会建议扩大《证券及期货条例》第</w:t>
      </w:r>
      <w:r>
        <w:rPr>
          <w:lang w:eastAsia="zh-CN"/>
        </w:rPr>
        <w:t>213</w:t>
      </w:r>
      <w:r>
        <w:rPr>
          <w:lang w:eastAsia="zh-CN"/>
        </w:rPr>
        <w:t>条，以便其可以向原讼法庭申请作出强制令及其他命令（包括支付补偿的命令），而证监会已经</w:t>
      </w:r>
      <w:r>
        <w:rPr>
          <w:lang w:eastAsia="zh-CN"/>
        </w:rPr>
        <w:t>根据《证券及期货条例》第</w:t>
      </w:r>
      <w:r>
        <w:rPr>
          <w:lang w:eastAsia="zh-CN"/>
        </w:rPr>
        <w:t>194</w:t>
      </w:r>
      <w:r>
        <w:rPr>
          <w:lang w:eastAsia="zh-CN"/>
        </w:rPr>
        <w:t>或</w:t>
      </w:r>
      <w:r>
        <w:rPr>
          <w:lang w:eastAsia="zh-CN"/>
        </w:rPr>
        <w:t>196</w:t>
      </w:r>
      <w:r>
        <w:rPr>
          <w:lang w:eastAsia="zh-CN"/>
        </w:rPr>
        <w:t>条针对某受规管人士行使其纪律惩处权力。</w:t>
      </w:r>
      <w:hyperlink w:anchor="footnote-598-1">
        <w:r>
          <w:rPr>
            <w:vertAlign w:val="superscript"/>
            <w:lang w:eastAsia="zh-CN"/>
          </w:rPr>
          <w:t>1</w:t>
        </w:r>
      </w:hyperlink>
    </w:p>
    <w:p w:rsidR="000F5865" w:rsidRDefault="00C03C1A">
      <w:pPr>
        <w:pStyle w:val="BodyText"/>
        <w:rPr>
          <w:lang w:eastAsia="zh-CN"/>
        </w:rPr>
      </w:pPr>
      <w:r>
        <w:rPr>
          <w:lang w:eastAsia="zh-CN"/>
        </w:rPr>
        <w:t>《证券及期货条例》第</w:t>
      </w:r>
      <w:r>
        <w:rPr>
          <w:lang w:eastAsia="zh-CN"/>
        </w:rPr>
        <w:t>213</w:t>
      </w:r>
      <w:r>
        <w:rPr>
          <w:lang w:eastAsia="zh-CN"/>
        </w:rPr>
        <w:t>条</w:t>
      </w:r>
    </w:p>
    <w:p w:rsidR="000F5865" w:rsidRDefault="00C03C1A">
      <w:pPr>
        <w:pStyle w:val="BodyText"/>
        <w:rPr>
          <w:lang w:eastAsia="zh-CN"/>
        </w:rPr>
      </w:pPr>
      <w:r>
        <w:rPr>
          <w:lang w:eastAsia="zh-CN"/>
        </w:rPr>
        <w:t>根据现行《证券及期货条例》第</w:t>
      </w:r>
      <w:r>
        <w:rPr>
          <w:lang w:eastAsia="zh-CN"/>
        </w:rPr>
        <w:t>213(1)</w:t>
      </w:r>
      <w:r>
        <w:rPr>
          <w:lang w:eastAsia="zh-CN"/>
        </w:rPr>
        <w:t>条，证监会可向原讼法庭申请作出多项命令，藉以为因他人违反下列规定而受到影响的人士提供补救：</w:t>
      </w:r>
    </w:p>
    <w:p w:rsidR="000F5865" w:rsidRDefault="00C03C1A">
      <w:pPr>
        <w:pStyle w:val="Compact"/>
        <w:numPr>
          <w:ilvl w:val="0"/>
          <w:numId w:val="4"/>
        </w:numPr>
      </w:pPr>
      <w:r>
        <w:t>任何有关条文</w:t>
      </w:r>
      <w:hyperlink w:anchor="footnote-598-2">
        <w:r>
          <w:rPr>
            <w:vertAlign w:val="superscript"/>
          </w:rPr>
          <w:t>2</w:t>
        </w:r>
      </w:hyperlink>
    </w:p>
    <w:p w:rsidR="000F5865" w:rsidRDefault="00C03C1A">
      <w:pPr>
        <w:pStyle w:val="Compact"/>
        <w:numPr>
          <w:ilvl w:val="0"/>
          <w:numId w:val="4"/>
        </w:numPr>
        <w:rPr>
          <w:lang w:eastAsia="zh-CN"/>
        </w:rPr>
      </w:pPr>
      <w:r>
        <w:rPr>
          <w:lang w:eastAsia="zh-CN"/>
        </w:rPr>
        <w:t>根据或依据任何有关条文给予或作出的通知、规定或要求；</w:t>
      </w:r>
    </w:p>
    <w:p w:rsidR="000F5865" w:rsidRDefault="00C03C1A">
      <w:pPr>
        <w:pStyle w:val="Compact"/>
        <w:numPr>
          <w:ilvl w:val="0"/>
          <w:numId w:val="4"/>
        </w:numPr>
        <w:rPr>
          <w:lang w:eastAsia="zh-CN"/>
        </w:rPr>
      </w:pPr>
      <w:r>
        <w:rPr>
          <w:lang w:eastAsia="zh-CN"/>
        </w:rPr>
        <w:t>根据《证券及期货条例》批给的任何牌照或注册的任何条款</w:t>
      </w:r>
      <w:r>
        <w:rPr>
          <w:lang w:eastAsia="zh-CN"/>
        </w:rPr>
        <w:t>或条件；及</w:t>
      </w:r>
    </w:p>
    <w:p w:rsidR="000F5865" w:rsidRDefault="00C03C1A">
      <w:pPr>
        <w:pStyle w:val="Compact"/>
        <w:numPr>
          <w:ilvl w:val="0"/>
          <w:numId w:val="4"/>
        </w:numPr>
        <w:rPr>
          <w:lang w:eastAsia="zh-CN"/>
        </w:rPr>
      </w:pPr>
      <w:r>
        <w:rPr>
          <w:lang w:eastAsia="zh-CN"/>
        </w:rPr>
        <w:t>根据或依据《证券及期货条例》任何条文施加的任何其他条件。</w:t>
      </w:r>
    </w:p>
    <w:p w:rsidR="000F5865" w:rsidRDefault="00C03C1A">
      <w:pPr>
        <w:pStyle w:val="FirstParagraph"/>
        <w:rPr>
          <w:lang w:eastAsia="zh-CN"/>
        </w:rPr>
      </w:pPr>
      <w:r>
        <w:rPr>
          <w:lang w:eastAsia="zh-CN"/>
        </w:rPr>
        <w:t>“</w:t>
      </w:r>
      <w:r>
        <w:rPr>
          <w:lang w:eastAsia="zh-CN"/>
        </w:rPr>
        <w:t>有关条文</w:t>
      </w:r>
      <w:r>
        <w:rPr>
          <w:lang w:eastAsia="zh-CN"/>
        </w:rPr>
        <w:t>”</w:t>
      </w:r>
      <w:r>
        <w:rPr>
          <w:lang w:eastAsia="zh-CN"/>
        </w:rPr>
        <w:t>一词的定义当中包括以下法例中的任何条文：《证券及期货条例》，载列有招股章程制度的《公司（清盘及杂项条文）条例》第</w:t>
      </w:r>
      <w:r>
        <w:rPr>
          <w:lang w:eastAsia="zh-CN"/>
        </w:rPr>
        <w:t>II</w:t>
      </w:r>
      <w:r>
        <w:rPr>
          <w:lang w:eastAsia="zh-CN"/>
        </w:rPr>
        <w:t>部及第</w:t>
      </w:r>
      <w:r>
        <w:rPr>
          <w:lang w:eastAsia="zh-CN"/>
        </w:rPr>
        <w:t>XII</w:t>
      </w:r>
      <w:r>
        <w:rPr>
          <w:lang w:eastAsia="zh-CN"/>
        </w:rPr>
        <w:t>部；《公司条例》第</w:t>
      </w:r>
      <w:r>
        <w:rPr>
          <w:lang w:eastAsia="zh-CN"/>
        </w:rPr>
        <w:t>5</w:t>
      </w:r>
      <w:r>
        <w:rPr>
          <w:lang w:eastAsia="zh-CN"/>
        </w:rPr>
        <w:t>部与公司回购自有股份或者为收购自有股份提供财务援助相关的部分；及《打击洗钱及恐怖分子资金筹集条例》第</w:t>
      </w:r>
      <w:r>
        <w:rPr>
          <w:lang w:eastAsia="zh-CN"/>
        </w:rPr>
        <w:t>2</w:t>
      </w:r>
      <w:r>
        <w:rPr>
          <w:lang w:eastAsia="zh-CN"/>
        </w:rPr>
        <w:t>部（第</w:t>
      </w:r>
      <w:r>
        <w:rPr>
          <w:lang w:eastAsia="zh-CN"/>
        </w:rPr>
        <w:t>6</w:t>
      </w:r>
      <w:r>
        <w:rPr>
          <w:lang w:eastAsia="zh-CN"/>
        </w:rPr>
        <w:t>条除外）。</w:t>
      </w:r>
    </w:p>
    <w:p w:rsidR="000F5865" w:rsidRDefault="00C03C1A">
      <w:pPr>
        <w:pStyle w:val="BodyText"/>
        <w:rPr>
          <w:lang w:eastAsia="zh-CN"/>
        </w:rPr>
      </w:pPr>
      <w:r>
        <w:rPr>
          <w:lang w:eastAsia="zh-CN"/>
        </w:rPr>
        <w:t>根据第</w:t>
      </w:r>
      <w:r>
        <w:rPr>
          <w:lang w:eastAsia="zh-CN"/>
        </w:rPr>
        <w:t>213(2)</w:t>
      </w:r>
      <w:r>
        <w:rPr>
          <w:lang w:eastAsia="zh-CN"/>
        </w:rPr>
        <w:t>条能够作出的命令包括：</w:t>
      </w:r>
    </w:p>
    <w:p w:rsidR="000F5865" w:rsidRDefault="00C03C1A">
      <w:pPr>
        <w:pStyle w:val="Compact"/>
        <w:numPr>
          <w:ilvl w:val="0"/>
          <w:numId w:val="5"/>
        </w:numPr>
        <w:rPr>
          <w:lang w:eastAsia="zh-CN"/>
        </w:rPr>
      </w:pPr>
      <w:r>
        <w:rPr>
          <w:lang w:eastAsia="zh-CN"/>
        </w:rPr>
        <w:t>制止或禁止违反有关条文的命令；</w:t>
      </w:r>
    </w:p>
    <w:p w:rsidR="000F5865" w:rsidRDefault="00C03C1A">
      <w:pPr>
        <w:pStyle w:val="Compact"/>
        <w:numPr>
          <w:ilvl w:val="0"/>
          <w:numId w:val="5"/>
        </w:numPr>
        <w:rPr>
          <w:lang w:eastAsia="zh-CN"/>
        </w:rPr>
      </w:pPr>
      <w:r>
        <w:rPr>
          <w:lang w:eastAsia="zh-CN"/>
        </w:rPr>
        <w:lastRenderedPageBreak/>
        <w:t>饬令某人采取原讼法庭指示的步骤，包括使交易各方回复他们订立交易之前的状况的步骤（</w:t>
      </w:r>
      <w:r>
        <w:rPr>
          <w:b/>
          <w:lang w:eastAsia="zh-CN"/>
        </w:rPr>
        <w:t>回复原</w:t>
      </w:r>
      <w:r>
        <w:rPr>
          <w:b/>
          <w:lang w:eastAsia="zh-CN"/>
        </w:rPr>
        <w:t>状令</w:t>
      </w:r>
      <w:r>
        <w:rPr>
          <w:lang w:eastAsia="zh-CN"/>
        </w:rPr>
        <w:t>）；</w:t>
      </w:r>
    </w:p>
    <w:p w:rsidR="000F5865" w:rsidRDefault="00C03C1A">
      <w:pPr>
        <w:pStyle w:val="Compact"/>
        <w:numPr>
          <w:ilvl w:val="0"/>
          <w:numId w:val="5"/>
        </w:numPr>
        <w:rPr>
          <w:lang w:eastAsia="zh-CN"/>
        </w:rPr>
      </w:pPr>
      <w:r>
        <w:rPr>
          <w:lang w:eastAsia="zh-CN"/>
        </w:rPr>
        <w:t>制止或禁止某人进行某项指明财产的交易的命令；</w:t>
      </w:r>
    </w:p>
    <w:p w:rsidR="000F5865" w:rsidRDefault="00C03C1A">
      <w:pPr>
        <w:pStyle w:val="Compact"/>
        <w:numPr>
          <w:ilvl w:val="0"/>
          <w:numId w:val="5"/>
        </w:numPr>
        <w:rPr>
          <w:lang w:eastAsia="zh-CN"/>
        </w:rPr>
      </w:pPr>
      <w:r>
        <w:rPr>
          <w:lang w:eastAsia="zh-CN"/>
        </w:rPr>
        <w:t>委任财产管理人的命令；</w:t>
      </w:r>
    </w:p>
    <w:p w:rsidR="000F5865" w:rsidRDefault="00C03C1A">
      <w:pPr>
        <w:pStyle w:val="Compact"/>
        <w:numPr>
          <w:ilvl w:val="0"/>
          <w:numId w:val="5"/>
        </w:numPr>
        <w:rPr>
          <w:lang w:eastAsia="zh-CN"/>
        </w:rPr>
      </w:pPr>
      <w:r>
        <w:rPr>
          <w:lang w:eastAsia="zh-CN"/>
        </w:rPr>
        <w:t>宣布某一合约无效或可使无效的命令；及</w:t>
      </w:r>
    </w:p>
    <w:p w:rsidR="000F5865" w:rsidRDefault="00C03C1A">
      <w:pPr>
        <w:pStyle w:val="Compact"/>
        <w:numPr>
          <w:ilvl w:val="0"/>
          <w:numId w:val="5"/>
        </w:numPr>
        <w:rPr>
          <w:lang w:eastAsia="zh-CN"/>
        </w:rPr>
      </w:pPr>
      <w:r>
        <w:rPr>
          <w:lang w:eastAsia="zh-CN"/>
        </w:rPr>
        <w:t>指示某人作出或避免作出任何作为，从而确保所作出的任何其他法庭命令获遵从的命令。</w:t>
      </w:r>
    </w:p>
    <w:p w:rsidR="000F5865" w:rsidRDefault="00C03C1A">
      <w:pPr>
        <w:pStyle w:val="FirstParagraph"/>
        <w:rPr>
          <w:lang w:eastAsia="zh-CN"/>
        </w:rPr>
      </w:pPr>
      <w:r>
        <w:rPr>
          <w:lang w:eastAsia="zh-CN"/>
        </w:rPr>
        <w:t>《证券及期货条例》第</w:t>
      </w:r>
      <w:r>
        <w:rPr>
          <w:lang w:eastAsia="zh-CN"/>
        </w:rPr>
        <w:t>213(8)</w:t>
      </w:r>
      <w:r>
        <w:rPr>
          <w:lang w:eastAsia="zh-CN"/>
        </w:rPr>
        <w:t>条进一步规定，原讼法庭除可根据第</w:t>
      </w:r>
      <w:r>
        <w:rPr>
          <w:lang w:eastAsia="zh-CN"/>
        </w:rPr>
        <w:t>213(1)</w:t>
      </w:r>
      <w:r>
        <w:rPr>
          <w:lang w:eastAsia="zh-CN"/>
        </w:rPr>
        <w:t>条作出命令或者增发命，或另发命令以取代该命令，饬令该人向任何其他人支付损害赔偿。</w:t>
      </w:r>
    </w:p>
    <w:p w:rsidR="000F5865" w:rsidRDefault="00C03C1A">
      <w:pPr>
        <w:pStyle w:val="BodyText"/>
        <w:rPr>
          <w:lang w:eastAsia="zh-CN"/>
        </w:rPr>
      </w:pPr>
      <w:r>
        <w:rPr>
          <w:lang w:eastAsia="zh-CN"/>
        </w:rPr>
        <w:t>证监会之前已经成功获得第</w:t>
      </w:r>
      <w:r>
        <w:rPr>
          <w:lang w:eastAsia="zh-CN"/>
        </w:rPr>
        <w:t>213</w:t>
      </w:r>
      <w:r>
        <w:rPr>
          <w:lang w:eastAsia="zh-CN"/>
        </w:rPr>
        <w:t>条下规定的回复原状令对若干个案中遭受财物损失的投资者作出补偿。鉴于集体诉讼制度的缺乏，寻求对投资者作出补偿已经成为证监会的一项重要方式。例如，在具有里程碑意义的老虎亚洲资产管理公司（</w:t>
      </w:r>
      <w:r w:rsidR="00DF0417">
        <w:rPr>
          <w:lang w:eastAsia="zh-CN"/>
        </w:rPr>
        <w:t xml:space="preserve">Tiger </w:t>
      </w:r>
      <w:r>
        <w:rPr>
          <w:lang w:eastAsia="zh-CN"/>
        </w:rPr>
        <w:t>Asia Management LLC</w:t>
      </w:r>
      <w:r>
        <w:rPr>
          <w:lang w:eastAsia="zh-CN"/>
        </w:rPr>
        <w:t>）一案中，原讼法庭对该公司及其两名高级人员发出回复原状令，要求他们向因其内幕交易而受到影响的投资者支付</w:t>
      </w:r>
      <w:r>
        <w:rPr>
          <w:lang w:eastAsia="zh-CN"/>
        </w:rPr>
        <w:t>4,500</w:t>
      </w:r>
      <w:r>
        <w:rPr>
          <w:lang w:eastAsia="zh-CN"/>
        </w:rPr>
        <w:t>万港元，其对此表示接纳。</w:t>
      </w:r>
      <w:hyperlink w:anchor="footnote-598-3">
        <w:r>
          <w:rPr>
            <w:vertAlign w:val="superscript"/>
            <w:lang w:eastAsia="zh-CN"/>
          </w:rPr>
          <w:t>3</w:t>
        </w:r>
      </w:hyperlink>
      <w:r>
        <w:rPr>
          <w:lang w:eastAsia="zh-CN"/>
        </w:rPr>
        <w:t xml:space="preserve"> </w:t>
      </w:r>
      <w:r>
        <w:rPr>
          <w:lang w:eastAsia="zh-CN"/>
        </w:rPr>
        <w:t>证监会亦针对首次公开发售发行人申请回</w:t>
      </w:r>
      <w:r>
        <w:rPr>
          <w:lang w:eastAsia="zh-CN"/>
        </w:rPr>
        <w:t>复原状令，以赔偿投资者因首次公开发售招股说明书中的虚假或具误导性披露而遭受的损失。</w:t>
      </w:r>
      <w:r>
        <w:rPr>
          <w:lang w:eastAsia="zh-CN"/>
        </w:rPr>
        <w:t>2012</w:t>
      </w:r>
      <w:r>
        <w:rPr>
          <w:lang w:eastAsia="zh-CN"/>
        </w:rPr>
        <w:t>年，原讼法庭针对洪良国际控股有限公司（</w:t>
      </w:r>
      <w:r>
        <w:rPr>
          <w:lang w:eastAsia="zh-CN"/>
        </w:rPr>
        <w:t>Hontex International Holdings Company Limited</w:t>
      </w:r>
      <w:r>
        <w:rPr>
          <w:lang w:eastAsia="zh-CN"/>
        </w:rPr>
        <w:t>）发出一份回复原状令，要求其在承认其已违反《证券及期货条例》第</w:t>
      </w:r>
      <w:r>
        <w:rPr>
          <w:lang w:eastAsia="zh-CN"/>
        </w:rPr>
        <w:t>298</w:t>
      </w:r>
      <w:r>
        <w:rPr>
          <w:lang w:eastAsia="zh-CN"/>
        </w:rPr>
        <w:t>条（禁止发布可能会诱使订立证券交易的虚假或具误导性资料）之后以</w:t>
      </w:r>
      <w:r>
        <w:rPr>
          <w:lang w:eastAsia="zh-CN"/>
        </w:rPr>
        <w:t>10.3</w:t>
      </w:r>
      <w:r>
        <w:rPr>
          <w:lang w:eastAsia="zh-CN"/>
        </w:rPr>
        <w:t>亿港元价格从投资者处回购其首次公开发售股票。不过，鉴于证监会能够冻结留存在洪良公司香港银行账户的于首次公开发售筹集的</w:t>
      </w:r>
      <w:r>
        <w:rPr>
          <w:lang w:eastAsia="zh-CN"/>
        </w:rPr>
        <w:t>10</w:t>
      </w:r>
      <w:r>
        <w:rPr>
          <w:lang w:eastAsia="zh-CN"/>
        </w:rPr>
        <w:t>亿港元中的</w:t>
      </w:r>
      <w:r>
        <w:rPr>
          <w:lang w:eastAsia="zh-CN"/>
        </w:rPr>
        <w:t>8.32</w:t>
      </w:r>
      <w:r>
        <w:rPr>
          <w:lang w:eastAsia="zh-CN"/>
        </w:rPr>
        <w:t>亿港元，洪良个案仍</w:t>
      </w:r>
      <w:r>
        <w:rPr>
          <w:lang w:eastAsia="zh-CN"/>
        </w:rPr>
        <w:t>属异常。之后，控股股东同意补足该款额为该股份回购提供资金支持。</w:t>
      </w:r>
      <w:hyperlink w:anchor="footnote-598-4">
        <w:r>
          <w:rPr>
            <w:vertAlign w:val="superscript"/>
            <w:lang w:eastAsia="zh-CN"/>
          </w:rPr>
          <w:t>4</w:t>
        </w:r>
      </w:hyperlink>
      <w:r>
        <w:rPr>
          <w:lang w:eastAsia="zh-CN"/>
        </w:rPr>
        <w:t xml:space="preserve"> </w:t>
      </w:r>
      <w:r>
        <w:rPr>
          <w:lang w:eastAsia="zh-CN"/>
        </w:rPr>
        <w:t>但是，更为常见的情况是发行人的可回收资产不足以补偿首次公开发售投资者的损失。</w:t>
      </w:r>
    </w:p>
    <w:p w:rsidR="000F5865" w:rsidRDefault="00C03C1A">
      <w:pPr>
        <w:pStyle w:val="BodyText"/>
        <w:rPr>
          <w:lang w:eastAsia="zh-CN"/>
        </w:rPr>
      </w:pPr>
      <w:r>
        <w:rPr>
          <w:lang w:eastAsia="zh-CN"/>
        </w:rPr>
        <w:t>《证券及期货条例》第</w:t>
      </w:r>
      <w:r>
        <w:rPr>
          <w:lang w:eastAsia="zh-CN"/>
        </w:rPr>
        <w:t>213</w:t>
      </w:r>
      <w:r>
        <w:rPr>
          <w:lang w:eastAsia="zh-CN"/>
        </w:rPr>
        <w:t>条的限制</w:t>
      </w:r>
    </w:p>
    <w:p w:rsidR="000F5865" w:rsidRDefault="00C03C1A">
      <w:pPr>
        <w:pStyle w:val="BodyText"/>
        <w:rPr>
          <w:lang w:eastAsia="zh-CN"/>
        </w:rPr>
      </w:pPr>
      <w:r>
        <w:rPr>
          <w:lang w:eastAsia="zh-CN"/>
        </w:rPr>
        <w:t>如某受规管人士被裁定犯失当行为，或根据《证券及期货条例》第</w:t>
      </w:r>
      <w:r>
        <w:rPr>
          <w:lang w:eastAsia="zh-CN"/>
        </w:rPr>
        <w:t>194</w:t>
      </w:r>
      <w:r>
        <w:rPr>
          <w:lang w:eastAsia="zh-CN"/>
        </w:rPr>
        <w:t>条及第</w:t>
      </w:r>
      <w:r>
        <w:rPr>
          <w:lang w:eastAsia="zh-CN"/>
        </w:rPr>
        <w:t>196</w:t>
      </w:r>
      <w:r>
        <w:rPr>
          <w:lang w:eastAsia="zh-CN"/>
        </w:rPr>
        <w:t>条规定并非留任受规管人士的适当人选，则证监会不能申请《证券及期货条例》第</w:t>
      </w:r>
      <w:r>
        <w:rPr>
          <w:lang w:eastAsia="zh-CN"/>
        </w:rPr>
        <w:t>231</w:t>
      </w:r>
      <w:r>
        <w:rPr>
          <w:lang w:eastAsia="zh-CN"/>
        </w:rPr>
        <w:t>条下规定的命令，但是导致该裁定的失当行为同时亦违反上述第</w:t>
      </w:r>
      <w:r>
        <w:rPr>
          <w:lang w:eastAsia="zh-CN"/>
        </w:rPr>
        <w:t>213(1)</w:t>
      </w:r>
      <w:r>
        <w:rPr>
          <w:lang w:eastAsia="zh-CN"/>
        </w:rPr>
        <w:t>条中所述的有关条文，规定或者条件的除</w:t>
      </w:r>
      <w:r>
        <w:rPr>
          <w:lang w:eastAsia="zh-CN"/>
        </w:rPr>
        <w:t>外。这意味着某受规管人士违反证监会有关守则及指引（例如《证监会持牌人及注册人操守指南》（</w:t>
      </w:r>
      <w:r>
        <w:rPr>
          <w:b/>
          <w:lang w:eastAsia="zh-CN"/>
        </w:rPr>
        <w:t>证监会操守指南</w:t>
      </w:r>
      <w:r>
        <w:rPr>
          <w:lang w:eastAsia="zh-CN"/>
        </w:rPr>
        <w:t>））的行为（无论严重与否），如不属第</w:t>
      </w:r>
      <w:r>
        <w:rPr>
          <w:lang w:eastAsia="zh-CN"/>
        </w:rPr>
        <w:t>213(1)</w:t>
      </w:r>
      <w:r>
        <w:rPr>
          <w:lang w:eastAsia="zh-CN"/>
        </w:rPr>
        <w:t>条中载列的情况范围，则现时不能引起一个诉讼因由。</w:t>
      </w:r>
    </w:p>
    <w:p w:rsidR="000F5865" w:rsidRDefault="00C03C1A">
      <w:pPr>
        <w:pStyle w:val="BodyText"/>
        <w:rPr>
          <w:lang w:eastAsia="zh-CN"/>
        </w:rPr>
      </w:pPr>
      <w:r>
        <w:rPr>
          <w:lang w:eastAsia="zh-CN"/>
        </w:rPr>
        <w:t>虽然《证券及期货条例》第</w:t>
      </w:r>
      <w:r>
        <w:rPr>
          <w:lang w:eastAsia="zh-CN"/>
        </w:rPr>
        <w:t>194</w:t>
      </w:r>
      <w:r>
        <w:rPr>
          <w:lang w:eastAsia="zh-CN"/>
        </w:rPr>
        <w:t>条及第</w:t>
      </w:r>
      <w:r>
        <w:rPr>
          <w:lang w:eastAsia="zh-CN"/>
        </w:rPr>
        <w:t>196</w:t>
      </w:r>
      <w:r>
        <w:rPr>
          <w:lang w:eastAsia="zh-CN"/>
        </w:rPr>
        <w:t>条使得证监会能够针对犯失当行为或者非留任受规管人士适当人选的受规管人士施加一系列纪律制裁，但是该等条文并未赋予证监会法定权力要求该受规管人士采取任何步骤，从而使因该受规管人士的行为而受到不利影响的投资者或客户回复原状，或向有关投资者或客户作出补偿，或以其他方式保障有关投</w:t>
      </w:r>
      <w:r>
        <w:rPr>
          <w:lang w:eastAsia="zh-CN"/>
        </w:rPr>
        <w:t>资者或客户的利益。</w:t>
      </w:r>
    </w:p>
    <w:p w:rsidR="000F5865" w:rsidRDefault="00C03C1A">
      <w:pPr>
        <w:pStyle w:val="BodyText"/>
        <w:rPr>
          <w:lang w:eastAsia="zh-CN"/>
        </w:rPr>
      </w:pPr>
      <w:r>
        <w:rPr>
          <w:lang w:eastAsia="zh-CN"/>
        </w:rPr>
        <w:t>对《证券及期货条例》第</w:t>
      </w:r>
      <w:r>
        <w:rPr>
          <w:lang w:eastAsia="zh-CN"/>
        </w:rPr>
        <w:t>213</w:t>
      </w:r>
      <w:r>
        <w:rPr>
          <w:lang w:eastAsia="zh-CN"/>
        </w:rPr>
        <w:t>条的建议修订</w:t>
      </w:r>
    </w:p>
    <w:p w:rsidR="000F5865" w:rsidRDefault="00C03C1A">
      <w:pPr>
        <w:pStyle w:val="BodyText"/>
        <w:rPr>
          <w:lang w:eastAsia="zh-CN"/>
        </w:rPr>
      </w:pPr>
      <w:r>
        <w:rPr>
          <w:lang w:eastAsia="zh-CN"/>
        </w:rPr>
        <w:t>因此，证监会建议对第</w:t>
      </w:r>
      <w:r>
        <w:rPr>
          <w:lang w:eastAsia="zh-CN"/>
        </w:rPr>
        <w:t>213(1)</w:t>
      </w:r>
      <w:r>
        <w:rPr>
          <w:lang w:eastAsia="zh-CN"/>
        </w:rPr>
        <w:t>条作出修订，以：</w:t>
      </w:r>
    </w:p>
    <w:p w:rsidR="000F5865" w:rsidRDefault="00C03C1A">
      <w:pPr>
        <w:pStyle w:val="Compact"/>
        <w:numPr>
          <w:ilvl w:val="0"/>
          <w:numId w:val="6"/>
        </w:numPr>
        <w:rPr>
          <w:lang w:eastAsia="zh-CN"/>
        </w:rPr>
      </w:pPr>
      <w:r>
        <w:rPr>
          <w:lang w:eastAsia="zh-CN"/>
        </w:rPr>
        <w:t>让证监会在根据第</w:t>
      </w:r>
      <w:r>
        <w:rPr>
          <w:lang w:eastAsia="zh-CN"/>
        </w:rPr>
        <w:t>194(1)</w:t>
      </w:r>
      <w:r>
        <w:rPr>
          <w:lang w:eastAsia="zh-CN"/>
        </w:rPr>
        <w:t>、</w:t>
      </w:r>
      <w:r>
        <w:rPr>
          <w:lang w:eastAsia="zh-CN"/>
        </w:rPr>
        <w:t>194(2)</w:t>
      </w:r>
      <w:r>
        <w:rPr>
          <w:lang w:eastAsia="zh-CN"/>
        </w:rPr>
        <w:t>、</w:t>
      </w:r>
      <w:r>
        <w:rPr>
          <w:lang w:eastAsia="zh-CN"/>
        </w:rPr>
        <w:t>196(1)</w:t>
      </w:r>
      <w:r>
        <w:rPr>
          <w:lang w:eastAsia="zh-CN"/>
        </w:rPr>
        <w:t>或</w:t>
      </w:r>
      <w:r>
        <w:rPr>
          <w:lang w:eastAsia="zh-CN"/>
        </w:rPr>
        <w:t>196(2)</w:t>
      </w:r>
      <w:r>
        <w:rPr>
          <w:lang w:eastAsia="zh-CN"/>
        </w:rPr>
        <w:t>条对某受规管人士行使任何权力后，能根据新增的第</w:t>
      </w:r>
      <w:r>
        <w:rPr>
          <w:lang w:eastAsia="zh-CN"/>
        </w:rPr>
        <w:t xml:space="preserve"> 213(1)</w:t>
      </w:r>
      <w:r>
        <w:rPr>
          <w:lang w:eastAsia="zh-CN"/>
        </w:rPr>
        <w:t>条</w:t>
      </w:r>
      <w:r>
        <w:rPr>
          <w:lang w:eastAsia="zh-CN"/>
        </w:rPr>
        <w:t>(c)</w:t>
      </w:r>
      <w:r>
        <w:rPr>
          <w:lang w:eastAsia="zh-CN"/>
        </w:rPr>
        <w:t>段有额外理据准许其申请作出第</w:t>
      </w:r>
      <w:r>
        <w:rPr>
          <w:lang w:eastAsia="zh-CN"/>
        </w:rPr>
        <w:t xml:space="preserve"> 213 </w:t>
      </w:r>
      <w:r>
        <w:rPr>
          <w:lang w:eastAsia="zh-CN"/>
        </w:rPr>
        <w:t>条所指的命令；及</w:t>
      </w:r>
    </w:p>
    <w:p w:rsidR="000F5865" w:rsidRDefault="00C03C1A">
      <w:pPr>
        <w:pStyle w:val="Compact"/>
        <w:numPr>
          <w:ilvl w:val="0"/>
          <w:numId w:val="6"/>
        </w:numPr>
        <w:rPr>
          <w:lang w:eastAsia="zh-CN"/>
        </w:rPr>
      </w:pPr>
      <w:r>
        <w:rPr>
          <w:lang w:eastAsia="zh-CN"/>
        </w:rPr>
        <w:t>对第</w:t>
      </w:r>
      <w:r>
        <w:rPr>
          <w:lang w:eastAsia="zh-CN"/>
        </w:rPr>
        <w:t>213(2)</w:t>
      </w:r>
      <w:r>
        <w:rPr>
          <w:lang w:eastAsia="zh-CN"/>
        </w:rPr>
        <w:t>条作出修订，以引入多一项命令，以致当证监会根据第</w:t>
      </w:r>
      <w:r>
        <w:rPr>
          <w:lang w:eastAsia="zh-CN"/>
        </w:rPr>
        <w:t>194</w:t>
      </w:r>
      <w:r>
        <w:rPr>
          <w:lang w:eastAsia="zh-CN"/>
        </w:rPr>
        <w:t>或</w:t>
      </w:r>
      <w:r>
        <w:rPr>
          <w:lang w:eastAsia="zh-CN"/>
        </w:rPr>
        <w:t>196</w:t>
      </w:r>
      <w:r>
        <w:rPr>
          <w:lang w:eastAsia="zh-CN"/>
        </w:rPr>
        <w:t>条对某受规管人士行使任何权力后，原讼法庭可命令某人士使交易各方回复他们订立交易之前的状况。</w:t>
      </w:r>
    </w:p>
    <w:p w:rsidR="000F5865" w:rsidRDefault="00C03C1A">
      <w:pPr>
        <w:pStyle w:val="FirstParagraph"/>
        <w:rPr>
          <w:lang w:eastAsia="zh-CN"/>
        </w:rPr>
      </w:pPr>
      <w:r>
        <w:rPr>
          <w:lang w:eastAsia="zh-CN"/>
        </w:rPr>
        <w:t>倘若该等建议获实施，那么当证监会根据第</w:t>
      </w:r>
      <w:r>
        <w:rPr>
          <w:lang w:eastAsia="zh-CN"/>
        </w:rPr>
        <w:t>194</w:t>
      </w:r>
      <w:r>
        <w:rPr>
          <w:lang w:eastAsia="zh-CN"/>
        </w:rPr>
        <w:t>或</w:t>
      </w:r>
      <w:r>
        <w:rPr>
          <w:lang w:eastAsia="zh-CN"/>
        </w:rPr>
        <w:t>196</w:t>
      </w:r>
      <w:r>
        <w:rPr>
          <w:lang w:eastAsia="zh-CN"/>
        </w:rPr>
        <w:t>条行使任何纪律惩处权后，原讼法庭亦能够命令某受规管人士支付第</w:t>
      </w:r>
      <w:r>
        <w:rPr>
          <w:lang w:eastAsia="zh-CN"/>
        </w:rPr>
        <w:t>213(8)</w:t>
      </w:r>
      <w:r>
        <w:rPr>
          <w:lang w:eastAsia="zh-CN"/>
        </w:rPr>
        <w:t>条下规定的损害赔偿。</w:t>
      </w:r>
    </w:p>
    <w:p w:rsidR="000F5865" w:rsidRDefault="00C03C1A">
      <w:pPr>
        <w:pStyle w:val="BodyText"/>
        <w:rPr>
          <w:lang w:eastAsia="zh-CN"/>
        </w:rPr>
      </w:pPr>
      <w:r>
        <w:rPr>
          <w:lang w:eastAsia="zh-CN"/>
        </w:rPr>
        <w:t>建议的其他相应修订将：</w:t>
      </w:r>
    </w:p>
    <w:p w:rsidR="000F5865" w:rsidRDefault="00C03C1A">
      <w:pPr>
        <w:pStyle w:val="Compact"/>
        <w:numPr>
          <w:ilvl w:val="0"/>
          <w:numId w:val="7"/>
        </w:numPr>
        <w:rPr>
          <w:lang w:eastAsia="zh-CN"/>
        </w:rPr>
      </w:pPr>
      <w:r>
        <w:rPr>
          <w:lang w:eastAsia="zh-CN"/>
        </w:rPr>
        <w:lastRenderedPageBreak/>
        <w:t>对第</w:t>
      </w:r>
      <w:r>
        <w:rPr>
          <w:lang w:eastAsia="zh-CN"/>
        </w:rPr>
        <w:t>213(3A)</w:t>
      </w:r>
      <w:r>
        <w:rPr>
          <w:lang w:eastAsia="zh-CN"/>
        </w:rPr>
        <w:t>条作出相应修订，让证监会在根据第</w:t>
      </w:r>
      <w:r>
        <w:rPr>
          <w:lang w:eastAsia="zh-CN"/>
        </w:rPr>
        <w:t>194(1)</w:t>
      </w:r>
      <w:r>
        <w:rPr>
          <w:lang w:eastAsia="zh-CN"/>
        </w:rPr>
        <w:t>、</w:t>
      </w:r>
      <w:r>
        <w:rPr>
          <w:lang w:eastAsia="zh-CN"/>
        </w:rPr>
        <w:t>194(2)</w:t>
      </w:r>
      <w:r>
        <w:rPr>
          <w:lang w:eastAsia="zh-CN"/>
        </w:rPr>
        <w:t>、</w:t>
      </w:r>
      <w:r>
        <w:rPr>
          <w:lang w:eastAsia="zh-CN"/>
        </w:rPr>
        <w:t>196(1)</w:t>
      </w:r>
      <w:r>
        <w:rPr>
          <w:lang w:eastAsia="zh-CN"/>
        </w:rPr>
        <w:t>或</w:t>
      </w:r>
      <w:r>
        <w:rPr>
          <w:lang w:eastAsia="zh-CN"/>
        </w:rPr>
        <w:t>196(2)</w:t>
      </w:r>
      <w:r>
        <w:rPr>
          <w:lang w:eastAsia="zh-CN"/>
        </w:rPr>
        <w:t>条对属开放式基金型公司的董事、投资经理、保管人或次保管人的受规管人士行使任何权力后，能有额外理据申请作出第</w:t>
      </w:r>
      <w:r>
        <w:rPr>
          <w:lang w:eastAsia="zh-CN"/>
        </w:rPr>
        <w:t>213</w:t>
      </w:r>
      <w:r>
        <w:rPr>
          <w:lang w:eastAsia="zh-CN"/>
        </w:rPr>
        <w:t>条所指的命令；及</w:t>
      </w:r>
    </w:p>
    <w:p w:rsidR="000F5865" w:rsidRDefault="00C03C1A">
      <w:pPr>
        <w:pStyle w:val="Compact"/>
        <w:numPr>
          <w:ilvl w:val="0"/>
          <w:numId w:val="7"/>
        </w:numPr>
        <w:rPr>
          <w:lang w:eastAsia="zh-CN"/>
        </w:rPr>
      </w:pPr>
      <w:r>
        <w:rPr>
          <w:lang w:eastAsia="zh-CN"/>
        </w:rPr>
        <w:t>对第</w:t>
      </w:r>
      <w:r>
        <w:rPr>
          <w:lang w:eastAsia="zh-CN"/>
        </w:rPr>
        <w:t>213(7)</w:t>
      </w:r>
      <w:r>
        <w:rPr>
          <w:lang w:eastAsia="zh-CN"/>
        </w:rPr>
        <w:t>条作出相应修订，让原讼法庭可根据第</w:t>
      </w:r>
      <w:r>
        <w:rPr>
          <w:lang w:eastAsia="zh-CN"/>
        </w:rPr>
        <w:t>(1)</w:t>
      </w:r>
      <w:r>
        <w:rPr>
          <w:lang w:eastAsia="zh-CN"/>
        </w:rPr>
        <w:t>款作出命令，而不论有关命令所针对的人员是否意图从事或</w:t>
      </w:r>
      <w:r>
        <w:rPr>
          <w:lang w:eastAsia="zh-CN"/>
        </w:rPr>
        <w:t>继续从事新增的第</w:t>
      </w:r>
      <w:r>
        <w:rPr>
          <w:lang w:eastAsia="zh-CN"/>
        </w:rPr>
        <w:t>213(1)(c)</w:t>
      </w:r>
      <w:r>
        <w:rPr>
          <w:lang w:eastAsia="zh-CN"/>
        </w:rPr>
        <w:t>条所提述、曾促使证监会行使纪律惩处权的任何新事项（即证监会行使其在第</w:t>
      </w:r>
      <w:r>
        <w:rPr>
          <w:lang w:eastAsia="zh-CN"/>
        </w:rPr>
        <w:t>194</w:t>
      </w:r>
      <w:r>
        <w:rPr>
          <w:lang w:eastAsia="zh-CN"/>
        </w:rPr>
        <w:t>条或第</w:t>
      </w:r>
      <w:r>
        <w:rPr>
          <w:lang w:eastAsia="zh-CN"/>
        </w:rPr>
        <w:t>196</w:t>
      </w:r>
      <w:r>
        <w:rPr>
          <w:lang w:eastAsia="zh-CN"/>
        </w:rPr>
        <w:t>条下的权力）。这项相应修订是以现行第</w:t>
      </w:r>
      <w:r>
        <w:rPr>
          <w:lang w:eastAsia="zh-CN"/>
        </w:rPr>
        <w:t>213(7)(a)</w:t>
      </w:r>
      <w:r>
        <w:rPr>
          <w:lang w:eastAsia="zh-CN"/>
        </w:rPr>
        <w:t>条（也同样适用于第</w:t>
      </w:r>
      <w:r>
        <w:rPr>
          <w:lang w:eastAsia="zh-CN"/>
        </w:rPr>
        <w:t>213(1)(a)(i)</w:t>
      </w:r>
      <w:r>
        <w:rPr>
          <w:lang w:eastAsia="zh-CN"/>
        </w:rPr>
        <w:t>至</w:t>
      </w:r>
      <w:r>
        <w:rPr>
          <w:lang w:eastAsia="zh-CN"/>
        </w:rPr>
        <w:t>(v)</w:t>
      </w:r>
      <w:r>
        <w:rPr>
          <w:lang w:eastAsia="zh-CN"/>
        </w:rPr>
        <w:t>条中规定的命令）为基础。</w:t>
      </w:r>
    </w:p>
    <w:p w:rsidR="000F5865" w:rsidRDefault="00C03C1A">
      <w:pPr>
        <w:pStyle w:val="FirstParagraph"/>
        <w:rPr>
          <w:lang w:eastAsia="zh-CN"/>
        </w:rPr>
      </w:pPr>
      <w:r>
        <w:rPr>
          <w:lang w:eastAsia="zh-CN"/>
        </w:rPr>
        <w:t>建议修订条文的影响</w:t>
      </w:r>
    </w:p>
    <w:p w:rsidR="000F5865" w:rsidRDefault="00C03C1A">
      <w:pPr>
        <w:pStyle w:val="BodyText"/>
        <w:rPr>
          <w:lang w:eastAsia="zh-CN"/>
        </w:rPr>
      </w:pPr>
      <w:r>
        <w:rPr>
          <w:lang w:eastAsia="zh-CN"/>
        </w:rPr>
        <w:t>鉴于该等修订将准许证监会向原讼法庭申请命令，要求某受规管人员对因证监会根据第</w:t>
      </w:r>
      <w:r>
        <w:rPr>
          <w:lang w:eastAsia="zh-CN"/>
        </w:rPr>
        <w:t>194</w:t>
      </w:r>
      <w:r>
        <w:rPr>
          <w:lang w:eastAsia="zh-CN"/>
        </w:rPr>
        <w:t>条或第</w:t>
      </w:r>
      <w:r>
        <w:rPr>
          <w:lang w:eastAsia="zh-CN"/>
        </w:rPr>
        <w:t>196</w:t>
      </w:r>
      <w:r>
        <w:rPr>
          <w:lang w:eastAsia="zh-CN"/>
        </w:rPr>
        <w:t>条针对某具以下特征的某受规管人员提起的法律程序而遭受财务损失的投资者给予补偿：</w:t>
      </w:r>
      <w:r>
        <w:rPr>
          <w:lang w:eastAsia="zh-CN"/>
        </w:rPr>
        <w:t>(i)</w:t>
      </w:r>
      <w:r>
        <w:rPr>
          <w:lang w:eastAsia="zh-CN"/>
        </w:rPr>
        <w:t>犯失当行为；或</w:t>
      </w:r>
      <w:r>
        <w:rPr>
          <w:lang w:eastAsia="zh-CN"/>
        </w:rPr>
        <w:t>(ii)</w:t>
      </w:r>
      <w:r>
        <w:rPr>
          <w:lang w:eastAsia="zh-CN"/>
        </w:rPr>
        <w:t>按证监会的意见，并非留任同一类受规管人士的</w:t>
      </w:r>
      <w:r>
        <w:rPr>
          <w:lang w:eastAsia="zh-CN"/>
        </w:rPr>
        <w:t>适当人选。「失当行为」被广泛地界定为包括违反任何相关条文以及从事任何受规管活动方面的行为或者疏忽，且按证监会的意见该等行为或疏忽可能损害投资公众的利益。此外，违反《证监会操守准则》条文及一般原则能够成为证监会厘定某受规管人士不再属适当人选的理据。尤其是，《证监会操守准则》第</w:t>
      </w:r>
      <w:r>
        <w:rPr>
          <w:lang w:eastAsia="zh-CN"/>
        </w:rPr>
        <w:t>17.1(c)</w:t>
      </w:r>
      <w:r>
        <w:rPr>
          <w:lang w:eastAsia="zh-CN"/>
        </w:rPr>
        <w:t>段规定，证监会在评估首次公开发售保荐人是否属适当人选时将考虑其是否遵守第</w:t>
      </w:r>
      <w:r>
        <w:rPr>
          <w:lang w:eastAsia="zh-CN"/>
        </w:rPr>
        <w:t>17</w:t>
      </w:r>
      <w:r>
        <w:rPr>
          <w:lang w:eastAsia="zh-CN"/>
        </w:rPr>
        <w:t>段中规定的保荐人责任（包括尽职审查要求）。</w:t>
      </w:r>
    </w:p>
    <w:p w:rsidR="000F5865" w:rsidRDefault="00C03C1A">
      <w:pPr>
        <w:pStyle w:val="BodyText"/>
        <w:rPr>
          <w:lang w:eastAsia="zh-CN"/>
        </w:rPr>
      </w:pPr>
      <w:r>
        <w:rPr>
          <w:lang w:eastAsia="zh-CN"/>
        </w:rPr>
        <w:t>值得注意的是，证监会已经针对若干宗涉及虚假或具误导性招股章程披露的首次公开发售的保荐人提起了第</w:t>
      </w:r>
      <w:r>
        <w:rPr>
          <w:lang w:eastAsia="zh-CN"/>
        </w:rPr>
        <w:t>194</w:t>
      </w:r>
      <w:r>
        <w:rPr>
          <w:lang w:eastAsia="zh-CN"/>
        </w:rPr>
        <w:t>条及</w:t>
      </w:r>
      <w:r>
        <w:rPr>
          <w:lang w:eastAsia="zh-CN"/>
        </w:rPr>
        <w:t>第</w:t>
      </w:r>
      <w:r>
        <w:rPr>
          <w:lang w:eastAsia="zh-CN"/>
        </w:rPr>
        <w:t>196</w:t>
      </w:r>
      <w:r>
        <w:rPr>
          <w:lang w:eastAsia="zh-CN"/>
        </w:rPr>
        <w:t>条中规定的纪律行动，原因是该等保荐人违反《证监会操守准则》第</w:t>
      </w:r>
      <w:r>
        <w:rPr>
          <w:lang w:eastAsia="zh-CN"/>
        </w:rPr>
        <w:t>17</w:t>
      </w:r>
      <w:r>
        <w:rPr>
          <w:lang w:eastAsia="zh-CN"/>
        </w:rPr>
        <w:t>段及《上市规则》中所载列的保荐人进行尽职审查的责任及规定。该等行动的结果是实施了谴责及记录罚款，包括对摩根士丹利亚洲有限公司（</w:t>
      </w:r>
      <w:r>
        <w:rPr>
          <w:lang w:eastAsia="zh-CN"/>
        </w:rPr>
        <w:t>Morgan Stanley Asia Limited</w:t>
      </w:r>
      <w:r>
        <w:rPr>
          <w:lang w:eastAsia="zh-CN"/>
        </w:rPr>
        <w:t>）处以的</w:t>
      </w:r>
      <w:r>
        <w:rPr>
          <w:lang w:eastAsia="zh-CN"/>
        </w:rPr>
        <w:t>2.24</w:t>
      </w:r>
      <w:r>
        <w:rPr>
          <w:lang w:eastAsia="zh-CN"/>
        </w:rPr>
        <w:t>亿港元的罚款及对瑞士联合银行集团（</w:t>
      </w:r>
      <w:r>
        <w:rPr>
          <w:lang w:eastAsia="zh-CN"/>
        </w:rPr>
        <w:t>UBS AG</w:t>
      </w:r>
      <w:r>
        <w:rPr>
          <w:lang w:eastAsia="zh-CN"/>
        </w:rPr>
        <w:t>）及瑞士联合证券香港有限公司（</w:t>
      </w:r>
      <w:r>
        <w:rPr>
          <w:lang w:eastAsia="zh-CN"/>
        </w:rPr>
        <w:t>UBS Securities Hong Kong Limited</w:t>
      </w:r>
      <w:r>
        <w:rPr>
          <w:lang w:eastAsia="zh-CN"/>
        </w:rPr>
        <w:t>）处以</w:t>
      </w:r>
      <w:r>
        <w:rPr>
          <w:lang w:eastAsia="zh-CN"/>
        </w:rPr>
        <w:t>3.75</w:t>
      </w:r>
      <w:r>
        <w:rPr>
          <w:lang w:eastAsia="zh-CN"/>
        </w:rPr>
        <w:t>亿港元的罚款。目前，证监会如果认为某保荐人违反其责任，则不能够为投资者寻求补偿，除非该保荐</w:t>
      </w:r>
      <w:r>
        <w:rPr>
          <w:lang w:eastAsia="zh-CN"/>
        </w:rPr>
        <w:t>人也能被证明违反了其中一项相关规定。根据拟议的第</w:t>
      </w:r>
      <w:r>
        <w:rPr>
          <w:lang w:eastAsia="zh-CN"/>
        </w:rPr>
        <w:t>213</w:t>
      </w:r>
      <w:r>
        <w:rPr>
          <w:lang w:eastAsia="zh-CN"/>
        </w:rPr>
        <w:t>条的修订，这种情况将有所改变。</w:t>
      </w:r>
    </w:p>
    <w:p w:rsidR="000F5865" w:rsidRDefault="00C03C1A">
      <w:pPr>
        <w:pStyle w:val="BodyText"/>
        <w:rPr>
          <w:lang w:eastAsia="zh-CN"/>
        </w:rPr>
      </w:pPr>
      <w:r>
        <w:rPr>
          <w:lang w:eastAsia="zh-CN"/>
        </w:rPr>
        <w:t>对投资产品的不当销售及违反《证监会操守准则》中的适当性规定可能同样会导致证监会寻求为受害的投资者寻求补偿。</w:t>
      </w:r>
    </w:p>
    <w:p w:rsidR="000F5865" w:rsidRDefault="00C03C1A">
      <w:pPr>
        <w:pStyle w:val="BodyText"/>
        <w:rPr>
          <w:lang w:eastAsia="zh-CN"/>
        </w:rPr>
      </w:pPr>
      <w:r>
        <w:rPr>
          <w:lang w:eastAsia="zh-CN"/>
        </w:rPr>
        <w:t>第</w:t>
      </w:r>
      <w:r>
        <w:rPr>
          <w:lang w:eastAsia="zh-CN"/>
        </w:rPr>
        <w:t>2</w:t>
      </w:r>
      <w:r>
        <w:rPr>
          <w:lang w:eastAsia="zh-CN"/>
        </w:rPr>
        <w:t>部分</w:t>
      </w:r>
      <w:r>
        <w:rPr>
          <w:lang w:eastAsia="zh-CN"/>
        </w:rPr>
        <w:t>–</w:t>
      </w:r>
      <w:r>
        <w:rPr>
          <w:lang w:eastAsia="zh-CN"/>
        </w:rPr>
        <w:t>对《证券及期货条例》第</w:t>
      </w:r>
      <w:r>
        <w:rPr>
          <w:lang w:eastAsia="zh-CN"/>
        </w:rPr>
        <w:t>103</w:t>
      </w:r>
      <w:r>
        <w:rPr>
          <w:lang w:eastAsia="zh-CN"/>
        </w:rPr>
        <w:t>条内的豁免作出修订</w:t>
      </w:r>
    </w:p>
    <w:p w:rsidR="000F5865" w:rsidRDefault="00C03C1A">
      <w:pPr>
        <w:pStyle w:val="BodyText"/>
        <w:rPr>
          <w:lang w:eastAsia="zh-CN"/>
        </w:rPr>
      </w:pPr>
      <w:r>
        <w:rPr>
          <w:lang w:eastAsia="zh-CN"/>
        </w:rPr>
        <w:t>《证券及期货条例》第</w:t>
      </w:r>
      <w:r>
        <w:rPr>
          <w:lang w:eastAsia="zh-CN"/>
        </w:rPr>
        <w:t>103(1)</w:t>
      </w:r>
      <w:r>
        <w:rPr>
          <w:lang w:eastAsia="zh-CN"/>
        </w:rPr>
        <w:t>条规定，任何人在香港或其他地方发出任何广告、邀请或文件（统称为</w:t>
      </w:r>
      <w:r>
        <w:rPr>
          <w:b/>
          <w:lang w:eastAsia="zh-CN"/>
        </w:rPr>
        <w:t>广告</w:t>
      </w:r>
      <w:r>
        <w:rPr>
          <w:lang w:eastAsia="zh-CN"/>
        </w:rPr>
        <w:t>），且该人员知道该广告、邀请或文件载有请公众买卖各类投资产品（包括但不限于证券，结构性产品及集体投资计划中的权益，例如基金）的邀请的，即属犯罪，但如该广告的发出已</w:t>
      </w:r>
      <w:r>
        <w:rPr>
          <w:lang w:eastAsia="zh-CN"/>
        </w:rPr>
        <w:t>获证监会根据《证券及期货条例》第</w:t>
      </w:r>
      <w:r>
        <w:rPr>
          <w:lang w:eastAsia="zh-CN"/>
        </w:rPr>
        <w:t>105</w:t>
      </w:r>
      <w:r>
        <w:rPr>
          <w:lang w:eastAsia="zh-CN"/>
        </w:rPr>
        <w:t>条认可，则属例外。第</w:t>
      </w:r>
      <w:r>
        <w:rPr>
          <w:lang w:eastAsia="zh-CN"/>
        </w:rPr>
        <w:t>103(1)</w:t>
      </w:r>
      <w:r>
        <w:rPr>
          <w:lang w:eastAsia="zh-CN"/>
        </w:rPr>
        <w:t>条在按照第</w:t>
      </w:r>
      <w:r>
        <w:rPr>
          <w:lang w:eastAsia="zh-CN"/>
        </w:rPr>
        <w:t>(2)</w:t>
      </w:r>
      <w:r>
        <w:rPr>
          <w:lang w:eastAsia="zh-CN"/>
        </w:rPr>
        <w:t>、</w:t>
      </w:r>
      <w:r>
        <w:rPr>
          <w:lang w:eastAsia="zh-CN"/>
        </w:rPr>
        <w:t>(3)</w:t>
      </w:r>
      <w:r>
        <w:rPr>
          <w:lang w:eastAsia="zh-CN"/>
        </w:rPr>
        <w:t>及</w:t>
      </w:r>
      <w:r>
        <w:rPr>
          <w:lang w:eastAsia="zh-CN"/>
        </w:rPr>
        <w:t>(5)</w:t>
      </w:r>
      <w:r>
        <w:rPr>
          <w:lang w:eastAsia="zh-CN"/>
        </w:rPr>
        <w:t>至</w:t>
      </w:r>
      <w:r>
        <w:rPr>
          <w:lang w:eastAsia="zh-CN"/>
        </w:rPr>
        <w:t>(9)</w:t>
      </w:r>
      <w:r>
        <w:rPr>
          <w:lang w:eastAsia="zh-CN"/>
        </w:rPr>
        <w:t>款所列明的多个情况下可获豁免。</w:t>
      </w:r>
    </w:p>
    <w:p w:rsidR="000F5865" w:rsidRDefault="00C03C1A">
      <w:pPr>
        <w:pStyle w:val="BodyText"/>
        <w:rPr>
          <w:lang w:eastAsia="zh-CN"/>
        </w:rPr>
      </w:pPr>
      <w:r>
        <w:rPr>
          <w:lang w:eastAsia="zh-CN"/>
        </w:rPr>
        <w:t>2015</w:t>
      </w:r>
      <w:r>
        <w:rPr>
          <w:lang w:eastAsia="zh-CN"/>
        </w:rPr>
        <w:t>年，终审法院在</w:t>
      </w:r>
      <w:r>
        <w:rPr>
          <w:i/>
          <w:lang w:eastAsia="zh-CN"/>
        </w:rPr>
        <w:t>太平阳投资顾问（香港）有限公司</w:t>
      </w:r>
      <w:hyperlink w:anchor="footnote-598-5">
        <w:r>
          <w:rPr>
            <w:vertAlign w:val="superscript"/>
            <w:lang w:eastAsia="zh-CN"/>
          </w:rPr>
          <w:t>5</w:t>
        </w:r>
      </w:hyperlink>
      <w:r>
        <w:rPr>
          <w:lang w:eastAsia="zh-CN"/>
        </w:rPr>
        <w:t>（</w:t>
      </w:r>
      <w:r>
        <w:rPr>
          <w:lang w:eastAsia="zh-CN"/>
        </w:rPr>
        <w:t>Pacific Sun Advisors</w:t>
      </w:r>
      <w:r>
        <w:rPr>
          <w:lang w:eastAsia="zh-CN"/>
        </w:rPr>
        <w:t>）个案中对第</w:t>
      </w:r>
      <w:r>
        <w:rPr>
          <w:lang w:eastAsia="zh-CN"/>
        </w:rPr>
        <w:t>103(3)(k)</w:t>
      </w:r>
      <w:r>
        <w:rPr>
          <w:lang w:eastAsia="zh-CN"/>
        </w:rPr>
        <w:t>条下的专业投资者豁免作出了较证监会认为的基本政策原拟定的更为广泛的诠释。第</w:t>
      </w:r>
      <w:r>
        <w:rPr>
          <w:lang w:eastAsia="zh-CN"/>
        </w:rPr>
        <w:t>103(3)(k)</w:t>
      </w:r>
      <w:r>
        <w:rPr>
          <w:lang w:eastAsia="zh-CN"/>
        </w:rPr>
        <w:t>条就针对证券，结构性产品及集体投资计划中的权益（将或者计划将仅向专业投资者售卖</w:t>
      </w:r>
      <w:r>
        <w:rPr>
          <w:lang w:eastAsia="zh-CN"/>
        </w:rPr>
        <w:t>）而作出的广告提供一项对第</w:t>
      </w:r>
      <w:r>
        <w:rPr>
          <w:lang w:eastAsia="zh-CN"/>
        </w:rPr>
        <w:t>103(1)</w:t>
      </w:r>
      <w:r>
        <w:rPr>
          <w:lang w:eastAsia="zh-CN"/>
        </w:rPr>
        <w:t>条中犯罪规定的豁免。</w:t>
      </w:r>
    </w:p>
    <w:p w:rsidR="000F5865" w:rsidRDefault="00C03C1A">
      <w:pPr>
        <w:pStyle w:val="BodyText"/>
        <w:rPr>
          <w:lang w:eastAsia="zh-CN"/>
        </w:rPr>
      </w:pPr>
      <w:r>
        <w:rPr>
          <w:lang w:eastAsia="zh-CN"/>
        </w:rPr>
        <w:t>证监会因太平阳投资顾问（香港）有限公司及其首席执行官在推出已发行予公众的一只基金的广告中违反《证券及期货条例》第</w:t>
      </w:r>
      <w:r>
        <w:rPr>
          <w:lang w:eastAsia="zh-CN"/>
        </w:rPr>
        <w:t>103(1)</w:t>
      </w:r>
      <w:r>
        <w:rPr>
          <w:lang w:eastAsia="zh-CN"/>
        </w:rPr>
        <w:t>条而对他们提起法律程序。该等广告未经证监会认可。证监会认为，如要适用第</w:t>
      </w:r>
      <w:r>
        <w:rPr>
          <w:lang w:eastAsia="zh-CN"/>
        </w:rPr>
        <w:t>103(3)(k)</w:t>
      </w:r>
      <w:r>
        <w:rPr>
          <w:lang w:eastAsia="zh-CN"/>
        </w:rPr>
        <w:t>条中的豁免规定，有关广告须明确指出相关广告的投资产品只售予或只打算售予专业投资者。</w:t>
      </w:r>
    </w:p>
    <w:p w:rsidR="000F5865" w:rsidRDefault="00C03C1A">
      <w:pPr>
        <w:pStyle w:val="BodyText"/>
        <w:rPr>
          <w:lang w:eastAsia="zh-CN"/>
        </w:rPr>
      </w:pPr>
      <w:r>
        <w:rPr>
          <w:lang w:eastAsia="zh-CN"/>
        </w:rPr>
        <w:t>鉴于与曾计划只售予或者实际上曾只售予专业投资者的一项投资产品（即该基金）相关的广告（尽管对专业投资者的该限制并未曾在有关广告中指出），被告人主张该项豁免适用</w:t>
      </w:r>
      <w:r>
        <w:rPr>
          <w:lang w:eastAsia="zh-CN"/>
        </w:rPr>
        <w:t>。</w:t>
      </w:r>
    </w:p>
    <w:p w:rsidR="000F5865" w:rsidRDefault="00C03C1A">
      <w:pPr>
        <w:pStyle w:val="BodyText"/>
        <w:rPr>
          <w:lang w:eastAsia="zh-CN"/>
        </w:rPr>
      </w:pPr>
      <w:r>
        <w:rPr>
          <w:lang w:eastAsia="zh-CN"/>
        </w:rPr>
        <w:lastRenderedPageBreak/>
        <w:t>终审法院同意被告人的主张并裁定该项豁免适用。</w:t>
      </w:r>
    </w:p>
    <w:p w:rsidR="000F5865" w:rsidRDefault="00C03C1A">
      <w:pPr>
        <w:pStyle w:val="BodyText"/>
        <w:rPr>
          <w:lang w:eastAsia="zh-CN"/>
        </w:rPr>
      </w:pPr>
      <w:r>
        <w:rPr>
          <w:lang w:eastAsia="zh-CN"/>
        </w:rPr>
        <w:t>证监会关于终审法院对第</w:t>
      </w:r>
      <w:r>
        <w:rPr>
          <w:lang w:eastAsia="zh-CN"/>
        </w:rPr>
        <w:t xml:space="preserve"> 103(3)(k) </w:t>
      </w:r>
      <w:r>
        <w:rPr>
          <w:lang w:eastAsia="zh-CN"/>
        </w:rPr>
        <w:t>条豁免诠释的看法</w:t>
      </w:r>
    </w:p>
    <w:p w:rsidR="000F5865" w:rsidRDefault="00C03C1A">
      <w:pPr>
        <w:pStyle w:val="BodyText"/>
        <w:rPr>
          <w:lang w:eastAsia="zh-CN"/>
        </w:rPr>
      </w:pPr>
      <w:r>
        <w:rPr>
          <w:lang w:eastAsia="zh-CN"/>
        </w:rPr>
        <w:t>证监会在该咨询文件中指出，终审法院作出该裁决的结果是第</w:t>
      </w:r>
      <w:r>
        <w:rPr>
          <w:lang w:eastAsia="zh-CN"/>
        </w:rPr>
        <w:t>103(3)(k)</w:t>
      </w:r>
      <w:r>
        <w:rPr>
          <w:lang w:eastAsia="zh-CN"/>
        </w:rPr>
        <w:t>条中的专业投资者豁免将适用于任何与只转让予或拟只转让予专业投资者的投资产品有关系的广告。所以，现时的情况是，即使投资产品不适合散户投资者及只打算出售予专业投资者，但这些可能不适合散户投资者的投资产品的未经认可广告仍然可以向公众发出。因此，散户投资者可能会接触到未经认可的要约或招揽，邀请他们投资不适合他们的高风险或复杂产品。</w:t>
      </w:r>
    </w:p>
    <w:p w:rsidR="000F5865" w:rsidRDefault="00C03C1A">
      <w:pPr>
        <w:pStyle w:val="BodyText"/>
        <w:rPr>
          <w:lang w:eastAsia="zh-CN"/>
        </w:rPr>
      </w:pPr>
      <w:r>
        <w:rPr>
          <w:lang w:eastAsia="zh-CN"/>
        </w:rPr>
        <w:t>此</w:t>
      </w:r>
      <w:r>
        <w:rPr>
          <w:lang w:eastAsia="zh-CN"/>
        </w:rPr>
        <w:t>外，尽管根据第</w:t>
      </w:r>
      <w:r>
        <w:rPr>
          <w:lang w:eastAsia="zh-CN"/>
        </w:rPr>
        <w:t>103(1)</w:t>
      </w:r>
      <w:r>
        <w:rPr>
          <w:lang w:eastAsia="zh-CN"/>
        </w:rPr>
        <w:t>条，法律责任会于发出广告时产生，但实际上却需待产品已获出售，以厘定该产品向谁出售及第</w:t>
      </w:r>
      <w:r>
        <w:rPr>
          <w:lang w:eastAsia="zh-CN"/>
        </w:rPr>
        <w:t>103(3)(k)</w:t>
      </w:r>
      <w:r>
        <w:rPr>
          <w:lang w:eastAsia="zh-CN"/>
        </w:rPr>
        <w:t>条豁免是否适用，才可采取执法行动。证监会还注意到，单单是只向专业投资者出售投资产品的意图，便足以获豁免而不受第</w:t>
      </w:r>
      <w:r>
        <w:rPr>
          <w:lang w:eastAsia="zh-CN"/>
        </w:rPr>
        <w:t>103(1)</w:t>
      </w:r>
      <w:r>
        <w:rPr>
          <w:lang w:eastAsia="zh-CN"/>
        </w:rPr>
        <w:t>条下的认可制度所规限。其认为这令有关制度极难，甚至无法执行，亦与第</w:t>
      </w:r>
      <w:r w:rsidR="00DF0417">
        <w:rPr>
          <w:lang w:eastAsia="zh-CN"/>
        </w:rPr>
        <w:t>IV</w:t>
      </w:r>
      <w:r>
        <w:rPr>
          <w:lang w:eastAsia="zh-CN"/>
        </w:rPr>
        <w:t>部及第</w:t>
      </w:r>
      <w:r>
        <w:rPr>
          <w:lang w:eastAsia="zh-CN"/>
        </w:rPr>
        <w:t>103(1)</w:t>
      </w:r>
      <w:r>
        <w:rPr>
          <w:lang w:eastAsia="zh-CN"/>
        </w:rPr>
        <w:t>条（被视为规管投资产品的</w:t>
      </w:r>
      <w:r>
        <w:rPr>
          <w:i/>
          <w:lang w:eastAsia="zh-CN"/>
        </w:rPr>
        <w:t>广告</w:t>
      </w:r>
      <w:r>
        <w:rPr>
          <w:lang w:eastAsia="zh-CN"/>
        </w:rPr>
        <w:t>而非</w:t>
      </w:r>
      <w:r>
        <w:rPr>
          <w:i/>
          <w:lang w:eastAsia="zh-CN"/>
        </w:rPr>
        <w:t>销售</w:t>
      </w:r>
      <w:r>
        <w:rPr>
          <w:lang w:eastAsia="zh-CN"/>
        </w:rPr>
        <w:t>）的目的有所抵触。</w:t>
      </w:r>
    </w:p>
    <w:p w:rsidR="000F5865" w:rsidRDefault="00C03C1A">
      <w:pPr>
        <w:pStyle w:val="BodyText"/>
        <w:rPr>
          <w:lang w:eastAsia="zh-CN"/>
        </w:rPr>
      </w:pPr>
      <w:r>
        <w:rPr>
          <w:lang w:eastAsia="zh-CN"/>
        </w:rPr>
        <w:t>对《证券及期货条例》第</w:t>
      </w:r>
      <w:r>
        <w:rPr>
          <w:lang w:eastAsia="zh-CN"/>
        </w:rPr>
        <w:t>103(3)(j)</w:t>
      </w:r>
      <w:r>
        <w:rPr>
          <w:lang w:eastAsia="zh-CN"/>
        </w:rPr>
        <w:t>条及第</w:t>
      </w:r>
      <w:r>
        <w:rPr>
          <w:lang w:eastAsia="zh-CN"/>
        </w:rPr>
        <w:t>103(3)(k)</w:t>
      </w:r>
      <w:r>
        <w:rPr>
          <w:lang w:eastAsia="zh-CN"/>
        </w:rPr>
        <w:t>条的建议修订</w:t>
      </w:r>
    </w:p>
    <w:p w:rsidR="000F5865" w:rsidRDefault="00C03C1A">
      <w:pPr>
        <w:pStyle w:val="BodyText"/>
        <w:rPr>
          <w:lang w:eastAsia="zh-CN"/>
        </w:rPr>
      </w:pPr>
      <w:r>
        <w:rPr>
          <w:lang w:eastAsia="zh-CN"/>
        </w:rPr>
        <w:t>有鉴于此，证监会建议对第</w:t>
      </w:r>
      <w:r>
        <w:rPr>
          <w:lang w:eastAsia="zh-CN"/>
        </w:rPr>
        <w:t>103(3</w:t>
      </w:r>
      <w:r>
        <w:rPr>
          <w:lang w:eastAsia="zh-CN"/>
        </w:rPr>
        <w:t>)(k)</w:t>
      </w:r>
      <w:r>
        <w:rPr>
          <w:lang w:eastAsia="zh-CN"/>
        </w:rPr>
        <w:t>条作出修订，以将专业投资者豁免适用于在发出广告材料的这个时间点上，方式是只向专业投资者发出的该等广告才可获豁免遵守认可的规定。</w:t>
      </w:r>
    </w:p>
    <w:p w:rsidR="000F5865" w:rsidRDefault="00C03C1A">
      <w:pPr>
        <w:pStyle w:val="BodyText"/>
        <w:rPr>
          <w:lang w:eastAsia="zh-CN"/>
        </w:rPr>
      </w:pPr>
      <w:r>
        <w:rPr>
          <w:lang w:eastAsia="zh-CN"/>
        </w:rPr>
        <w:t>因此如该建议获实施，那么只出售予及拟只出售予专业投资者的投资产品的未经认可广告，必须仅可向事先已获中介人透过其认识你的客户及相关程序识别为专业投资者的专业投资者发出，而不论有关意图是否已在有关广告中列明。不再可能发出针对（例如透过网站）出售予公众（或部分公众）的投资产品的广告，即便该等产品本身将只出售予专业投资者，但是该等广告的发出已获证监会认可的情况除外。</w:t>
      </w:r>
    </w:p>
    <w:p w:rsidR="000F5865" w:rsidRDefault="00C03C1A">
      <w:pPr>
        <w:pStyle w:val="BodyText"/>
        <w:rPr>
          <w:lang w:eastAsia="zh-CN"/>
        </w:rPr>
      </w:pPr>
      <w:r>
        <w:rPr>
          <w:lang w:eastAsia="zh-CN"/>
        </w:rPr>
        <w:t>证监会还建议对第</w:t>
      </w:r>
      <w:r>
        <w:rPr>
          <w:lang w:eastAsia="zh-CN"/>
        </w:rPr>
        <w:t>103(3)(j)</w:t>
      </w:r>
      <w:r>
        <w:rPr>
          <w:lang w:eastAsia="zh-CN"/>
        </w:rPr>
        <w:t>条（订明有关只出售予或拟只出售予在香港以外地方的人的投资产品的豁免）作出相同的修订，且其措词与专业投资者豁免相似。</w:t>
      </w:r>
    </w:p>
    <w:p w:rsidR="000F5865" w:rsidRDefault="00C03C1A">
      <w:pPr>
        <w:pStyle w:val="BodyText"/>
        <w:rPr>
          <w:lang w:eastAsia="zh-CN"/>
        </w:rPr>
      </w:pPr>
      <w:r>
        <w:rPr>
          <w:lang w:eastAsia="zh-CN"/>
        </w:rPr>
        <w:t>第</w:t>
      </w:r>
      <w:r>
        <w:rPr>
          <w:lang w:eastAsia="zh-CN"/>
        </w:rPr>
        <w:t>3</w:t>
      </w:r>
      <w:r>
        <w:rPr>
          <w:lang w:eastAsia="zh-CN"/>
        </w:rPr>
        <w:t>部分</w:t>
      </w:r>
      <w:r>
        <w:rPr>
          <w:lang w:eastAsia="zh-CN"/>
        </w:rPr>
        <w:t xml:space="preserve"> – </w:t>
      </w:r>
      <w:r>
        <w:rPr>
          <w:lang w:eastAsia="zh-CN"/>
        </w:rPr>
        <w:t>对《证券及期货条例》的内幕交易条文作出修订</w:t>
      </w:r>
    </w:p>
    <w:p w:rsidR="000F5865" w:rsidRDefault="00C03C1A">
      <w:pPr>
        <w:pStyle w:val="BodyText"/>
        <w:rPr>
          <w:lang w:eastAsia="zh-CN"/>
        </w:rPr>
      </w:pPr>
      <w:r>
        <w:rPr>
          <w:lang w:eastAsia="zh-CN"/>
        </w:rPr>
        <w:t>《证券及期货条例》第</w:t>
      </w:r>
      <w:r>
        <w:rPr>
          <w:lang w:eastAsia="zh-CN"/>
        </w:rPr>
        <w:t>XIII</w:t>
      </w:r>
      <w:r>
        <w:rPr>
          <w:lang w:eastAsia="zh-CN"/>
        </w:rPr>
        <w:t>部第</w:t>
      </w:r>
      <w:r>
        <w:rPr>
          <w:lang w:eastAsia="zh-CN"/>
        </w:rPr>
        <w:t>4</w:t>
      </w:r>
      <w:r>
        <w:rPr>
          <w:lang w:eastAsia="zh-CN"/>
        </w:rPr>
        <w:t>分部及第</w:t>
      </w:r>
      <w:r>
        <w:rPr>
          <w:lang w:eastAsia="zh-CN"/>
        </w:rPr>
        <w:t>XIV</w:t>
      </w:r>
      <w:r>
        <w:rPr>
          <w:lang w:eastAsia="zh-CN"/>
        </w:rPr>
        <w:t>部第</w:t>
      </w:r>
      <w:r>
        <w:rPr>
          <w:lang w:eastAsia="zh-CN"/>
        </w:rPr>
        <w:t>2</w:t>
      </w:r>
      <w:r>
        <w:rPr>
          <w:lang w:eastAsia="zh-CN"/>
        </w:rPr>
        <w:t>分部设立了相对照的民事及刑事内幕交易制度。该两套制度适用于就：</w:t>
      </w:r>
      <w:r>
        <w:rPr>
          <w:lang w:eastAsia="zh-CN"/>
        </w:rPr>
        <w:t>(a)</w:t>
      </w:r>
      <w:r>
        <w:rPr>
          <w:lang w:eastAsia="zh-CN"/>
        </w:rPr>
        <w:t>香港上市证券或其衍生工具；及</w:t>
      </w:r>
      <w:r>
        <w:rPr>
          <w:lang w:eastAsia="zh-CN"/>
        </w:rPr>
        <w:t>(b)</w:t>
      </w:r>
      <w:r>
        <w:rPr>
          <w:lang w:eastAsia="zh-CN"/>
        </w:rPr>
        <w:t>在香港及另一司法管辖区两地上市的证券或其衍生工具进行的内幕交易。现行的民事及刑事制度并不适用于就于境外证券市场</w:t>
      </w:r>
      <w:hyperlink w:anchor="footnote-598-6">
        <w:r>
          <w:rPr>
            <w:vertAlign w:val="superscript"/>
            <w:lang w:eastAsia="zh-CN"/>
          </w:rPr>
          <w:t>6</w:t>
        </w:r>
      </w:hyperlink>
      <w:r>
        <w:rPr>
          <w:lang w:eastAsia="zh-CN"/>
        </w:rPr>
        <w:t>上市的证券或其衍生工具而在香港干犯属内幕交易的市场失当行为或罪行，亦没有明文订明适用于就香港上市证券或其衍生工具而在香港以外地方干犯构成内幕交易的任何作为。</w:t>
      </w:r>
    </w:p>
    <w:p w:rsidR="000F5865" w:rsidRDefault="00C03C1A">
      <w:pPr>
        <w:pStyle w:val="BodyText"/>
        <w:rPr>
          <w:lang w:eastAsia="zh-CN"/>
        </w:rPr>
      </w:pPr>
      <w:r>
        <w:rPr>
          <w:lang w:eastAsia="zh-CN"/>
        </w:rPr>
        <w:t>证监会建议将《证券及期货条例》下内幕交易条文的范围扩阔至涵盖：</w:t>
      </w:r>
    </w:p>
    <w:p w:rsidR="000F5865" w:rsidRDefault="00C03C1A">
      <w:pPr>
        <w:pStyle w:val="Compact"/>
        <w:numPr>
          <w:ilvl w:val="0"/>
          <w:numId w:val="8"/>
        </w:numPr>
        <w:rPr>
          <w:lang w:eastAsia="zh-CN"/>
        </w:rPr>
      </w:pPr>
      <w:r>
        <w:rPr>
          <w:lang w:eastAsia="zh-CN"/>
        </w:rPr>
        <w:t>在香港就境外上市证券或其衍生工具进行的内幕交易；及</w:t>
      </w:r>
    </w:p>
    <w:p w:rsidR="000F5865" w:rsidRDefault="00C03C1A">
      <w:pPr>
        <w:pStyle w:val="Compact"/>
        <w:numPr>
          <w:ilvl w:val="0"/>
          <w:numId w:val="8"/>
        </w:numPr>
        <w:rPr>
          <w:lang w:eastAsia="zh-CN"/>
        </w:rPr>
      </w:pPr>
      <w:r>
        <w:rPr>
          <w:lang w:eastAsia="zh-CN"/>
        </w:rPr>
        <w:t>在香港以外地方进行的内幕交易（前提是当中涉及任何香港上市证券或其衍生工具）。</w:t>
      </w:r>
    </w:p>
    <w:p w:rsidR="000F5865" w:rsidRDefault="00C03C1A">
      <w:pPr>
        <w:pStyle w:val="FirstParagraph"/>
        <w:rPr>
          <w:lang w:eastAsia="zh-CN"/>
        </w:rPr>
      </w:pPr>
      <w:r>
        <w:rPr>
          <w:lang w:eastAsia="zh-CN"/>
        </w:rPr>
        <w:t>打击在香港进行的内幕交易的能力下降</w:t>
      </w:r>
    </w:p>
    <w:p w:rsidR="000F5865" w:rsidRDefault="00C03C1A">
      <w:pPr>
        <w:pStyle w:val="BodyText"/>
        <w:rPr>
          <w:lang w:eastAsia="zh-CN"/>
        </w:rPr>
      </w:pPr>
      <w:r>
        <w:rPr>
          <w:lang w:eastAsia="zh-CN"/>
        </w:rPr>
        <w:t>证监会在有关咨询文件中指出，证监会一直只能够透过向相关司法管辖区的证券规管机构提供情报</w:t>
      </w:r>
      <w:r>
        <w:rPr>
          <w:lang w:eastAsia="zh-CN"/>
        </w:rPr>
        <w:t>，来处理涉嫌就境外上市证券或其衍生工具在香港进行的内幕交易个案。然而，此举并非解决严重的境外上市证券或其衍生工具内幕交易案的良策，而当中大部分证据均可在香港搜集。证监会认为其需要能够直接在香港对有关失当行为进行惩处，藉以发出强烈的阻吓讯息。</w:t>
      </w:r>
    </w:p>
    <w:p w:rsidR="000F5865" w:rsidRDefault="00C03C1A">
      <w:pPr>
        <w:pStyle w:val="BodyText"/>
        <w:rPr>
          <w:lang w:eastAsia="zh-CN"/>
        </w:rPr>
      </w:pPr>
      <w:r>
        <w:rPr>
          <w:lang w:eastAsia="zh-CN"/>
        </w:rPr>
        <w:t>该咨询文件还给出了</w:t>
      </w:r>
      <w:r>
        <w:rPr>
          <w:i/>
          <w:lang w:eastAsia="zh-CN"/>
        </w:rPr>
        <w:t>证券及期货事务监察委员会诉杨碧凤及其他人士</w:t>
      </w:r>
      <w:r>
        <w:rPr>
          <w:i/>
          <w:lang w:eastAsia="zh-CN"/>
        </w:rPr>
        <w:t xml:space="preserve"> [2019]HKC254</w:t>
      </w:r>
      <w:r>
        <w:rPr>
          <w:i/>
          <w:lang w:eastAsia="zh-CN"/>
        </w:rPr>
        <w:t>一案</w:t>
      </w:r>
      <w:r>
        <w:rPr>
          <w:lang w:eastAsia="zh-CN"/>
        </w:rPr>
        <w:t>作为样例，该案涉及在香港的被告人根据在香港取得的内幕消息，就一家在香港以外地方上市的公司的股份进行交易。由于有关公司并非在香港上市，故相关内幕交易制度并不适用，不过证监会透过证实被</w:t>
      </w:r>
      <w:r>
        <w:rPr>
          <w:lang w:eastAsia="zh-CN"/>
        </w:rPr>
        <w:t>告人曾发生违反《证券及期货条例》第</w:t>
      </w:r>
      <w:r>
        <w:rPr>
          <w:lang w:eastAsia="zh-CN"/>
        </w:rPr>
        <w:t>300</w:t>
      </w:r>
      <w:r>
        <w:rPr>
          <w:lang w:eastAsia="zh-CN"/>
        </w:rPr>
        <w:t>条（禁止在涉及证券</w:t>
      </w:r>
      <w:r>
        <w:rPr>
          <w:lang w:eastAsia="zh-CN"/>
        </w:rPr>
        <w:lastRenderedPageBreak/>
        <w:t>的交易中存在欺诈或欺骗性质的计划）的情况，成功取得根据《证券及期货条例》第</w:t>
      </w:r>
      <w:r>
        <w:rPr>
          <w:lang w:eastAsia="zh-CN"/>
        </w:rPr>
        <w:t>213</w:t>
      </w:r>
      <w:r>
        <w:rPr>
          <w:lang w:eastAsia="zh-CN"/>
        </w:rPr>
        <w:t>条提起的民事法律程序。然而，证监会在有关咨询文件中指出，第</w:t>
      </w:r>
      <w:r>
        <w:rPr>
          <w:lang w:eastAsia="zh-CN"/>
        </w:rPr>
        <w:t>300</w:t>
      </w:r>
      <w:r>
        <w:rPr>
          <w:lang w:eastAsia="zh-CN"/>
        </w:rPr>
        <w:t>条所禁止的行为类别与内幕交易条文所禁止的行为类别在概念上存在着一个重要的差异。第</w:t>
      </w:r>
      <w:r>
        <w:rPr>
          <w:lang w:eastAsia="zh-CN"/>
        </w:rPr>
        <w:t>300</w:t>
      </w:r>
      <w:r>
        <w:rPr>
          <w:lang w:eastAsia="zh-CN"/>
        </w:rPr>
        <w:t>条旨在应对特定人士之间的交易所涉及具欺诈或欺骗性质的作为，而非欺骗整体市场的欺诈及误导整体市场的行为。因为这个在概念上的差异，可寻求济助的性质及款额变得不同。例如，在杨碧凤案中，其中一名被告人作为受信人，透过不当地使用内幕消</w:t>
      </w:r>
      <w:r>
        <w:rPr>
          <w:lang w:eastAsia="zh-CN"/>
        </w:rPr>
        <w:t>息，欺诈或欺骗了其主事人（即其雇主</w:t>
      </w:r>
      <w:r>
        <w:rPr>
          <w:lang w:eastAsia="zh-CN"/>
        </w:rPr>
        <w:t xml:space="preserve"> ── </w:t>
      </w:r>
      <w:r>
        <w:rPr>
          <w:lang w:eastAsia="zh-CN"/>
        </w:rPr>
        <w:t>一家香港律师事务所，及其客户</w:t>
      </w:r>
      <w:r>
        <w:rPr>
          <w:lang w:eastAsia="zh-CN"/>
        </w:rPr>
        <w:t xml:space="preserve"> ── </w:t>
      </w:r>
      <w:r>
        <w:rPr>
          <w:lang w:eastAsia="zh-CN"/>
        </w:rPr>
        <w:t>一家香港银行），使各被告人（包括其本人）得以从证券交易中获利。法庭根据第</w:t>
      </w:r>
      <w:r>
        <w:rPr>
          <w:lang w:eastAsia="zh-CN"/>
        </w:rPr>
        <w:t>213</w:t>
      </w:r>
      <w:r>
        <w:rPr>
          <w:lang w:eastAsia="zh-CN"/>
        </w:rPr>
        <w:t>条所授予的回复原状令，仅要求该被告人将来自不法交易的利润退还予有关银行（即各被告人的欺诈或欺骗行为的受害人之一）。但是，假如可以违反有关内幕交易条文（即第</w:t>
      </w:r>
      <w:r>
        <w:rPr>
          <w:lang w:eastAsia="zh-CN"/>
        </w:rPr>
        <w:t>270</w:t>
      </w:r>
      <w:r>
        <w:rPr>
          <w:lang w:eastAsia="zh-CN"/>
        </w:rPr>
        <w:t>或</w:t>
      </w:r>
      <w:r>
        <w:rPr>
          <w:lang w:eastAsia="zh-CN"/>
        </w:rPr>
        <w:t>291</w:t>
      </w:r>
      <w:r>
        <w:rPr>
          <w:lang w:eastAsia="zh-CN"/>
        </w:rPr>
        <w:t>条）为由而寻求回复原状令，那么该命令便会以使被不法交易影响的受屈投资者回复致他们订立有关交易之前的状况作为计算基准。</w:t>
      </w:r>
    </w:p>
    <w:p w:rsidR="000F5865" w:rsidRDefault="00C03C1A">
      <w:pPr>
        <w:pStyle w:val="BodyText"/>
        <w:rPr>
          <w:lang w:eastAsia="zh-CN"/>
        </w:rPr>
      </w:pPr>
      <w:r>
        <w:rPr>
          <w:lang w:eastAsia="zh-CN"/>
        </w:rPr>
        <w:t>证监会打击内幕交易的能力因以下事实进一步受限：《证券及期货条例》并无明</w:t>
      </w:r>
      <w:r>
        <w:rPr>
          <w:lang w:eastAsia="zh-CN"/>
        </w:rPr>
        <w:t>文涵盖涉及香港上市证券或其衍生工具，而导致违反第</w:t>
      </w:r>
      <w:r>
        <w:rPr>
          <w:lang w:eastAsia="zh-CN"/>
        </w:rPr>
        <w:t>270</w:t>
      </w:r>
      <w:r>
        <w:rPr>
          <w:lang w:eastAsia="zh-CN"/>
        </w:rPr>
        <w:t>或</w:t>
      </w:r>
      <w:r>
        <w:rPr>
          <w:lang w:eastAsia="zh-CN"/>
        </w:rPr>
        <w:t>291</w:t>
      </w:r>
      <w:r>
        <w:rPr>
          <w:lang w:eastAsia="zh-CN"/>
        </w:rPr>
        <w:t>条的作为是在香港以外地方发生的内幕交易。内幕交易制度没有明订条文指明地域涵盖范围，意味着证监会必须采用普通法准则来厘定每宗个案的领域管辖权。</w:t>
      </w:r>
      <w:hyperlink w:anchor="footnote-598-7">
        <w:r>
          <w:rPr>
            <w:vertAlign w:val="superscript"/>
            <w:lang w:eastAsia="zh-CN"/>
          </w:rPr>
          <w:t>7</w:t>
        </w:r>
      </w:hyperlink>
      <w:r>
        <w:rPr>
          <w:lang w:eastAsia="zh-CN"/>
        </w:rPr>
        <w:t xml:space="preserve"> </w:t>
      </w:r>
      <w:r>
        <w:rPr>
          <w:lang w:eastAsia="zh-CN"/>
        </w:rPr>
        <w:t>证监会估计，其在</w:t>
      </w:r>
      <w:r>
        <w:rPr>
          <w:lang w:eastAsia="zh-CN"/>
        </w:rPr>
        <w:t>2017</w:t>
      </w:r>
      <w:r>
        <w:rPr>
          <w:lang w:eastAsia="zh-CN"/>
        </w:rPr>
        <w:t>年至</w:t>
      </w:r>
      <w:r>
        <w:rPr>
          <w:lang w:eastAsia="zh-CN"/>
        </w:rPr>
        <w:t>2021</w:t>
      </w:r>
      <w:r>
        <w:rPr>
          <w:lang w:eastAsia="zh-CN"/>
        </w:rPr>
        <w:t>年期间处理的内幕交易个案中，约有</w:t>
      </w:r>
      <w:r>
        <w:rPr>
          <w:lang w:eastAsia="zh-CN"/>
        </w:rPr>
        <w:t>61%</w:t>
      </w:r>
      <w:r>
        <w:rPr>
          <w:lang w:eastAsia="zh-CN"/>
        </w:rPr>
        <w:t>涉及在香港以外地方、就香港上市证券或其衍生工具进行的内幕交易。因此，建议扩大《证券及期货条例》内幕交易制度至涵盖在香港以外发生，关于香港上市证券或其衍生工具进</w:t>
      </w:r>
      <w:r>
        <w:rPr>
          <w:lang w:eastAsia="zh-CN"/>
        </w:rPr>
        <w:t>行的任何行为。</w:t>
      </w:r>
    </w:p>
    <w:p w:rsidR="000F5865" w:rsidRDefault="00C03C1A">
      <w:pPr>
        <w:pStyle w:val="BodyText"/>
        <w:rPr>
          <w:lang w:eastAsia="zh-CN"/>
        </w:rPr>
      </w:pPr>
      <w:r>
        <w:rPr>
          <w:lang w:eastAsia="zh-CN"/>
        </w:rPr>
        <w:t>与其他主要普通法司法管辖区及《证券及期货条例》的其他市场失当行为条文的比较</w:t>
      </w:r>
    </w:p>
    <w:p w:rsidR="000F5865" w:rsidRDefault="00C03C1A">
      <w:pPr>
        <w:pStyle w:val="BodyText"/>
        <w:rPr>
          <w:lang w:eastAsia="zh-CN"/>
        </w:rPr>
      </w:pPr>
      <w:r>
        <w:rPr>
          <w:lang w:eastAsia="zh-CN"/>
        </w:rPr>
        <w:t>其他主要普通法司法管辖区的内幕交易法例同时规限与当地发行人的证券有关的境外行为，以及与境外发行人的证券有关的当地行为。澳洲，新加坡及英国便是如此。</w:t>
      </w:r>
    </w:p>
    <w:p w:rsidR="000F5865" w:rsidRDefault="00C03C1A">
      <w:pPr>
        <w:pStyle w:val="BodyText"/>
        <w:rPr>
          <w:lang w:eastAsia="zh-CN"/>
        </w:rPr>
      </w:pPr>
      <w:r>
        <w:rPr>
          <w:lang w:eastAsia="zh-CN"/>
        </w:rPr>
        <w:t>在《证券及期货条例》中用以管限其他市场失当行为的条文，包括虚假交易（第</w:t>
      </w:r>
      <w:r>
        <w:rPr>
          <w:lang w:eastAsia="zh-CN"/>
        </w:rPr>
        <w:t>274</w:t>
      </w:r>
      <w:r>
        <w:rPr>
          <w:lang w:eastAsia="zh-CN"/>
        </w:rPr>
        <w:t>及</w:t>
      </w:r>
      <w:r>
        <w:rPr>
          <w:lang w:eastAsia="zh-CN"/>
        </w:rPr>
        <w:t>295</w:t>
      </w:r>
      <w:r>
        <w:rPr>
          <w:lang w:eastAsia="zh-CN"/>
        </w:rPr>
        <w:t>条）、操控价格（第</w:t>
      </w:r>
      <w:r>
        <w:rPr>
          <w:lang w:eastAsia="zh-CN"/>
        </w:rPr>
        <w:t>275</w:t>
      </w:r>
      <w:r>
        <w:rPr>
          <w:lang w:eastAsia="zh-CN"/>
        </w:rPr>
        <w:t>及</w:t>
      </w:r>
      <w:r>
        <w:rPr>
          <w:lang w:eastAsia="zh-CN"/>
        </w:rPr>
        <w:t>296</w:t>
      </w:r>
      <w:r>
        <w:rPr>
          <w:lang w:eastAsia="zh-CN"/>
        </w:rPr>
        <w:t>条）及操纵证券市场（第</w:t>
      </w:r>
      <w:r>
        <w:rPr>
          <w:lang w:eastAsia="zh-CN"/>
        </w:rPr>
        <w:t>278</w:t>
      </w:r>
      <w:r>
        <w:rPr>
          <w:lang w:eastAsia="zh-CN"/>
        </w:rPr>
        <w:t>及</w:t>
      </w:r>
      <w:r>
        <w:rPr>
          <w:lang w:eastAsia="zh-CN"/>
        </w:rPr>
        <w:t>299</w:t>
      </w:r>
      <w:r>
        <w:rPr>
          <w:lang w:eastAsia="zh-CN"/>
        </w:rPr>
        <w:t>条），在地域涵盖范围方面亦采纳了相若的方针。这些其他市场失当行为条文均明文涵盖在香港或其他地方作出对香港的金融市场造成影</w:t>
      </w:r>
      <w:r>
        <w:rPr>
          <w:lang w:eastAsia="zh-CN"/>
        </w:rPr>
        <w:t>响的不法作为，以及在香港作出对香港以外的金融市场造成影响的不法作为。</w:t>
      </w:r>
    </w:p>
    <w:p w:rsidR="000F5865" w:rsidRDefault="00C03C1A">
      <w:pPr>
        <w:pStyle w:val="BodyText"/>
        <w:rPr>
          <w:lang w:eastAsia="zh-CN"/>
        </w:rPr>
      </w:pPr>
      <w:r>
        <w:rPr>
          <w:lang w:eastAsia="zh-CN"/>
        </w:rPr>
        <w:t>因此，证监会建议扩大《证券及期货条例》下内幕交易条文的涵盖范围，会使该等条文与其他主要普通法司法管辖区的相关法例及《证券及期货条例》的其他市场失当行为条文看齐。建议的修订亦将加强证监会的监管权力，以打击于香港进行涉及在中国内地上市的</w:t>
      </w:r>
      <w:r>
        <w:rPr>
          <w:lang w:eastAsia="zh-CN"/>
        </w:rPr>
        <w:t>A</w:t>
      </w:r>
      <w:r>
        <w:rPr>
          <w:lang w:eastAsia="zh-CN"/>
        </w:rPr>
        <w:t>股（透过内地与香港股票市场交易互联互通机制买卖）的内幕交易。</w:t>
      </w:r>
    </w:p>
    <w:p w:rsidR="000F5865" w:rsidRDefault="00C03C1A">
      <w:pPr>
        <w:pStyle w:val="BodyText"/>
        <w:rPr>
          <w:lang w:eastAsia="zh-CN"/>
        </w:rPr>
      </w:pPr>
      <w:r>
        <w:rPr>
          <w:lang w:eastAsia="zh-CN"/>
        </w:rPr>
        <w:t>证监会关于内幕交易条文的建议</w:t>
      </w:r>
    </w:p>
    <w:p w:rsidR="000F5865" w:rsidRDefault="00C03C1A">
      <w:pPr>
        <w:pStyle w:val="BodyText"/>
      </w:pPr>
      <w:r>
        <w:t>证监会建议：</w:t>
      </w:r>
    </w:p>
    <w:p w:rsidR="000F5865" w:rsidRDefault="00C03C1A">
      <w:pPr>
        <w:pStyle w:val="Compact"/>
        <w:numPr>
          <w:ilvl w:val="0"/>
          <w:numId w:val="9"/>
        </w:numPr>
        <w:rPr>
          <w:lang w:eastAsia="zh-CN"/>
        </w:rPr>
      </w:pPr>
      <w:r>
        <w:rPr>
          <w:lang w:eastAsia="zh-CN"/>
        </w:rPr>
        <w:t>将《证券及期货条例》第</w:t>
      </w:r>
      <w:r>
        <w:rPr>
          <w:lang w:eastAsia="zh-CN"/>
        </w:rPr>
        <w:t>245(2)</w:t>
      </w:r>
      <w:r>
        <w:rPr>
          <w:lang w:eastAsia="zh-CN"/>
        </w:rPr>
        <w:t>条（民事制度）及第</w:t>
      </w:r>
      <w:r>
        <w:rPr>
          <w:lang w:eastAsia="zh-CN"/>
        </w:rPr>
        <w:t>285(2)</w:t>
      </w:r>
      <w:r>
        <w:rPr>
          <w:lang w:eastAsia="zh-CN"/>
        </w:rPr>
        <w:t>条（刑事制度）所界定</w:t>
      </w:r>
      <w:r>
        <w:rPr>
          <w:lang w:eastAsia="zh-CN"/>
        </w:rPr>
        <w:t>“</w:t>
      </w:r>
      <w:r>
        <w:rPr>
          <w:lang w:eastAsia="zh-CN"/>
        </w:rPr>
        <w:t>上市</w:t>
      </w:r>
      <w:r>
        <w:rPr>
          <w:lang w:eastAsia="zh-CN"/>
        </w:rPr>
        <w:t>”</w:t>
      </w:r>
      <w:r>
        <w:rPr>
          <w:lang w:eastAsia="zh-CN"/>
        </w:rPr>
        <w:t>的定义修订为包含境外上市证券或其衍生工具；及</w:t>
      </w:r>
    </w:p>
    <w:p w:rsidR="000F5865" w:rsidRDefault="00C03C1A">
      <w:pPr>
        <w:pStyle w:val="Compact"/>
        <w:numPr>
          <w:ilvl w:val="0"/>
          <w:numId w:val="9"/>
        </w:numPr>
        <w:rPr>
          <w:lang w:eastAsia="zh-CN"/>
        </w:rPr>
      </w:pPr>
      <w:r>
        <w:rPr>
          <w:lang w:eastAsia="zh-CN"/>
        </w:rPr>
        <w:t>在《证券及期货条例》第</w:t>
      </w:r>
      <w:r w:rsidR="00DF0417">
        <w:rPr>
          <w:lang w:eastAsia="zh-CN"/>
        </w:rPr>
        <w:t>XIII</w:t>
      </w:r>
      <w:r>
        <w:rPr>
          <w:lang w:eastAsia="zh-CN"/>
        </w:rPr>
        <w:t>部及第</w:t>
      </w:r>
      <w:r w:rsidR="00DF0417">
        <w:rPr>
          <w:lang w:eastAsia="zh-CN"/>
        </w:rPr>
        <w:t>XIV</w:t>
      </w:r>
      <w:r>
        <w:rPr>
          <w:lang w:eastAsia="zh-CN"/>
        </w:rPr>
        <w:t>部增订新条文，以将内幕交易制度的地域涵盖范围扩大至包括：</w:t>
      </w:r>
      <w:r>
        <w:rPr>
          <w:lang w:eastAsia="zh-CN"/>
        </w:rPr>
        <w:t>(i)</w:t>
      </w:r>
      <w:r>
        <w:rPr>
          <w:lang w:eastAsia="zh-CN"/>
        </w:rPr>
        <w:t>涉及香港上市证券或其衍生工具的任何内幕交易作为（不论在何地发生）；及</w:t>
      </w:r>
      <w:r>
        <w:rPr>
          <w:lang w:eastAsia="zh-CN"/>
        </w:rPr>
        <w:t>(ii)</w:t>
      </w:r>
      <w:r>
        <w:rPr>
          <w:lang w:eastAsia="zh-CN"/>
        </w:rPr>
        <w:t>涉及境外上市证券或其衍生工具的任何内幕交易作为（前提是该等作为中有一项或多于一项在香港发生）。</w:t>
      </w:r>
    </w:p>
    <w:p w:rsidR="000F5865" w:rsidRDefault="00C03C1A">
      <w:pPr>
        <w:pStyle w:val="FirstParagraph"/>
        <w:rPr>
          <w:lang w:eastAsia="zh-CN"/>
        </w:rPr>
      </w:pPr>
      <w:r>
        <w:rPr>
          <w:lang w:eastAsia="zh-CN"/>
        </w:rPr>
        <w:t>若该等建议实施，那么目前将内幕交易条文的范围扩展至在香港以外地方的证券市场进行且涉及两地上</w:t>
      </w:r>
      <w:r>
        <w:rPr>
          <w:lang w:eastAsia="zh-CN"/>
        </w:rPr>
        <w:t>市的香港证券或其衍生工具的交易（《证券及期货条例》第</w:t>
      </w:r>
      <w:r>
        <w:rPr>
          <w:lang w:eastAsia="zh-CN"/>
        </w:rPr>
        <w:t>270(2)</w:t>
      </w:r>
      <w:r>
        <w:rPr>
          <w:lang w:eastAsia="zh-CN"/>
        </w:rPr>
        <w:t>条（民事制度）及第</w:t>
      </w:r>
      <w:r>
        <w:rPr>
          <w:lang w:eastAsia="zh-CN"/>
        </w:rPr>
        <w:t>291(7)</w:t>
      </w:r>
      <w:r>
        <w:rPr>
          <w:lang w:eastAsia="zh-CN"/>
        </w:rPr>
        <w:t>条（刑事制度））的条文将变得冗余。鉴于此，证监会遂建议废除该两项条文。</w:t>
      </w:r>
    </w:p>
    <w:p w:rsidR="000F5865" w:rsidRDefault="00C03C1A">
      <w:pPr>
        <w:pStyle w:val="BodyText"/>
        <w:rPr>
          <w:lang w:eastAsia="zh-CN"/>
        </w:rPr>
      </w:pPr>
      <w:r>
        <w:rPr>
          <w:lang w:eastAsia="zh-CN"/>
        </w:rPr>
        <w:lastRenderedPageBreak/>
        <w:t>此外，证监会亦建议在《证券及期货条例》第</w:t>
      </w:r>
      <w:r>
        <w:rPr>
          <w:lang w:eastAsia="zh-CN"/>
        </w:rPr>
        <w:t>282</w:t>
      </w:r>
      <w:r>
        <w:rPr>
          <w:lang w:eastAsia="zh-CN"/>
        </w:rPr>
        <w:t>条及第</w:t>
      </w:r>
      <w:r>
        <w:rPr>
          <w:lang w:eastAsia="zh-CN"/>
        </w:rPr>
        <w:t>306</w:t>
      </w:r>
      <w:r>
        <w:rPr>
          <w:lang w:eastAsia="zh-CN"/>
        </w:rPr>
        <w:t>条新增一款，以致就将内幕交易制度的范围扩大至包含境外上市证券（或其衍生工具）而言（如有关行为在香港发生）的建议而言，若有关人员在有关境外司法管辖区作出的内幕交易行为亦属违法，那么其将仅对该内幕交易行为负责。此规定与其他类别的市场失当行为的立场相符。</w:t>
      </w:r>
    </w:p>
    <w:p w:rsidR="000F5865" w:rsidRDefault="00C03C1A">
      <w:pPr>
        <w:pStyle w:val="BodyText"/>
        <w:rPr>
          <w:lang w:eastAsia="zh-CN"/>
        </w:rPr>
      </w:pPr>
      <w:r>
        <w:rPr>
          <w:lang w:eastAsia="zh-CN"/>
        </w:rPr>
        <w:t>证监会还建议修订《证券及期货条例》第</w:t>
      </w:r>
      <w:r>
        <w:rPr>
          <w:lang w:eastAsia="zh-CN"/>
        </w:rPr>
        <w:t>2</w:t>
      </w:r>
      <w:r>
        <w:rPr>
          <w:lang w:eastAsia="zh-CN"/>
        </w:rPr>
        <w:t>71(5)</w:t>
      </w:r>
      <w:r>
        <w:rPr>
          <w:lang w:eastAsia="zh-CN"/>
        </w:rPr>
        <w:t>条，即</w:t>
      </w:r>
      <w:r>
        <w:rPr>
          <w:lang w:eastAsia="zh-CN"/>
        </w:rPr>
        <w:t xml:space="preserve"> “</w:t>
      </w:r>
      <w:r>
        <w:rPr>
          <w:lang w:eastAsia="zh-CN"/>
        </w:rPr>
        <w:t>场外交易免责辩护</w:t>
      </w:r>
      <w:r>
        <w:rPr>
          <w:lang w:eastAsia="zh-CN"/>
        </w:rPr>
        <w:t>”</w:t>
      </w:r>
      <w:r>
        <w:rPr>
          <w:lang w:eastAsia="zh-CN"/>
        </w:rPr>
        <w:t>，以致于该免责辩护亦适用于涉及境外上市证券（或其衍生工具）的内幕交易。</w:t>
      </w:r>
    </w:p>
    <w:p w:rsidR="000F5865" w:rsidRDefault="00C03C1A">
      <w:pPr>
        <w:pStyle w:val="BodyText"/>
        <w:rPr>
          <w:lang w:eastAsia="zh-CN"/>
        </w:rPr>
      </w:pPr>
      <w:r>
        <w:rPr>
          <w:lang w:eastAsia="zh-CN"/>
        </w:rPr>
        <w:t>目前，第</w:t>
      </w:r>
      <w:r>
        <w:rPr>
          <w:lang w:eastAsia="zh-CN"/>
        </w:rPr>
        <w:t>270(2)(b)</w:t>
      </w:r>
      <w:r>
        <w:rPr>
          <w:lang w:eastAsia="zh-CN"/>
        </w:rPr>
        <w:t>及</w:t>
      </w:r>
      <w:r>
        <w:rPr>
          <w:lang w:eastAsia="zh-CN"/>
        </w:rPr>
        <w:t>291(7)(b)</w:t>
      </w:r>
      <w:r>
        <w:rPr>
          <w:lang w:eastAsia="zh-CN"/>
        </w:rPr>
        <w:t>条（关于两地上市证券或其衍生工具）与第</w:t>
      </w:r>
      <w:r>
        <w:rPr>
          <w:lang w:eastAsia="zh-CN"/>
        </w:rPr>
        <w:t>270</w:t>
      </w:r>
      <w:r>
        <w:rPr>
          <w:lang w:eastAsia="zh-CN"/>
        </w:rPr>
        <w:t>及</w:t>
      </w:r>
      <w:r>
        <w:rPr>
          <w:lang w:eastAsia="zh-CN"/>
        </w:rPr>
        <w:t>291</w:t>
      </w:r>
      <w:r>
        <w:rPr>
          <w:lang w:eastAsia="zh-CN"/>
        </w:rPr>
        <w:t>条的其他各款（处理关于纯粹就香港上市证券或其衍生工具内幕消息作出的披露），在有关披露内幕消息的犯罪意图元素的构成方面存在差异。当掌握内幕消息的人知道或有合理因由相信获披露该内幕消息的人或其他人可能会就有关上市证券或其衍生工具进行交易时，第</w:t>
      </w:r>
      <w:r>
        <w:rPr>
          <w:lang w:eastAsia="zh-CN"/>
        </w:rPr>
        <w:t>270(2)(b)</w:t>
      </w:r>
      <w:r>
        <w:rPr>
          <w:lang w:eastAsia="zh-CN"/>
        </w:rPr>
        <w:t>及</w:t>
      </w:r>
      <w:r>
        <w:rPr>
          <w:lang w:eastAsia="zh-CN"/>
        </w:rPr>
        <w:t>291(7)(b)</w:t>
      </w:r>
      <w:r>
        <w:rPr>
          <w:lang w:eastAsia="zh-CN"/>
        </w:rPr>
        <w:t>条下规定的犯罪意图元素即具备</w:t>
      </w:r>
      <w:r>
        <w:rPr>
          <w:lang w:eastAsia="zh-CN"/>
        </w:rPr>
        <w:t>。关乎仅仅在香港上市证券或其衍生工具的其他各款采用的构成因素则较为狭獈，要求披露内幕消息的人须知道或有合理因由相信只有获披露内幕消息的人会就有关上市证券进行交易。证监会建议将两项构成因素划一，采纳第</w:t>
      </w:r>
      <w:r>
        <w:rPr>
          <w:lang w:eastAsia="zh-CN"/>
        </w:rPr>
        <w:t>270(2)(b)</w:t>
      </w:r>
      <w:r>
        <w:rPr>
          <w:lang w:eastAsia="zh-CN"/>
        </w:rPr>
        <w:t>及</w:t>
      </w:r>
      <w:r>
        <w:rPr>
          <w:lang w:eastAsia="zh-CN"/>
        </w:rPr>
        <w:t>291(7)(b)</w:t>
      </w:r>
      <w:r>
        <w:rPr>
          <w:lang w:eastAsia="zh-CN"/>
        </w:rPr>
        <w:t>条的行文。</w:t>
      </w:r>
    </w:p>
    <w:p w:rsidR="000F5865" w:rsidRDefault="00C03C1A" w:rsidP="00DF0417">
      <w:pPr>
        <w:pStyle w:val="BodyText"/>
        <w:jc w:val="left"/>
        <w:rPr>
          <w:lang w:eastAsia="zh-CN"/>
        </w:rPr>
      </w:pPr>
      <w:hyperlink w:anchor="footnote-598-1-backlink">
        <w:r>
          <w:rPr>
            <w:lang w:eastAsia="zh-CN"/>
          </w:rPr>
          <w:t>1</w:t>
        </w:r>
      </w:hyperlink>
      <w:r>
        <w:rPr>
          <w:lang w:eastAsia="zh-CN"/>
        </w:rPr>
        <w:t xml:space="preserve"> </w:t>
      </w:r>
      <w:r>
        <w:rPr>
          <w:lang w:eastAsia="zh-CN"/>
        </w:rPr>
        <w:t>受规管人士包括：</w:t>
      </w:r>
      <w:r>
        <w:rPr>
          <w:lang w:eastAsia="zh-CN"/>
        </w:rPr>
        <w:t>(i)</w:t>
      </w:r>
      <w:r>
        <w:rPr>
          <w:lang w:eastAsia="zh-CN"/>
        </w:rPr>
        <w:t>持牌法团，持牌法团负责人员，持牌代表及参与其管理的人员；及</w:t>
      </w:r>
      <w:r>
        <w:rPr>
          <w:lang w:eastAsia="zh-CN"/>
        </w:rPr>
        <w:t>(ii)</w:t>
      </w:r>
      <w:r>
        <w:rPr>
          <w:lang w:eastAsia="zh-CN"/>
        </w:rPr>
        <w:t>注册机构，注册机构主管人员，注册个人及参与其注册的受规管活动的管理工作的人员</w:t>
      </w:r>
    </w:p>
    <w:p w:rsidR="000F5865" w:rsidRDefault="00C03C1A" w:rsidP="00DF0417">
      <w:pPr>
        <w:pStyle w:val="BodyText"/>
        <w:jc w:val="left"/>
        <w:rPr>
          <w:lang w:eastAsia="zh-CN"/>
        </w:rPr>
      </w:pPr>
      <w:hyperlink w:anchor="footnote-598-2-backlink">
        <w:r>
          <w:rPr>
            <w:lang w:eastAsia="zh-CN"/>
          </w:rPr>
          <w:t>2</w:t>
        </w:r>
      </w:hyperlink>
      <w:r>
        <w:rPr>
          <w:lang w:eastAsia="zh-CN"/>
        </w:rPr>
        <w:t xml:space="preserve"> </w:t>
      </w:r>
      <w:r>
        <w:rPr>
          <w:lang w:eastAsia="zh-CN"/>
        </w:rPr>
        <w:t>《证券及期货条例》附表</w:t>
      </w:r>
      <w:r>
        <w:rPr>
          <w:lang w:eastAsia="zh-CN"/>
        </w:rPr>
        <w:t>1</w:t>
      </w:r>
      <w:r>
        <w:rPr>
          <w:lang w:eastAsia="zh-CN"/>
        </w:rPr>
        <w:t>第</w:t>
      </w:r>
      <w:r>
        <w:rPr>
          <w:lang w:eastAsia="zh-CN"/>
        </w:rPr>
        <w:t>1</w:t>
      </w:r>
      <w:r>
        <w:rPr>
          <w:lang w:eastAsia="zh-CN"/>
        </w:rPr>
        <w:t>部第</w:t>
      </w:r>
      <w:r>
        <w:rPr>
          <w:lang w:eastAsia="zh-CN"/>
        </w:rPr>
        <w:t>1</w:t>
      </w:r>
      <w:r>
        <w:rPr>
          <w:lang w:eastAsia="zh-CN"/>
        </w:rPr>
        <w:t>条</w:t>
      </w:r>
    </w:p>
    <w:p w:rsidR="000F5865" w:rsidRDefault="00C03C1A" w:rsidP="00DF0417">
      <w:pPr>
        <w:pStyle w:val="BodyText"/>
        <w:jc w:val="left"/>
        <w:rPr>
          <w:lang w:eastAsia="zh-CN"/>
        </w:rPr>
      </w:pPr>
      <w:hyperlink w:anchor="footnote-598-3-backlink">
        <w:r>
          <w:rPr>
            <w:lang w:eastAsia="zh-CN"/>
          </w:rPr>
          <w:t>3</w:t>
        </w:r>
      </w:hyperlink>
      <w:r>
        <w:rPr>
          <w:lang w:eastAsia="zh-CN"/>
        </w:rPr>
        <w:t xml:space="preserve"> </w:t>
      </w:r>
      <w:r>
        <w:rPr>
          <w:lang w:eastAsia="zh-CN"/>
        </w:rPr>
        <w:t>证监会新闻发布「</w:t>
      </w:r>
      <w:r>
        <w:rPr>
          <w:lang w:eastAsia="zh-CN"/>
        </w:rPr>
        <w:t>Tiger Asia</w:t>
      </w:r>
      <w:r>
        <w:rPr>
          <w:lang w:eastAsia="zh-CN"/>
        </w:rPr>
        <w:t>承认进行内幕交易及被法庭命令向投资者支付</w:t>
      </w:r>
      <w:r>
        <w:rPr>
          <w:lang w:eastAsia="zh-CN"/>
        </w:rPr>
        <w:t>4,500</w:t>
      </w:r>
      <w:r>
        <w:rPr>
          <w:lang w:eastAsia="zh-CN"/>
        </w:rPr>
        <w:t>万元」</w:t>
      </w:r>
    </w:p>
    <w:p w:rsidR="000F5865" w:rsidRDefault="00C03C1A" w:rsidP="00DF0417">
      <w:pPr>
        <w:pStyle w:val="BodyText"/>
        <w:jc w:val="left"/>
        <w:rPr>
          <w:lang w:eastAsia="zh-CN"/>
        </w:rPr>
      </w:pPr>
      <w:r>
        <w:rPr>
          <w:lang w:eastAsia="zh-CN"/>
        </w:rPr>
        <w:t>载列于</w:t>
      </w:r>
      <w:r>
        <w:rPr>
          <w:lang w:eastAsia="zh-CN"/>
        </w:rPr>
        <w:t xml:space="preserve"> </w:t>
      </w:r>
      <w:hyperlink r:id="rId9">
        <w:r>
          <w:rPr>
            <w:lang w:eastAsia="zh-CN"/>
          </w:rPr>
          <w:t>https://apps.sfc.hk/edistributionWeb/gateway/TC/news-and-announcements/news/enforcement-news/doc?refNo=13PR127</w:t>
        </w:r>
      </w:hyperlink>
    </w:p>
    <w:p w:rsidR="000F5865" w:rsidRDefault="00C03C1A" w:rsidP="00DF0417">
      <w:pPr>
        <w:pStyle w:val="BodyText"/>
        <w:jc w:val="left"/>
        <w:rPr>
          <w:lang w:eastAsia="zh-CN"/>
        </w:rPr>
      </w:pPr>
      <w:hyperlink w:anchor="footnote-598-4-backlink">
        <w:r>
          <w:rPr>
            <w:lang w:eastAsia="zh-CN"/>
          </w:rPr>
          <w:t>4</w:t>
        </w:r>
      </w:hyperlink>
      <w:r>
        <w:rPr>
          <w:lang w:eastAsia="zh-CN"/>
        </w:rPr>
        <w:t xml:space="preserve"> </w:t>
      </w:r>
      <w:r>
        <w:rPr>
          <w:lang w:eastAsia="zh-CN"/>
        </w:rPr>
        <w:t>证监会演讲辞「全亚洲的合规及腐败</w:t>
      </w:r>
      <w:r>
        <w:rPr>
          <w:lang w:eastAsia="zh-CN"/>
        </w:rPr>
        <w:t>-</w:t>
      </w:r>
      <w:r>
        <w:rPr>
          <w:lang w:eastAsia="zh-CN"/>
        </w:rPr>
        <w:t>亚洲合规峰会」载列于</w:t>
      </w:r>
      <w:r>
        <w:rPr>
          <w:lang w:eastAsia="zh-CN"/>
        </w:rPr>
        <w:t xml:space="preserve"> </w:t>
      </w:r>
      <w:hyperlink r:id="rId10">
        <w:r>
          <w:rPr>
            <w:lang w:eastAsia="zh-CN"/>
          </w:rPr>
          <w:t>https://www.sfc.hk/-/media/EN/files/ER/PDF/Mark_20121108.pdf</w:t>
        </w:r>
      </w:hyperlink>
    </w:p>
    <w:p w:rsidR="000F5865" w:rsidRDefault="00C03C1A" w:rsidP="00DF0417">
      <w:pPr>
        <w:pStyle w:val="BodyText"/>
        <w:jc w:val="left"/>
        <w:rPr>
          <w:lang w:eastAsia="zh-CN"/>
        </w:rPr>
      </w:pPr>
      <w:hyperlink w:anchor="footnote-598-5-backlink">
        <w:r>
          <w:rPr>
            <w:lang w:eastAsia="zh-CN"/>
          </w:rPr>
          <w:t>5</w:t>
        </w:r>
      </w:hyperlink>
      <w:r>
        <w:rPr>
          <w:lang w:eastAsia="zh-CN"/>
        </w:rPr>
        <w:t xml:space="preserve"> </w:t>
      </w:r>
      <w:hyperlink r:id="rId11">
        <w:r>
          <w:rPr>
            <w:lang w:eastAsia="zh-CN"/>
          </w:rPr>
          <w:t>太平阳投资顾问（香港）有限公司及莫昂迪诉香港证监会</w:t>
        </w:r>
        <w:r>
          <w:rPr>
            <w:lang w:eastAsia="zh-CN"/>
          </w:rPr>
          <w:t>[2015]HKCFA27</w:t>
        </w:r>
      </w:hyperlink>
    </w:p>
    <w:p w:rsidR="000F5865" w:rsidRDefault="00C03C1A" w:rsidP="00DF0417">
      <w:pPr>
        <w:pStyle w:val="BodyText"/>
        <w:jc w:val="left"/>
        <w:rPr>
          <w:lang w:eastAsia="zh-CN"/>
        </w:rPr>
      </w:pPr>
      <w:hyperlink w:anchor="footnote-598-6-backlink">
        <w:r>
          <w:rPr>
            <w:lang w:eastAsia="zh-CN"/>
          </w:rPr>
          <w:t>6</w:t>
        </w:r>
      </w:hyperlink>
      <w:r>
        <w:rPr>
          <w:lang w:eastAsia="zh-CN"/>
        </w:rPr>
        <w:t xml:space="preserve"> </w:t>
      </w:r>
      <w:r>
        <w:rPr>
          <w:lang w:eastAsia="zh-CN"/>
        </w:rPr>
        <w:t>「境外证券市场」指的是在香港以外地方的任何证券市场，其在用法上与《证券及期货条例》第</w:t>
      </w:r>
      <w:r>
        <w:rPr>
          <w:lang w:eastAsia="zh-CN"/>
        </w:rPr>
        <w:t xml:space="preserve"> 245 </w:t>
      </w:r>
      <w:r>
        <w:rPr>
          <w:lang w:eastAsia="zh-CN"/>
        </w:rPr>
        <w:t>及</w:t>
      </w:r>
      <w:r>
        <w:rPr>
          <w:lang w:eastAsia="zh-CN"/>
        </w:rPr>
        <w:t xml:space="preserve"> 285 </w:t>
      </w:r>
      <w:r>
        <w:rPr>
          <w:lang w:eastAsia="zh-CN"/>
        </w:rPr>
        <w:t>条内「有关境外市场」一词类似。</w:t>
      </w:r>
    </w:p>
    <w:p w:rsidR="000F5865" w:rsidRDefault="00C03C1A" w:rsidP="00DF0417">
      <w:pPr>
        <w:pStyle w:val="BodyText"/>
        <w:jc w:val="left"/>
        <w:rPr>
          <w:lang w:eastAsia="zh-CN"/>
        </w:rPr>
      </w:pPr>
      <w:hyperlink w:anchor="footnote-598-7-backlink">
        <w:r>
          <w:rPr>
            <w:lang w:eastAsia="zh-CN"/>
          </w:rPr>
          <w:t>7</w:t>
        </w:r>
      </w:hyperlink>
      <w:r>
        <w:rPr>
          <w:lang w:eastAsia="zh-CN"/>
        </w:rPr>
        <w:t xml:space="preserve"> </w:t>
      </w:r>
      <w:r>
        <w:rPr>
          <w:lang w:eastAsia="zh-CN"/>
        </w:rPr>
        <w:t>该准则是要评定有关罪行的重大程度的活动是否在香港境内发生的：香港特别行政区诉</w:t>
      </w:r>
      <w:r>
        <w:rPr>
          <w:lang w:eastAsia="zh-CN"/>
        </w:rPr>
        <w:t xml:space="preserve"> Wong Tak Keun</w:t>
      </w:r>
      <w:r>
        <w:rPr>
          <w:lang w:eastAsia="zh-CN"/>
        </w:rPr>
        <w:t xml:space="preserve">g (2015) 18HKCFAR 62 </w:t>
      </w:r>
      <w:r>
        <w:rPr>
          <w:lang w:eastAsia="zh-CN"/>
        </w:rPr>
        <w:t>一案及证券及期货事务监察委员会诉杨碧凤及其他人士</w:t>
      </w:r>
      <w:r>
        <w:rPr>
          <w:lang w:eastAsia="zh-CN"/>
        </w:rPr>
        <w:t>[2018]1HKC246</w:t>
      </w:r>
      <w:r>
        <w:rPr>
          <w:lang w:eastAsia="zh-CN"/>
        </w:rPr>
        <w:t>一案。</w:t>
      </w:r>
    </w:p>
    <w:p w:rsidR="000F5865" w:rsidRDefault="00C03C1A">
      <w:pPr>
        <w:pStyle w:val="DisclaimerBold"/>
        <w:rPr>
          <w:lang w:eastAsia="zh-CN"/>
        </w:rPr>
      </w:pPr>
      <w:r>
        <w:rPr>
          <w:lang w:eastAsia="zh-CN"/>
        </w:rPr>
        <w:t>此法讯仅为提供相关资料信息之用，其内容并</w:t>
      </w:r>
    </w:p>
    <w:p w:rsidR="000F5865" w:rsidRDefault="00C03C1A">
      <w:pPr>
        <w:pStyle w:val="Disclaimer"/>
        <w:rPr>
          <w:lang w:eastAsia="zh-CN"/>
        </w:rPr>
      </w:pPr>
      <w:r>
        <w:rPr>
          <w:lang w:eastAsia="zh-CN"/>
        </w:rPr>
        <w:t>不构成法律建议及个案的法律分析。</w:t>
      </w:r>
    </w:p>
    <w:p w:rsidR="000F5865" w:rsidRDefault="00C03C1A">
      <w:pPr>
        <w:pStyle w:val="Disclaimer"/>
        <w:rPr>
          <w:lang w:eastAsia="zh-CN"/>
        </w:rPr>
      </w:pPr>
      <w:r>
        <w:rPr>
          <w:lang w:eastAsia="zh-CN"/>
        </w:rPr>
        <w:t>此法讯的发送并不是为了在易周律师行与用户或浏览者之间建立一种律师与客户之关系。</w:t>
      </w:r>
    </w:p>
    <w:p w:rsidR="000F5865" w:rsidRDefault="00C03C1A">
      <w:pPr>
        <w:pStyle w:val="Disclaimer"/>
        <w:rPr>
          <w:lang w:eastAsia="zh-CN"/>
        </w:rPr>
      </w:pPr>
      <w:r>
        <w:rPr>
          <w:lang w:eastAsia="zh-CN"/>
        </w:rPr>
        <w:t>易周律师行并不对可从互联网获得的任何第三方内容负责。</w:t>
      </w:r>
    </w:p>
    <w:p w:rsidR="000F5865" w:rsidRDefault="00C03C1A">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0F5865" w:rsidRDefault="00C03C1A">
      <w:pPr>
        <w:pStyle w:val="BlackStrips"/>
      </w:pPr>
      <w:r>
        <w:t xml:space="preserve">Charltons - </w:t>
      </w:r>
      <w:r>
        <w:t>香港法律</w:t>
      </w:r>
      <w:bookmarkStart w:id="0" w:name="_GoBack"/>
      <w:bookmarkEnd w:id="0"/>
      <w:r>
        <w:t xml:space="preserve"> - 2022</w:t>
      </w:r>
      <w:r>
        <w:t>年</w:t>
      </w:r>
      <w:r>
        <w:t>12</w:t>
      </w:r>
      <w:r>
        <w:t>月</w:t>
      </w:r>
      <w:r>
        <w:t>28</w:t>
      </w:r>
      <w:r>
        <w:t>日</w:t>
      </w:r>
    </w:p>
    <w:sectPr w:rsidR="000F586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1A" w:rsidRDefault="00C03C1A">
      <w:pPr>
        <w:spacing w:after="0"/>
      </w:pPr>
      <w:r>
        <w:separator/>
      </w:r>
    </w:p>
  </w:endnote>
  <w:endnote w:type="continuationSeparator" w:id="0">
    <w:p w:rsidR="00C03C1A" w:rsidRDefault="00C03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1A" w:rsidRDefault="00C03C1A">
      <w:r>
        <w:separator/>
      </w:r>
    </w:p>
  </w:footnote>
  <w:footnote w:type="continuationSeparator" w:id="0">
    <w:p w:rsidR="00C03C1A" w:rsidRDefault="00C03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01E78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3E430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2A411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3B1289E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F5865"/>
    <w:rsid w:val="004E29B3"/>
    <w:rsid w:val="00590D07"/>
    <w:rsid w:val="00784D58"/>
    <w:rsid w:val="008D6863"/>
    <w:rsid w:val="00B86B75"/>
    <w:rsid w:val="00BC48D5"/>
    <w:rsid w:val="00C03C1A"/>
    <w:rsid w:val="00C36279"/>
    <w:rsid w:val="00DF0417"/>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6DCB"/>
  <w15:docId w15:val="{E685A7AB-8771-4C85-BB4B-F1CDEB65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TC&amp;refNo=21CP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zheng-jian-hui-jian-yi-dui-zheng-quan-ji-qi-huo-tiao-li-zhi-fa-zhi-du-zuo-zhong-da-xiu-ding"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2826;&#24179;&#38451;&#25237;&#36164;&#39038;&#38382;&#65288;&#39321;&#28207;&#65289;&#26377;&#38480;&#20844;&#21496;&#21450;&#33707;&#26114;&#36842;&#35785;&#39321;&#28207;&#35777;&#30417;&#20250;%5B2015%5DHKCFA27" TargetMode="External"/><Relationship Id="rId5" Type="http://schemas.openxmlformats.org/officeDocument/2006/relationships/footnotes" Target="footnotes.xml"/><Relationship Id="rId10" Type="http://schemas.openxmlformats.org/officeDocument/2006/relationships/hyperlink" Target="https://www.sfc.hk/-/media/EN/files/ER/PDF/Mark_20121108.pdf" TargetMode="External"/><Relationship Id="rId4" Type="http://schemas.openxmlformats.org/officeDocument/2006/relationships/webSettings" Target="webSettings.xml"/><Relationship Id="rId9" Type="http://schemas.openxmlformats.org/officeDocument/2006/relationships/hyperlink" Target="https://apps.sfc.hk/edistributionWeb/gateway/TC/news-and-announcements/news/enforcement-news/doc?refNo=13PR1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1468</Words>
  <Characters>8373</Characters>
  <Application>Microsoft Office Word</Application>
  <DocSecurity>0</DocSecurity>
  <Lines>69</Lines>
  <Paragraphs>19</Paragraphs>
  <ScaleCrop>false</ScaleCrop>
  <Company>Charltons</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2022-12-28T08:45:00Z</dcterms:created>
  <dcterms:modified xsi:type="dcterms:W3CDTF">2022-12-28T08:50:00Z</dcterms:modified>
</cp:coreProperties>
</file>