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DCB" w:rsidRDefault="00232A34">
      <w:pPr>
        <w:pStyle w:val="BlackStrips"/>
      </w:pPr>
      <w:r>
        <w:t xml:space="preserve">Charltons - </w:t>
      </w:r>
      <w:r>
        <w:t>香港法律</w:t>
      </w:r>
      <w:r>
        <w:t xml:space="preserve"> - 2023</w:t>
      </w:r>
      <w:r>
        <w:t>年</w:t>
      </w:r>
      <w:r>
        <w:t>3</w:t>
      </w:r>
      <w:r>
        <w:t>月</w:t>
      </w:r>
      <w:r>
        <w:t>7</w:t>
      </w:r>
      <w:r>
        <w:t>日</w:t>
      </w:r>
    </w:p>
    <w:p w:rsidR="00E66DCB" w:rsidRDefault="00232A34">
      <w:pPr>
        <w:pStyle w:val="ReadOnline"/>
        <w:rPr>
          <w:lang w:eastAsia="zh-CN"/>
        </w:rPr>
      </w:pPr>
      <w:hyperlink r:id="rId7">
        <w:r>
          <w:rPr>
            <w:lang w:eastAsia="zh-CN"/>
          </w:rPr>
          <w:t>online version</w:t>
        </w:r>
      </w:hyperlink>
    </w:p>
    <w:p w:rsidR="00E66DCB" w:rsidRDefault="00232A34">
      <w:pPr>
        <w:pStyle w:val="Title"/>
        <w:rPr>
          <w:lang w:eastAsia="zh-CN"/>
        </w:rPr>
      </w:pPr>
      <w:r>
        <w:rPr>
          <w:lang w:eastAsia="zh-CN"/>
        </w:rPr>
        <w:t>有关上市发行人股份计划的《香港交易所上市规则》新条文于</w:t>
      </w:r>
      <w:r>
        <w:rPr>
          <w:lang w:eastAsia="zh-CN"/>
        </w:rPr>
        <w:t>2023</w:t>
      </w:r>
      <w:r>
        <w:rPr>
          <w:lang w:eastAsia="zh-CN"/>
        </w:rPr>
        <w:t>年</w:t>
      </w:r>
      <w:r>
        <w:rPr>
          <w:lang w:eastAsia="zh-CN"/>
        </w:rPr>
        <w:t>1</w:t>
      </w:r>
      <w:r>
        <w:rPr>
          <w:lang w:eastAsia="zh-CN"/>
        </w:rPr>
        <w:t>月</w:t>
      </w:r>
      <w:r>
        <w:rPr>
          <w:lang w:eastAsia="zh-CN"/>
        </w:rPr>
        <w:t>1</w:t>
      </w:r>
      <w:r>
        <w:rPr>
          <w:lang w:eastAsia="zh-CN"/>
        </w:rPr>
        <w:t>日生效</w:t>
      </w:r>
    </w:p>
    <w:p w:rsidR="00E66DCB" w:rsidRDefault="00232A34">
      <w:pPr>
        <w:pStyle w:val="FirstParagraph"/>
        <w:rPr>
          <w:lang w:eastAsia="zh-CN"/>
        </w:rPr>
      </w:pPr>
      <w:r>
        <w:rPr>
          <w:lang w:eastAsia="zh-CN"/>
        </w:rPr>
        <w:t>2022</w:t>
      </w:r>
      <w:r>
        <w:rPr>
          <w:lang w:eastAsia="zh-CN"/>
        </w:rPr>
        <w:t>年</w:t>
      </w:r>
      <w:r>
        <w:rPr>
          <w:lang w:eastAsia="zh-CN"/>
        </w:rPr>
        <w:t>7</w:t>
      </w:r>
      <w:r>
        <w:rPr>
          <w:lang w:eastAsia="zh-CN"/>
        </w:rPr>
        <w:t>月</w:t>
      </w:r>
      <w:r>
        <w:rPr>
          <w:lang w:eastAsia="zh-CN"/>
        </w:rPr>
        <w:t>29</w:t>
      </w:r>
      <w:r>
        <w:rPr>
          <w:lang w:eastAsia="zh-CN"/>
        </w:rPr>
        <w:t>日，香港联合交易所有限公司（</w:t>
      </w:r>
      <w:r>
        <w:rPr>
          <w:b/>
          <w:lang w:eastAsia="zh-CN"/>
        </w:rPr>
        <w:t>香港交易所</w:t>
      </w:r>
      <w:r>
        <w:rPr>
          <w:lang w:eastAsia="zh-CN"/>
        </w:rPr>
        <w:t>）刊发了《有关上市发行人股份计划的</w:t>
      </w:r>
      <w:r>
        <w:rPr>
          <w:lang w:eastAsia="zh-CN"/>
        </w:rPr>
        <w:t>&lt;</w:t>
      </w:r>
      <w:r>
        <w:rPr>
          <w:lang w:eastAsia="zh-CN"/>
        </w:rPr>
        <w:t>上市规则</w:t>
      </w:r>
      <w:r>
        <w:rPr>
          <w:lang w:eastAsia="zh-CN"/>
        </w:rPr>
        <w:t>&gt;</w:t>
      </w:r>
      <w:r>
        <w:rPr>
          <w:lang w:eastAsia="zh-CN"/>
        </w:rPr>
        <w:t>条文修订建议以及</w:t>
      </w:r>
      <w:r>
        <w:rPr>
          <w:lang w:eastAsia="zh-CN"/>
        </w:rPr>
        <w:t>&lt;</w:t>
      </w:r>
      <w:r>
        <w:rPr>
          <w:lang w:eastAsia="zh-CN"/>
        </w:rPr>
        <w:t>上市规则</w:t>
      </w:r>
      <w:r>
        <w:rPr>
          <w:lang w:eastAsia="zh-CN"/>
        </w:rPr>
        <w:t>&gt;</w:t>
      </w:r>
      <w:r>
        <w:rPr>
          <w:lang w:eastAsia="zh-CN"/>
        </w:rPr>
        <w:t>的轻微修订》（</w:t>
      </w:r>
      <w:r>
        <w:rPr>
          <w:b/>
          <w:lang w:eastAsia="zh-CN"/>
        </w:rPr>
        <w:t>咨询总结</w:t>
      </w:r>
      <w:r>
        <w:rPr>
          <w:lang w:eastAsia="zh-CN"/>
        </w:rPr>
        <w:t>）。</w:t>
      </w:r>
    </w:p>
    <w:p w:rsidR="00E66DCB" w:rsidRDefault="00232A34">
      <w:pPr>
        <w:pStyle w:val="BodyText"/>
        <w:rPr>
          <w:lang w:eastAsia="zh-CN"/>
        </w:rPr>
      </w:pPr>
      <w:r>
        <w:rPr>
          <w:lang w:eastAsia="zh-CN"/>
        </w:rPr>
        <w:t>香港交易所之前针对扩大《上市规则》第</w:t>
      </w:r>
      <w:r>
        <w:rPr>
          <w:lang w:eastAsia="zh-CN"/>
        </w:rPr>
        <w:t>17</w:t>
      </w:r>
      <w:r>
        <w:rPr>
          <w:lang w:eastAsia="zh-CN"/>
        </w:rPr>
        <w:t>章适用范围以使其亦涵盖股份奖励计划的建议</w:t>
      </w:r>
      <w:hyperlink w:anchor="footnote-598-1">
        <w:r>
          <w:rPr>
            <w:vertAlign w:val="superscript"/>
            <w:lang w:eastAsia="zh-CN"/>
          </w:rPr>
          <w:t>1</w:t>
        </w:r>
      </w:hyperlink>
      <w:r>
        <w:rPr>
          <w:lang w:eastAsia="zh-CN"/>
        </w:rPr>
        <w:t>就已于</w:t>
      </w:r>
      <w:r>
        <w:rPr>
          <w:lang w:eastAsia="zh-CN"/>
        </w:rPr>
        <w:t>2021</w:t>
      </w:r>
      <w:r>
        <w:rPr>
          <w:lang w:eastAsia="zh-CN"/>
        </w:rPr>
        <w:t>年</w:t>
      </w:r>
      <w:r>
        <w:rPr>
          <w:lang w:eastAsia="zh-CN"/>
        </w:rPr>
        <w:t>10</w:t>
      </w:r>
      <w:r>
        <w:rPr>
          <w:lang w:eastAsia="zh-CN"/>
        </w:rPr>
        <w:t>月份发出过《有关上市发行人股份计划的</w:t>
      </w:r>
      <w:r>
        <w:rPr>
          <w:lang w:eastAsia="zh-CN"/>
        </w:rPr>
        <w:t>&lt;</w:t>
      </w:r>
      <w:r>
        <w:rPr>
          <w:lang w:eastAsia="zh-CN"/>
        </w:rPr>
        <w:t>上市规则</w:t>
      </w:r>
      <w:r>
        <w:rPr>
          <w:lang w:eastAsia="zh-CN"/>
        </w:rPr>
        <w:t>&gt;</w:t>
      </w:r>
      <w:r>
        <w:rPr>
          <w:lang w:eastAsia="zh-CN"/>
        </w:rPr>
        <w:t>条文修订建议的咨询文件》，原因是第</w:t>
      </w:r>
      <w:r>
        <w:rPr>
          <w:lang w:eastAsia="zh-CN"/>
        </w:rPr>
        <w:t>17</w:t>
      </w:r>
      <w:r>
        <w:rPr>
          <w:lang w:eastAsia="zh-CN"/>
        </w:rPr>
        <w:t>章现时提供了一</w:t>
      </w:r>
      <w:r>
        <w:rPr>
          <w:lang w:eastAsia="zh-CN"/>
        </w:rPr>
        <w:t>个仅涵盖股份期权计划的框架。还有针对第</w:t>
      </w:r>
      <w:r>
        <w:rPr>
          <w:lang w:eastAsia="zh-CN"/>
        </w:rPr>
        <w:t>17</w:t>
      </w:r>
      <w:r>
        <w:rPr>
          <w:lang w:eastAsia="zh-CN"/>
        </w:rPr>
        <w:t>章部分具体规定并改善授予股份期权及股份奖励的修订建议。该等重大修订主要涉及以下内容：</w:t>
      </w:r>
      <w:r>
        <w:rPr>
          <w:lang w:eastAsia="zh-CN"/>
        </w:rPr>
        <w:t>(i)</w:t>
      </w:r>
      <w:r>
        <w:rPr>
          <w:lang w:eastAsia="zh-CN"/>
        </w:rPr>
        <w:t>薪酬委员会及独立非执行董事的角色；</w:t>
      </w:r>
      <w:r>
        <w:rPr>
          <w:lang w:eastAsia="zh-CN"/>
        </w:rPr>
        <w:t>(ii)</w:t>
      </w:r>
      <w:r>
        <w:rPr>
          <w:lang w:eastAsia="zh-CN"/>
        </w:rPr>
        <w:t>股份奖励及股份期权的最短归属期；及</w:t>
      </w:r>
      <w:r>
        <w:rPr>
          <w:lang w:eastAsia="zh-CN"/>
        </w:rPr>
        <w:t>(iii)</w:t>
      </w:r>
      <w:r>
        <w:rPr>
          <w:lang w:eastAsia="zh-CN"/>
        </w:rPr>
        <w:t>关于上市发行人附属公司股份计划的规定的应用。</w:t>
      </w:r>
    </w:p>
    <w:p w:rsidR="00E66DCB" w:rsidRDefault="00232A34">
      <w:pPr>
        <w:pStyle w:val="BodyText"/>
        <w:rPr>
          <w:lang w:eastAsia="zh-CN"/>
        </w:rPr>
      </w:pPr>
      <w:r>
        <w:rPr>
          <w:lang w:eastAsia="zh-CN"/>
        </w:rPr>
        <w:t>如该《咨询总结》中列述的将获采纳的建议概要载列如下：</w:t>
      </w:r>
    </w:p>
    <w:p w:rsidR="00E66DCB" w:rsidRDefault="00232A34">
      <w:pPr>
        <w:pStyle w:val="BodyText"/>
        <w:rPr>
          <w:lang w:eastAsia="zh-CN"/>
        </w:rPr>
      </w:pPr>
      <w:r>
        <w:rPr>
          <w:lang w:eastAsia="zh-CN"/>
        </w:rPr>
        <w:t>该等新规定将于</w:t>
      </w:r>
      <w:r>
        <w:rPr>
          <w:lang w:eastAsia="zh-CN"/>
        </w:rPr>
        <w:t>2023</w:t>
      </w:r>
      <w:r>
        <w:rPr>
          <w:lang w:eastAsia="zh-CN"/>
        </w:rPr>
        <w:t>年</w:t>
      </w:r>
      <w:r>
        <w:rPr>
          <w:lang w:eastAsia="zh-CN"/>
        </w:rPr>
        <w:t>1</w:t>
      </w:r>
      <w:r>
        <w:rPr>
          <w:lang w:eastAsia="zh-CN"/>
        </w:rPr>
        <w:t>月</w:t>
      </w:r>
      <w:r>
        <w:rPr>
          <w:lang w:eastAsia="zh-CN"/>
        </w:rPr>
        <w:t>1</w:t>
      </w:r>
      <w:r>
        <w:rPr>
          <w:lang w:eastAsia="zh-CN"/>
        </w:rPr>
        <w:t>日生效。该《香港交易所咨询文件》可查阅于香港交易所网站</w:t>
      </w:r>
      <w:hyperlink r:id="rId8">
        <w:r>
          <w:rPr>
            <w:lang w:eastAsia="zh-CN"/>
          </w:rPr>
          <w:t>此处</w:t>
        </w:r>
      </w:hyperlink>
      <w:r>
        <w:rPr>
          <w:lang w:eastAsia="zh-CN"/>
        </w:rPr>
        <w:t>。</w:t>
      </w:r>
    </w:p>
    <w:p w:rsidR="00E66DCB" w:rsidRDefault="00232A34">
      <w:pPr>
        <w:pStyle w:val="BodyText"/>
        <w:rPr>
          <w:lang w:eastAsia="zh-CN"/>
        </w:rPr>
      </w:pPr>
      <w:r>
        <w:rPr>
          <w:lang w:eastAsia="zh-CN"/>
        </w:rPr>
        <w:t>《香港交易所上市规则》第</w:t>
      </w:r>
      <w:r>
        <w:rPr>
          <w:lang w:eastAsia="zh-CN"/>
        </w:rPr>
        <w:t>17</w:t>
      </w:r>
      <w:r>
        <w:rPr>
          <w:lang w:eastAsia="zh-CN"/>
        </w:rPr>
        <w:t>章词汇</w:t>
      </w:r>
    </w:p>
    <w:p w:rsidR="00E66DCB" w:rsidRDefault="00232A34">
      <w:pPr>
        <w:pStyle w:val="BodyText"/>
        <w:rPr>
          <w:lang w:eastAsia="zh-CN"/>
        </w:rPr>
      </w:pPr>
      <w:r>
        <w:rPr>
          <w:lang w:eastAsia="zh-CN"/>
        </w:rPr>
        <w:t>以下表格载列该法讯中所使用的界定词汇的涵义。但凡对「章节」的提述均视为对《上市规则》下章节的提述。</w:t>
      </w:r>
    </w:p>
    <w:tbl>
      <w:tblPr>
        <w:tblW w:w="5000" w:type="pct"/>
        <w:tblLook w:val="07C0" w:firstRow="0" w:lastRow="1" w:firstColumn="1" w:lastColumn="1" w:noHBand="1" w:noVBand="1"/>
      </w:tblPr>
      <w:tblGrid>
        <w:gridCol w:w="1411"/>
        <w:gridCol w:w="8983"/>
      </w:tblGrid>
      <w:tr w:rsidR="00E66DCB">
        <w:tc>
          <w:tcPr>
            <w:tcW w:w="0" w:type="auto"/>
          </w:tcPr>
          <w:p w:rsidR="00E66DCB" w:rsidRDefault="00232A34">
            <w:r>
              <w:rPr>
                <w:b/>
              </w:rPr>
              <w:t>词汇</w:t>
            </w:r>
          </w:p>
        </w:tc>
        <w:tc>
          <w:tcPr>
            <w:tcW w:w="0" w:type="auto"/>
          </w:tcPr>
          <w:p w:rsidR="00E66DCB" w:rsidRDefault="00232A34">
            <w:r>
              <w:rPr>
                <w:b/>
              </w:rPr>
              <w:t>释义</w:t>
            </w:r>
          </w:p>
        </w:tc>
      </w:tr>
      <w:tr w:rsidR="00E66DCB">
        <w:tc>
          <w:tcPr>
            <w:tcW w:w="0" w:type="auto"/>
          </w:tcPr>
          <w:p w:rsidR="00E66DCB" w:rsidRDefault="00232A34">
            <w:r>
              <w:rPr>
                <w:b/>
              </w:rPr>
              <w:t>「</w:t>
            </w:r>
            <w:r>
              <w:rPr>
                <w:b/>
              </w:rPr>
              <w:t>1%</w:t>
            </w:r>
            <w:r>
              <w:rPr>
                <w:b/>
              </w:rPr>
              <w:t>个人限额」</w:t>
            </w:r>
          </w:p>
        </w:tc>
        <w:tc>
          <w:tcPr>
            <w:tcW w:w="0" w:type="auto"/>
          </w:tcPr>
          <w:p w:rsidR="00E66DCB" w:rsidRDefault="00232A34">
            <w:pPr>
              <w:rPr>
                <w:lang w:eastAsia="zh-CN"/>
              </w:rPr>
            </w:pPr>
            <w:r>
              <w:rPr>
                <w:lang w:eastAsia="zh-CN"/>
              </w:rPr>
              <w:t>任何</w:t>
            </w:r>
            <w:r>
              <w:rPr>
                <w:lang w:eastAsia="zh-CN"/>
              </w:rPr>
              <w:t>12</w:t>
            </w:r>
            <w:r>
              <w:rPr>
                <w:lang w:eastAsia="zh-CN"/>
              </w:rPr>
              <w:t>个月内可不经股东批准而向个别参与者授予股份的限额，其不得超过上市公司（或（就附属公司的计划而言）其</w:t>
            </w:r>
            <w:r>
              <w:rPr>
                <w:lang w:eastAsia="zh-CN"/>
              </w:rPr>
              <w:t>附属公司）已发行股份的</w:t>
            </w:r>
            <w:r>
              <w:rPr>
                <w:lang w:eastAsia="zh-CN"/>
              </w:rPr>
              <w:t xml:space="preserve"> 1%</w:t>
            </w:r>
          </w:p>
        </w:tc>
      </w:tr>
      <w:tr w:rsidR="00E66DCB">
        <w:tc>
          <w:tcPr>
            <w:tcW w:w="0" w:type="auto"/>
          </w:tcPr>
          <w:p w:rsidR="00E66DCB" w:rsidRDefault="00232A34">
            <w:r>
              <w:rPr>
                <w:b/>
              </w:rPr>
              <w:t>「预先授权」</w:t>
            </w:r>
          </w:p>
        </w:tc>
        <w:tc>
          <w:tcPr>
            <w:tcW w:w="0" w:type="auto"/>
          </w:tcPr>
          <w:p w:rsidR="00E66DCB" w:rsidRDefault="00232A34">
            <w:pPr>
              <w:rPr>
                <w:lang w:eastAsia="zh-CN"/>
              </w:rPr>
            </w:pPr>
            <w:r>
              <w:rPr>
                <w:lang w:eastAsia="zh-CN"/>
              </w:rPr>
              <w:t>经上市公司股东批准的预先特定授权，可根据股份奬励计划授予新股</w:t>
            </w:r>
          </w:p>
        </w:tc>
      </w:tr>
      <w:tr w:rsidR="00E66DCB">
        <w:tc>
          <w:tcPr>
            <w:tcW w:w="0" w:type="auto"/>
          </w:tcPr>
          <w:p w:rsidR="00E66DCB" w:rsidRDefault="00232A34">
            <w:r>
              <w:rPr>
                <w:b/>
              </w:rPr>
              <w:t>「董事会」</w:t>
            </w:r>
          </w:p>
        </w:tc>
        <w:tc>
          <w:tcPr>
            <w:tcW w:w="0" w:type="auto"/>
          </w:tcPr>
          <w:p w:rsidR="00E66DCB" w:rsidRDefault="00232A34">
            <w:pPr>
              <w:rPr>
                <w:lang w:eastAsia="zh-CN"/>
              </w:rPr>
            </w:pPr>
            <w:r>
              <w:rPr>
                <w:lang w:eastAsia="zh-CN"/>
              </w:rPr>
              <w:t>于香港交易所上市的公司的董事会</w:t>
            </w:r>
          </w:p>
        </w:tc>
      </w:tr>
      <w:tr w:rsidR="00E66DCB">
        <w:tc>
          <w:tcPr>
            <w:tcW w:w="0" w:type="auto"/>
          </w:tcPr>
          <w:p w:rsidR="00E66DCB" w:rsidRDefault="00232A34">
            <w:r>
              <w:rPr>
                <w:b/>
              </w:rPr>
              <w:t>「关连人士」</w:t>
            </w:r>
          </w:p>
        </w:tc>
        <w:tc>
          <w:tcPr>
            <w:tcW w:w="0" w:type="auto"/>
          </w:tcPr>
          <w:p w:rsidR="00E66DCB" w:rsidRDefault="00232A34">
            <w:pPr>
              <w:rPr>
                <w:lang w:eastAsia="zh-CN"/>
              </w:rPr>
            </w:pPr>
            <w:r>
              <w:rPr>
                <w:lang w:eastAsia="zh-CN"/>
              </w:rPr>
              <w:t>上市公司的董事、最高行政人员或主要股东或他们任何一人的联系人</w:t>
            </w:r>
          </w:p>
        </w:tc>
      </w:tr>
      <w:tr w:rsidR="00E66DCB">
        <w:tc>
          <w:tcPr>
            <w:tcW w:w="0" w:type="auto"/>
          </w:tcPr>
          <w:p w:rsidR="00E66DCB" w:rsidRDefault="00232A34">
            <w:r>
              <w:rPr>
                <w:b/>
              </w:rPr>
              <w:t>「雇员参与者」</w:t>
            </w:r>
          </w:p>
        </w:tc>
        <w:tc>
          <w:tcPr>
            <w:tcW w:w="0" w:type="auto"/>
          </w:tcPr>
          <w:p w:rsidR="00E66DCB" w:rsidRDefault="00232A34">
            <w:pPr>
              <w:rPr>
                <w:lang w:eastAsia="zh-CN"/>
              </w:rPr>
            </w:pPr>
            <w:r>
              <w:rPr>
                <w:lang w:eastAsia="zh-CN"/>
              </w:rPr>
              <w:t>上市公司或其任何附属公司的董事及雇员（包括根据有关计划获授股份或期权以促成其与有关公司订立雇佣合约的人士）</w:t>
            </w:r>
          </w:p>
        </w:tc>
      </w:tr>
      <w:tr w:rsidR="00E66DCB">
        <w:tc>
          <w:tcPr>
            <w:tcW w:w="0" w:type="auto"/>
          </w:tcPr>
          <w:p w:rsidR="00E66DCB" w:rsidRDefault="00232A34">
            <w:r>
              <w:rPr>
                <w:b/>
              </w:rPr>
              <w:t>「独立非执行董事」</w:t>
            </w:r>
          </w:p>
        </w:tc>
        <w:tc>
          <w:tcPr>
            <w:tcW w:w="0" w:type="auto"/>
          </w:tcPr>
          <w:p w:rsidR="00E66DCB" w:rsidRDefault="00232A34">
            <w:pPr>
              <w:rPr>
                <w:lang w:eastAsia="zh-CN"/>
              </w:rPr>
            </w:pPr>
            <w:r>
              <w:rPr>
                <w:lang w:eastAsia="zh-CN"/>
              </w:rPr>
              <w:t>上市公司的独立非执行董事</w:t>
            </w:r>
          </w:p>
        </w:tc>
      </w:tr>
      <w:tr w:rsidR="00E66DCB">
        <w:tc>
          <w:tcPr>
            <w:tcW w:w="0" w:type="auto"/>
          </w:tcPr>
          <w:p w:rsidR="00E66DCB" w:rsidRDefault="00232A34">
            <w:r>
              <w:rPr>
                <w:b/>
              </w:rPr>
              <w:t>「非重大附属公司」</w:t>
            </w:r>
          </w:p>
        </w:tc>
        <w:tc>
          <w:tcPr>
            <w:tcW w:w="0" w:type="auto"/>
          </w:tcPr>
          <w:p w:rsidR="00E66DCB" w:rsidRDefault="00232A34">
            <w:pPr>
              <w:rPr>
                <w:lang w:eastAsia="zh-CN"/>
              </w:rPr>
            </w:pPr>
            <w:r>
              <w:rPr>
                <w:lang w:eastAsia="zh-CN"/>
              </w:rPr>
              <w:t>总资产、溢利及收入相对于上市公司集团的比率少于以下百分比的附属公司：</w:t>
            </w:r>
          </w:p>
          <w:p w:rsidR="00E66DCB" w:rsidRDefault="00232A34">
            <w:pPr>
              <w:rPr>
                <w:lang w:eastAsia="zh-CN"/>
              </w:rPr>
            </w:pPr>
            <w:r>
              <w:rPr>
                <w:lang w:eastAsia="zh-CN"/>
              </w:rPr>
              <w:t>(a)</w:t>
            </w:r>
            <w:r>
              <w:rPr>
                <w:lang w:eastAsia="zh-CN"/>
              </w:rPr>
              <w:t>最近三个财政年度（如未满三年，则附属公司注册成立或成立起计的期间）每年：</w:t>
            </w:r>
            <w:r>
              <w:rPr>
                <w:lang w:eastAsia="zh-CN"/>
              </w:rPr>
              <w:t>10%</w:t>
            </w:r>
            <w:r>
              <w:rPr>
                <w:lang w:eastAsia="zh-CN"/>
              </w:rPr>
              <w:t>；或</w:t>
            </w:r>
          </w:p>
          <w:p w:rsidR="00E66DCB" w:rsidRDefault="00232A34">
            <w:pPr>
              <w:rPr>
                <w:lang w:eastAsia="zh-CN"/>
              </w:rPr>
            </w:pPr>
            <w:r>
              <w:rPr>
                <w:lang w:eastAsia="zh-CN"/>
              </w:rPr>
              <w:lastRenderedPageBreak/>
              <w:t>(b)</w:t>
            </w:r>
            <w:r>
              <w:rPr>
                <w:lang w:eastAsia="zh-CN"/>
              </w:rPr>
              <w:t>最近一个财政年度：</w:t>
            </w:r>
            <w:r>
              <w:rPr>
                <w:lang w:eastAsia="zh-CN"/>
              </w:rPr>
              <w:t>5%</w:t>
            </w:r>
          </w:p>
        </w:tc>
      </w:tr>
      <w:tr w:rsidR="00E66DCB">
        <w:tc>
          <w:tcPr>
            <w:tcW w:w="0" w:type="auto"/>
          </w:tcPr>
          <w:p w:rsidR="00E66DCB" w:rsidRDefault="00232A34">
            <w:r>
              <w:rPr>
                <w:b/>
              </w:rPr>
              <w:lastRenderedPageBreak/>
              <w:t>「《上市规则》」</w:t>
            </w:r>
          </w:p>
        </w:tc>
        <w:tc>
          <w:tcPr>
            <w:tcW w:w="0" w:type="auto"/>
          </w:tcPr>
          <w:p w:rsidR="00E66DCB" w:rsidRDefault="00232A34">
            <w:pPr>
              <w:rPr>
                <w:lang w:eastAsia="zh-CN"/>
              </w:rPr>
            </w:pPr>
            <w:hyperlink r:id="rId9">
              <w:r>
                <w:rPr>
                  <w:lang w:eastAsia="zh-CN"/>
                </w:rPr>
                <w:t>《香港联合交易所有限公司证券上市规则》</w:t>
              </w:r>
            </w:hyperlink>
            <w:r>
              <w:rPr>
                <w:lang w:eastAsia="zh-CN"/>
              </w:rPr>
              <w:t>（除非另有说明，否则概指《主板上市规则》）</w:t>
            </w:r>
          </w:p>
        </w:tc>
      </w:tr>
      <w:tr w:rsidR="00E66DCB">
        <w:tc>
          <w:tcPr>
            <w:tcW w:w="0" w:type="auto"/>
          </w:tcPr>
          <w:p w:rsidR="00E66DCB" w:rsidRDefault="00232A34">
            <w:r>
              <w:rPr>
                <w:b/>
              </w:rPr>
              <w:t>「主要附属公司」</w:t>
            </w:r>
          </w:p>
        </w:tc>
        <w:tc>
          <w:tcPr>
            <w:tcW w:w="0" w:type="auto"/>
          </w:tcPr>
          <w:p w:rsidR="00E66DCB" w:rsidRDefault="00232A34">
            <w:pPr>
              <w:rPr>
                <w:lang w:eastAsia="zh-CN"/>
              </w:rPr>
            </w:pPr>
            <w:r>
              <w:rPr>
                <w:lang w:eastAsia="zh-CN"/>
              </w:rPr>
              <w:t>在最近三个财政年度任何一年，收入、溢利或总资产占上市公司集团的比率</w:t>
            </w:r>
            <w:r>
              <w:rPr>
                <w:lang w:eastAsia="zh-CN"/>
              </w:rPr>
              <w:t xml:space="preserve"> 75%</w:t>
            </w:r>
            <w:r>
              <w:rPr>
                <w:lang w:eastAsia="zh-CN"/>
              </w:rPr>
              <w:t>（</w:t>
            </w:r>
            <w:r>
              <w:rPr>
                <w:lang w:eastAsia="zh-CN"/>
              </w:rPr>
              <w:t>或以上）的附属公司</w:t>
            </w:r>
          </w:p>
        </w:tc>
      </w:tr>
      <w:tr w:rsidR="00E66DCB">
        <w:tc>
          <w:tcPr>
            <w:tcW w:w="0" w:type="auto"/>
          </w:tcPr>
          <w:p w:rsidR="00E66DCB" w:rsidRDefault="00232A34">
            <w:r>
              <w:rPr>
                <w:b/>
              </w:rPr>
              <w:t>「薪酬委员会」</w:t>
            </w:r>
          </w:p>
        </w:tc>
        <w:tc>
          <w:tcPr>
            <w:tcW w:w="0" w:type="auto"/>
          </w:tcPr>
          <w:p w:rsidR="00E66DCB" w:rsidRDefault="00232A34">
            <w:r>
              <w:t>董事会的薪酬委员会</w:t>
            </w:r>
          </w:p>
        </w:tc>
      </w:tr>
      <w:tr w:rsidR="00E66DCB">
        <w:tc>
          <w:tcPr>
            <w:tcW w:w="0" w:type="auto"/>
          </w:tcPr>
          <w:p w:rsidR="00E66DCB" w:rsidRDefault="00232A34">
            <w:r>
              <w:rPr>
                <w:b/>
              </w:rPr>
              <w:t>「关连实体参与者」</w:t>
            </w:r>
          </w:p>
        </w:tc>
        <w:tc>
          <w:tcPr>
            <w:tcW w:w="0" w:type="auto"/>
          </w:tcPr>
          <w:p w:rsidR="00E66DCB" w:rsidRDefault="00232A34">
            <w:pPr>
              <w:rPr>
                <w:lang w:eastAsia="zh-CN"/>
              </w:rPr>
            </w:pPr>
            <w:r>
              <w:rPr>
                <w:lang w:eastAsia="zh-CN"/>
              </w:rPr>
              <w:t>上市公司的控股公司、同系附属公司或联营公司的董事及雇员</w:t>
            </w:r>
          </w:p>
        </w:tc>
      </w:tr>
      <w:tr w:rsidR="00E66DCB">
        <w:tc>
          <w:tcPr>
            <w:tcW w:w="0" w:type="auto"/>
          </w:tcPr>
          <w:p w:rsidR="00E66DCB" w:rsidRDefault="00232A34">
            <w:r>
              <w:rPr>
                <w:b/>
              </w:rPr>
              <w:t>「计划授权限额」</w:t>
            </w:r>
          </w:p>
        </w:tc>
        <w:tc>
          <w:tcPr>
            <w:tcW w:w="0" w:type="auto"/>
          </w:tcPr>
          <w:p w:rsidR="00E66DCB" w:rsidRDefault="00232A34">
            <w:pPr>
              <w:rPr>
                <w:lang w:eastAsia="zh-CN"/>
              </w:rPr>
            </w:pPr>
            <w:r>
              <w:rPr>
                <w:lang w:eastAsia="zh-CN"/>
              </w:rPr>
              <w:t>在上市公司（或（就附属公司的计划而言）其附属公司）所有股份计划下经股东批准的可授予股份的限额，其不得超过上市公司（或附属公司）于股东批准通过限额当日的已发行股份的</w:t>
            </w:r>
            <w:r>
              <w:rPr>
                <w:lang w:eastAsia="zh-CN"/>
              </w:rPr>
              <w:t xml:space="preserve"> 10%</w:t>
            </w:r>
          </w:p>
        </w:tc>
      </w:tr>
      <w:tr w:rsidR="00E66DCB">
        <w:tc>
          <w:tcPr>
            <w:tcW w:w="0" w:type="auto"/>
          </w:tcPr>
          <w:p w:rsidR="00E66DCB" w:rsidRDefault="00232A34">
            <w:r>
              <w:rPr>
                <w:b/>
              </w:rPr>
              <w:t>「服务提供商」</w:t>
            </w:r>
          </w:p>
        </w:tc>
        <w:tc>
          <w:tcPr>
            <w:tcW w:w="0" w:type="auto"/>
          </w:tcPr>
          <w:p w:rsidR="00E66DCB" w:rsidRDefault="00232A34">
            <w:pPr>
              <w:rPr>
                <w:lang w:eastAsia="zh-CN"/>
              </w:rPr>
            </w:pPr>
            <w:r>
              <w:rPr>
                <w:lang w:eastAsia="zh-CN"/>
              </w:rPr>
              <w:t>一直并持续向上市公司集团在其日常业务过程中提供对其长远发展有利之服务的人士</w:t>
            </w:r>
          </w:p>
        </w:tc>
      </w:tr>
      <w:tr w:rsidR="00E66DCB">
        <w:tc>
          <w:tcPr>
            <w:tcW w:w="0" w:type="auto"/>
          </w:tcPr>
          <w:p w:rsidR="00E66DCB" w:rsidRDefault="00232A34">
            <w:pPr>
              <w:rPr>
                <w:lang w:eastAsia="zh-CN"/>
              </w:rPr>
            </w:pPr>
            <w:r>
              <w:rPr>
                <w:b/>
                <w:lang w:eastAsia="zh-CN"/>
              </w:rPr>
              <w:t>「服务提供商分项限额」</w:t>
            </w:r>
          </w:p>
        </w:tc>
        <w:tc>
          <w:tcPr>
            <w:tcW w:w="0" w:type="auto"/>
          </w:tcPr>
          <w:p w:rsidR="00E66DCB" w:rsidRDefault="00232A34">
            <w:pPr>
              <w:rPr>
                <w:lang w:eastAsia="zh-CN"/>
              </w:rPr>
            </w:pPr>
            <w:r>
              <w:rPr>
                <w:lang w:eastAsia="zh-CN"/>
              </w:rPr>
              <w:t>计划授权限额里可向服务提供商授予股份的分项限额</w:t>
            </w:r>
          </w:p>
        </w:tc>
      </w:tr>
      <w:tr w:rsidR="00E66DCB">
        <w:tc>
          <w:tcPr>
            <w:tcW w:w="0" w:type="auto"/>
          </w:tcPr>
          <w:p w:rsidR="00E66DCB" w:rsidRDefault="00232A34">
            <w:r>
              <w:rPr>
                <w:b/>
              </w:rPr>
              <w:t>「授予股份」</w:t>
            </w:r>
          </w:p>
        </w:tc>
        <w:tc>
          <w:tcPr>
            <w:tcW w:w="0" w:type="auto"/>
          </w:tcPr>
          <w:p w:rsidR="00E66DCB" w:rsidRDefault="00232A34">
            <w:pPr>
              <w:rPr>
                <w:lang w:eastAsia="zh-CN"/>
              </w:rPr>
            </w:pPr>
            <w:r>
              <w:rPr>
                <w:lang w:eastAsia="zh-CN"/>
              </w:rPr>
              <w:t>就上市公司的股份计划而言，授予股份指授予股份奖励及／或可购买上市公司新股的股份期权</w:t>
            </w:r>
          </w:p>
          <w:p w:rsidR="00E66DCB" w:rsidRDefault="00232A34">
            <w:pPr>
              <w:rPr>
                <w:lang w:eastAsia="zh-CN"/>
              </w:rPr>
            </w:pPr>
            <w:r>
              <w:rPr>
                <w:lang w:eastAsia="zh-CN"/>
              </w:rPr>
              <w:t>就附属公司的股份计划而言，授予股份指授予股份奖励及／或可购买附属公司新股或现有股份的期权</w:t>
            </w:r>
          </w:p>
        </w:tc>
      </w:tr>
      <w:tr w:rsidR="00E66DCB">
        <w:tc>
          <w:tcPr>
            <w:tcW w:w="0" w:type="auto"/>
          </w:tcPr>
          <w:p w:rsidR="00E66DCB" w:rsidRDefault="00232A34">
            <w:r>
              <w:rPr>
                <w:b/>
              </w:rPr>
              <w:t>「股份计划」</w:t>
            </w:r>
          </w:p>
        </w:tc>
        <w:tc>
          <w:tcPr>
            <w:tcW w:w="0" w:type="auto"/>
          </w:tcPr>
          <w:p w:rsidR="00E66DCB" w:rsidRDefault="00232A34">
            <w:pPr>
              <w:rPr>
                <w:lang w:eastAsia="zh-CN"/>
              </w:rPr>
            </w:pPr>
            <w:r>
              <w:rPr>
                <w:lang w:eastAsia="zh-CN"/>
              </w:rPr>
              <w:t>股份期权计划及股份奖励计划</w:t>
            </w:r>
          </w:p>
        </w:tc>
      </w:tr>
    </w:tbl>
    <w:p w:rsidR="00E66DCB" w:rsidRDefault="00232A34">
      <w:pPr>
        <w:pStyle w:val="BodyText"/>
        <w:rPr>
          <w:lang w:eastAsia="zh-CN"/>
        </w:rPr>
      </w:pPr>
      <w:r>
        <w:rPr>
          <w:lang w:eastAsia="zh-CN"/>
        </w:rPr>
        <w:t>《咨询总结》中所描述的获采纳的主要《上市规则》修订摘要</w:t>
      </w:r>
    </w:p>
    <w:p w:rsidR="00E66DCB" w:rsidRDefault="00232A34">
      <w:pPr>
        <w:pStyle w:val="BodyText"/>
        <w:rPr>
          <w:lang w:eastAsia="zh-CN"/>
        </w:rPr>
      </w:pPr>
      <w:r>
        <w:rPr>
          <w:lang w:eastAsia="zh-CN"/>
        </w:rPr>
        <w:t>如该《咨询总结》而对《上市规则》规定作出的主要修改如下：</w:t>
      </w:r>
    </w:p>
    <w:p w:rsidR="00E66DCB" w:rsidRDefault="00232A34">
      <w:pPr>
        <w:pStyle w:val="BodyText"/>
        <w:rPr>
          <w:lang w:eastAsia="zh-CN"/>
        </w:rPr>
      </w:pPr>
      <w:r>
        <w:rPr>
          <w:lang w:eastAsia="zh-CN"/>
        </w:rPr>
        <w:t xml:space="preserve">i. </w:t>
      </w:r>
      <w:r>
        <w:rPr>
          <w:b/>
          <w:lang w:eastAsia="zh-CN"/>
        </w:rPr>
        <w:t>薪酬委员会及独立非执行董事的角色</w:t>
      </w:r>
    </w:p>
    <w:p w:rsidR="00E66DCB" w:rsidRDefault="00232A34">
      <w:pPr>
        <w:pStyle w:val="BodyText"/>
        <w:rPr>
          <w:lang w:eastAsia="zh-CN"/>
        </w:rPr>
      </w:pPr>
      <w:r>
        <w:rPr>
          <w:lang w:eastAsia="zh-CN"/>
        </w:rPr>
        <w:t>香港交易所建议规定，举凡股份计划的设立及运作涉及不寻常或需加注意的事宜均须经薪酬委员会批准，</w:t>
      </w:r>
      <w:r>
        <w:rPr>
          <w:lang w:eastAsia="zh-CN"/>
        </w:rPr>
        <w:t xml:space="preserve"> </w:t>
      </w:r>
      <w:r>
        <w:rPr>
          <w:lang w:eastAsia="zh-CN"/>
        </w:rPr>
        <w:t>即：</w:t>
      </w:r>
      <w:r>
        <w:rPr>
          <w:lang w:eastAsia="zh-CN"/>
        </w:rPr>
        <w:t>(a)</w:t>
      </w:r>
      <w:r>
        <w:rPr>
          <w:lang w:eastAsia="zh-CN"/>
        </w:rPr>
        <w:t>批准向服务提供商及关连实体参与者授</w:t>
      </w:r>
      <w:r>
        <w:rPr>
          <w:lang w:eastAsia="zh-CN"/>
        </w:rPr>
        <w:t>予股份的相关事宜（包括接纳服务提供商的准则及服务提供商分项限额）；</w:t>
      </w:r>
      <w:r>
        <w:rPr>
          <w:lang w:eastAsia="zh-CN"/>
        </w:rPr>
        <w:t>(b)</w:t>
      </w:r>
      <w:r>
        <w:rPr>
          <w:lang w:eastAsia="zh-CN"/>
        </w:rPr>
        <w:t>批准偏离《上市规则》第</w:t>
      </w:r>
      <w:r>
        <w:rPr>
          <w:lang w:eastAsia="zh-CN"/>
        </w:rPr>
        <w:t>17</w:t>
      </w:r>
      <w:r>
        <w:rPr>
          <w:lang w:eastAsia="zh-CN"/>
        </w:rPr>
        <w:t>章所规定条款的授予股份；及</w:t>
      </w:r>
      <w:r>
        <w:rPr>
          <w:lang w:eastAsia="zh-CN"/>
        </w:rPr>
        <w:t>(c)</w:t>
      </w:r>
      <w:r>
        <w:rPr>
          <w:lang w:eastAsia="zh-CN"/>
        </w:rPr>
        <w:t>批准向关连人士授予股份。</w:t>
      </w:r>
    </w:p>
    <w:p w:rsidR="00E66DCB" w:rsidRDefault="00232A34">
      <w:pPr>
        <w:pStyle w:val="BodyText"/>
        <w:rPr>
          <w:lang w:eastAsia="zh-CN"/>
        </w:rPr>
      </w:pPr>
      <w:r>
        <w:rPr>
          <w:lang w:eastAsia="zh-CN"/>
        </w:rPr>
        <w:t>香港交易所将采纳有关建议（如下文所进一步描述），但是上文第</w:t>
      </w:r>
      <w:r>
        <w:rPr>
          <w:lang w:eastAsia="zh-CN"/>
        </w:rPr>
        <w:t>(c)</w:t>
      </w:r>
      <w:r>
        <w:rPr>
          <w:lang w:eastAsia="zh-CN"/>
        </w:rPr>
        <w:t>点相关的建议除外，原因是一些回应人士担忧薪酬委员会批准向关连人士授予股份可能会削弱监督职能，而薪酬委员会成员可能包括执行董事。</w:t>
      </w:r>
    </w:p>
    <w:p w:rsidR="00E66DCB" w:rsidRDefault="00232A34">
      <w:pPr>
        <w:pStyle w:val="BodyText"/>
        <w:rPr>
          <w:lang w:eastAsia="zh-CN"/>
        </w:rPr>
      </w:pPr>
      <w:r>
        <w:rPr>
          <w:lang w:eastAsia="zh-CN"/>
        </w:rPr>
        <w:t xml:space="preserve">ii. </w:t>
      </w:r>
      <w:r>
        <w:rPr>
          <w:b/>
          <w:lang w:eastAsia="zh-CN"/>
        </w:rPr>
        <w:t>归属期</w:t>
      </w:r>
    </w:p>
    <w:p w:rsidR="00E66DCB" w:rsidRDefault="00232A34">
      <w:pPr>
        <w:pStyle w:val="BodyText"/>
        <w:rPr>
          <w:lang w:eastAsia="zh-CN"/>
        </w:rPr>
      </w:pPr>
      <w:r>
        <w:rPr>
          <w:lang w:eastAsia="zh-CN"/>
        </w:rPr>
        <w:lastRenderedPageBreak/>
        <w:t>香港交易所建议所有授予股份的归属期须为至少</w:t>
      </w:r>
      <w:r>
        <w:rPr>
          <w:lang w:eastAsia="zh-CN"/>
        </w:rPr>
        <w:t>12</w:t>
      </w:r>
      <w:r>
        <w:rPr>
          <w:lang w:eastAsia="zh-CN"/>
        </w:rPr>
        <w:t>个月（除非薪酬委员会对授予上市公司特别指明的雇员参与者的股份已批准较短的归属期）。回应人士认为归属期的</w:t>
      </w:r>
      <w:r>
        <w:rPr>
          <w:lang w:eastAsia="zh-CN"/>
        </w:rPr>
        <w:t>长短应视乎上市公司的实际商业需要而定，而不同股份计划采用的绩效措施或标准，不一定与时间挂钩。</w:t>
      </w:r>
    </w:p>
    <w:p w:rsidR="00E66DCB" w:rsidRDefault="00232A34">
      <w:pPr>
        <w:pStyle w:val="BodyText"/>
        <w:rPr>
          <w:lang w:eastAsia="zh-CN"/>
        </w:rPr>
      </w:pPr>
      <w:r>
        <w:rPr>
          <w:lang w:eastAsia="zh-CN"/>
        </w:rPr>
        <w:t>审阅回应人士的意见后，香港交易所同意上市公司应可因应自身需要制定表现指针及挽留政策。香港交易所建议，上市公司可在其计划文件中列明给雇员参与者的授予股份可以有较短归属期的情况。</w:t>
      </w:r>
    </w:p>
    <w:p w:rsidR="00E66DCB" w:rsidRDefault="00232A34">
      <w:pPr>
        <w:pStyle w:val="BodyText"/>
        <w:rPr>
          <w:lang w:eastAsia="zh-CN"/>
        </w:rPr>
      </w:pPr>
      <w:r>
        <w:rPr>
          <w:lang w:eastAsia="zh-CN"/>
        </w:rPr>
        <w:t xml:space="preserve">iii. </w:t>
      </w:r>
      <w:r>
        <w:rPr>
          <w:b/>
          <w:lang w:eastAsia="zh-CN"/>
        </w:rPr>
        <w:t>附属公司的股份计划</w:t>
      </w:r>
    </w:p>
    <w:p w:rsidR="00E66DCB" w:rsidRDefault="00232A34">
      <w:pPr>
        <w:pStyle w:val="BodyText"/>
        <w:rPr>
          <w:lang w:eastAsia="zh-CN"/>
        </w:rPr>
      </w:pPr>
      <w:r>
        <w:rPr>
          <w:lang w:eastAsia="zh-CN"/>
        </w:rPr>
        <w:t>现行《上市规则》第</w:t>
      </w:r>
      <w:r>
        <w:rPr>
          <w:lang w:eastAsia="zh-CN"/>
        </w:rPr>
        <w:t>17</w:t>
      </w:r>
      <w:r>
        <w:rPr>
          <w:lang w:eastAsia="zh-CN"/>
        </w:rPr>
        <w:t>章「经适当修订后」适用于附属公司的股份期权计划。香港交易所建议规定《上市规则》第</w:t>
      </w:r>
      <w:r>
        <w:rPr>
          <w:lang w:eastAsia="zh-CN"/>
        </w:rPr>
        <w:t>17</w:t>
      </w:r>
      <w:r>
        <w:rPr>
          <w:lang w:eastAsia="zh-CN"/>
        </w:rPr>
        <w:t>章也包括附属公司的股份奖励计划，惟非重大附属公司的计划可获豁免。</w:t>
      </w:r>
    </w:p>
    <w:p w:rsidR="00E66DCB" w:rsidRDefault="00232A34">
      <w:pPr>
        <w:pStyle w:val="BodyText"/>
        <w:rPr>
          <w:lang w:eastAsia="zh-CN"/>
        </w:rPr>
      </w:pPr>
      <w:r>
        <w:rPr>
          <w:lang w:eastAsia="zh-CN"/>
        </w:rPr>
        <w:t>审阅回应人士（其中部分回应人士提到操作上的问题，或者认为将建议中的规定应用于附属公司的股份计划实属过于繁复甚或不可行）的意见后，香港交易所决定修订建议，将以应用第</w:t>
      </w:r>
      <w:r>
        <w:rPr>
          <w:lang w:eastAsia="zh-CN"/>
        </w:rPr>
        <w:t>14</w:t>
      </w:r>
      <w:r>
        <w:rPr>
          <w:lang w:eastAsia="zh-CN"/>
        </w:rPr>
        <w:t>章规定处理附属公司股份计划下授予股份而导致上市公司于附属公司的权益可能被摊薄的问题（并应用第</w:t>
      </w:r>
      <w:r>
        <w:rPr>
          <w:lang w:eastAsia="zh-CN"/>
        </w:rPr>
        <w:t>14</w:t>
      </w:r>
      <w:r>
        <w:rPr>
          <w:lang w:eastAsia="zh-CN"/>
        </w:rPr>
        <w:t>章关于向关连人士授予股份的规定）。此外，香港交易所将修订第</w:t>
      </w:r>
      <w:r>
        <w:rPr>
          <w:lang w:eastAsia="zh-CN"/>
        </w:rPr>
        <w:t>14</w:t>
      </w:r>
      <w:r>
        <w:rPr>
          <w:lang w:eastAsia="zh-CN"/>
        </w:rPr>
        <w:t>章，按所寻求计划授权的规模计量出售事项（授出现有股份）或视作出售事项（授出新股或新股的期权）。《上市规则》第</w:t>
      </w:r>
      <w:r>
        <w:rPr>
          <w:lang w:eastAsia="zh-CN"/>
        </w:rPr>
        <w:t>17</w:t>
      </w:r>
      <w:r>
        <w:rPr>
          <w:lang w:eastAsia="zh-CN"/>
        </w:rPr>
        <w:t>章规定只适用于主要附属公司的股份计划。</w:t>
      </w:r>
    </w:p>
    <w:p w:rsidR="00E66DCB" w:rsidRDefault="00232A34">
      <w:pPr>
        <w:pStyle w:val="BodyText"/>
        <w:rPr>
          <w:lang w:eastAsia="zh-CN"/>
        </w:rPr>
      </w:pPr>
      <w:r>
        <w:rPr>
          <w:lang w:eastAsia="zh-CN"/>
        </w:rPr>
        <w:t>将予以采纳的建议概要</w:t>
      </w:r>
    </w:p>
    <w:p w:rsidR="00E66DCB" w:rsidRDefault="00232A34">
      <w:pPr>
        <w:pStyle w:val="BodyText"/>
        <w:rPr>
          <w:lang w:eastAsia="zh-CN"/>
        </w:rPr>
      </w:pPr>
      <w:r>
        <w:rPr>
          <w:lang w:eastAsia="zh-CN"/>
        </w:rPr>
        <w:t>以下是将予采纳</w:t>
      </w:r>
      <w:r>
        <w:rPr>
          <w:lang w:eastAsia="zh-CN"/>
        </w:rPr>
        <w:t>的建议概述：</w:t>
      </w:r>
    </w:p>
    <w:p w:rsidR="00E66DCB" w:rsidRDefault="00232A34">
      <w:pPr>
        <w:pStyle w:val="BodyText"/>
        <w:rPr>
          <w:lang w:eastAsia="zh-CN"/>
        </w:rPr>
      </w:pPr>
      <w:r>
        <w:rPr>
          <w:lang w:eastAsia="zh-CN"/>
        </w:rPr>
        <w:t xml:space="preserve">A. </w:t>
      </w:r>
      <w:r>
        <w:rPr>
          <w:b/>
          <w:lang w:eastAsia="zh-CN"/>
        </w:rPr>
        <w:t>范围</w:t>
      </w:r>
    </w:p>
    <w:p w:rsidR="00E66DCB" w:rsidRDefault="00232A34">
      <w:pPr>
        <w:pStyle w:val="BodyText"/>
        <w:rPr>
          <w:lang w:eastAsia="zh-CN"/>
        </w:rPr>
      </w:pPr>
      <w:r>
        <w:rPr>
          <w:lang w:eastAsia="zh-CN"/>
        </w:rPr>
        <w:t>建议扩大《上市规则》第</w:t>
      </w:r>
      <w:r>
        <w:rPr>
          <w:lang w:eastAsia="zh-CN"/>
        </w:rPr>
        <w:t>17</w:t>
      </w:r>
      <w:r>
        <w:rPr>
          <w:lang w:eastAsia="zh-CN"/>
        </w:rPr>
        <w:t>章的适用范围，使之涵盖所有涉及上市公司授出股份奖励及授出可认购其新股的股份期权的股份计划，更多详情依据适用规定。</w:t>
      </w:r>
    </w:p>
    <w:p w:rsidR="00E66DCB" w:rsidRDefault="00232A34">
      <w:pPr>
        <w:pStyle w:val="BodyText"/>
        <w:rPr>
          <w:lang w:eastAsia="zh-CN"/>
        </w:rPr>
      </w:pPr>
      <w:r>
        <w:rPr>
          <w:lang w:eastAsia="zh-CN"/>
        </w:rPr>
        <w:t>香港交易所决定采纳该项建议并将第</w:t>
      </w:r>
      <w:r>
        <w:rPr>
          <w:lang w:eastAsia="zh-CN"/>
        </w:rPr>
        <w:t>17</w:t>
      </w:r>
      <w:r>
        <w:rPr>
          <w:lang w:eastAsia="zh-CN"/>
        </w:rPr>
        <w:t>章应用于由上市公司发行新股份提供资金支持的所有股份计划。若有关授予股份不属第</w:t>
      </w:r>
      <w:r>
        <w:rPr>
          <w:lang w:eastAsia="zh-CN"/>
        </w:rPr>
        <w:t>17</w:t>
      </w:r>
      <w:r>
        <w:rPr>
          <w:lang w:eastAsia="zh-CN"/>
        </w:rPr>
        <w:t>章范畴（例如获授权人不属第</w:t>
      </w:r>
      <w:r>
        <w:rPr>
          <w:lang w:eastAsia="zh-CN"/>
        </w:rPr>
        <w:t>17</w:t>
      </w:r>
      <w:r>
        <w:rPr>
          <w:lang w:eastAsia="zh-CN"/>
        </w:rPr>
        <w:t>章下合资格参与者定义范围），那么上市公司可以使用第</w:t>
      </w:r>
      <w:r>
        <w:rPr>
          <w:lang w:eastAsia="zh-CN"/>
        </w:rPr>
        <w:t>13.36</w:t>
      </w:r>
      <w:r>
        <w:rPr>
          <w:lang w:eastAsia="zh-CN"/>
        </w:rPr>
        <w:t>条下的一般或者特定授权奖励新股份。《主板上市规则》第</w:t>
      </w:r>
      <w:r>
        <w:rPr>
          <w:lang w:eastAsia="zh-CN"/>
        </w:rPr>
        <w:t>17.01</w:t>
      </w:r>
      <w:r>
        <w:rPr>
          <w:lang w:eastAsia="zh-CN"/>
        </w:rPr>
        <w:t>条（《创业板上市规则》第</w:t>
      </w:r>
      <w:r>
        <w:rPr>
          <w:lang w:eastAsia="zh-CN"/>
        </w:rPr>
        <w:t>23.01</w:t>
      </w:r>
      <w:r>
        <w:rPr>
          <w:lang w:eastAsia="zh-CN"/>
        </w:rPr>
        <w:t>条）将予以修订以体现这一变更。</w:t>
      </w:r>
    </w:p>
    <w:p w:rsidR="00E66DCB" w:rsidRDefault="00232A34">
      <w:pPr>
        <w:pStyle w:val="BodyText"/>
        <w:rPr>
          <w:lang w:eastAsia="zh-CN"/>
        </w:rPr>
      </w:pPr>
      <w:r>
        <w:rPr>
          <w:lang w:eastAsia="zh-CN"/>
        </w:rPr>
        <w:t xml:space="preserve">B. </w:t>
      </w:r>
      <w:r>
        <w:rPr>
          <w:b/>
          <w:lang w:eastAsia="zh-CN"/>
        </w:rPr>
        <w:t>合资格</w:t>
      </w:r>
      <w:r>
        <w:rPr>
          <w:b/>
          <w:lang w:eastAsia="zh-CN"/>
        </w:rPr>
        <w:t>参与者</w:t>
      </w:r>
    </w:p>
    <w:p w:rsidR="00E66DCB" w:rsidRDefault="00232A34">
      <w:pPr>
        <w:pStyle w:val="BodyText"/>
        <w:rPr>
          <w:lang w:eastAsia="zh-CN"/>
        </w:rPr>
      </w:pPr>
      <w:r>
        <w:rPr>
          <w:lang w:eastAsia="zh-CN"/>
        </w:rPr>
        <w:t>香港交易所建议股份计划的合资格参与者应包括雇员参与者、关连实体参与者及服务提供商（包括独立承包人），以及向关连实体参与者及服务提供商授予股份必须经薪酬委员会批准，并在上市公司授出公告中清晰说明授出有关股份的理由。</w:t>
      </w:r>
    </w:p>
    <w:p w:rsidR="00E66DCB" w:rsidRDefault="00232A34">
      <w:pPr>
        <w:pStyle w:val="BodyText"/>
        <w:rPr>
          <w:lang w:eastAsia="zh-CN"/>
        </w:rPr>
      </w:pPr>
      <w:r>
        <w:rPr>
          <w:lang w:eastAsia="zh-CN"/>
        </w:rPr>
        <w:t>这项建议将予以采纳，但略有修改，即向关连实体参与者及服务提供商授予股份的责任不在薪酬委员会而在于董事会（鉴于薪酬委员会并不参与上市公司的日常营运，且对于非雇员参与者对上市公司长期增长所作出的贡献未必完全了解）。</w:t>
      </w:r>
    </w:p>
    <w:p w:rsidR="00E66DCB" w:rsidRDefault="00232A34">
      <w:pPr>
        <w:pStyle w:val="BodyText"/>
        <w:rPr>
          <w:lang w:eastAsia="zh-CN"/>
        </w:rPr>
      </w:pPr>
      <w:r>
        <w:rPr>
          <w:lang w:eastAsia="zh-CN"/>
        </w:rPr>
        <w:t>应注意的是服务提供商的定义明确表示不包括任何涉及提供鉴证服务又或须公正客观地执</w:t>
      </w:r>
      <w:r>
        <w:rPr>
          <w:lang w:eastAsia="zh-CN"/>
        </w:rPr>
        <w:t>行服务的核数师或估值师（即其可能不属股份计划中的合资格参与者）。</w:t>
      </w:r>
    </w:p>
    <w:p w:rsidR="00E66DCB" w:rsidRDefault="00232A34">
      <w:pPr>
        <w:pStyle w:val="BodyText"/>
        <w:rPr>
          <w:lang w:eastAsia="zh-CN"/>
        </w:rPr>
      </w:pPr>
      <w:r>
        <w:rPr>
          <w:lang w:eastAsia="zh-CN"/>
        </w:rPr>
        <w:t>另外，香港交易所可在股份计划订立时，要求上市公司于通函中载列其独立非执行董事对涵盖这些非雇员参与者是否符合上市公司及股东的长远利益（即符合业务需求或者行业标准等）的意见。</w:t>
      </w:r>
    </w:p>
    <w:p w:rsidR="00E66DCB" w:rsidRDefault="00232A34">
      <w:pPr>
        <w:pStyle w:val="BodyText"/>
        <w:rPr>
          <w:lang w:eastAsia="zh-CN"/>
        </w:rPr>
      </w:pPr>
      <w:r>
        <w:rPr>
          <w:lang w:eastAsia="zh-CN"/>
        </w:rPr>
        <w:t xml:space="preserve">C. </w:t>
      </w:r>
      <w:r>
        <w:rPr>
          <w:b/>
          <w:lang w:eastAsia="zh-CN"/>
        </w:rPr>
        <w:t>计划授权</w:t>
      </w:r>
    </w:p>
    <w:p w:rsidR="00E66DCB" w:rsidRDefault="00232A34">
      <w:pPr>
        <w:pStyle w:val="BodyText"/>
        <w:rPr>
          <w:lang w:eastAsia="zh-CN"/>
        </w:rPr>
      </w:pPr>
      <w:r>
        <w:rPr>
          <w:lang w:eastAsia="zh-CN"/>
        </w:rPr>
        <w:lastRenderedPageBreak/>
        <w:t>香港交易所建议对上市公司所有股份计划加设计划授权限额，以不多于上市公司已发行股份的</w:t>
      </w:r>
      <w:r>
        <w:rPr>
          <w:lang w:eastAsia="zh-CN"/>
        </w:rPr>
        <w:t>10%</w:t>
      </w:r>
      <w:r>
        <w:rPr>
          <w:lang w:eastAsia="zh-CN"/>
        </w:rPr>
        <w:t>为限。之后此授权可由股东每三年更新一次。在获得独立股东批准（如属控股股东</w:t>
      </w:r>
      <w:hyperlink w:anchor="footnote-598-2">
        <w:r>
          <w:rPr>
            <w:vertAlign w:val="superscript"/>
            <w:lang w:eastAsia="zh-CN"/>
          </w:rPr>
          <w:t>2</w:t>
        </w:r>
      </w:hyperlink>
      <w:r>
        <w:rPr>
          <w:lang w:eastAsia="zh-CN"/>
        </w:rPr>
        <w:t>）的情况下，香港交易所</w:t>
      </w:r>
      <w:r>
        <w:rPr>
          <w:lang w:eastAsia="zh-CN"/>
        </w:rPr>
        <w:t>亦容许可在三年内作额外更新，而控股股东不得就相关决议案参与投票。</w:t>
      </w:r>
    </w:p>
    <w:p w:rsidR="00E66DCB" w:rsidRDefault="00232A34">
      <w:pPr>
        <w:pStyle w:val="BodyText"/>
        <w:rPr>
          <w:lang w:eastAsia="zh-CN"/>
        </w:rPr>
      </w:pPr>
      <w:r>
        <w:rPr>
          <w:lang w:eastAsia="zh-CN"/>
        </w:rPr>
        <w:t>香港交易所将采纳该等建议，以保障少数股东，使他们有权否决上市公司不断更新股东授权（尤其是考虑到大部分授予的股份不收取代价的事实）。然而，在优先发行股份后按比例增加计划授权限额毋须经独立股东批准，前提是在更新后，计划授权未使用的部分（占相关类别已发行股份的百分比）与紧贴相关优先发行前相同。香港交易所可就计划授权限额给予豁免，当中考虑的因素包括上市公司的特定情况及行业惯例。</w:t>
      </w:r>
    </w:p>
    <w:p w:rsidR="00E66DCB" w:rsidRDefault="00232A34">
      <w:pPr>
        <w:pStyle w:val="BodyText"/>
        <w:rPr>
          <w:lang w:eastAsia="zh-CN"/>
        </w:rPr>
      </w:pPr>
      <w:r>
        <w:rPr>
          <w:lang w:eastAsia="zh-CN"/>
        </w:rPr>
        <w:t>另外，香港交易所建议删除现行《上市规则》有关未行使股份期权数目不得超过当</w:t>
      </w:r>
      <w:r>
        <w:rPr>
          <w:lang w:eastAsia="zh-CN"/>
        </w:rPr>
        <w:t>时已发行股份</w:t>
      </w:r>
      <w:r>
        <w:rPr>
          <w:lang w:eastAsia="zh-CN"/>
        </w:rPr>
        <w:t xml:space="preserve"> 30%</w:t>
      </w:r>
      <w:r>
        <w:rPr>
          <w:lang w:eastAsia="zh-CN"/>
        </w:rPr>
        <w:t>的规定。鉴于现时对未行使期权施加以</w:t>
      </w:r>
      <w:r>
        <w:rPr>
          <w:lang w:eastAsia="zh-CN"/>
        </w:rPr>
        <w:t>30%</w:t>
      </w:r>
      <w:r>
        <w:rPr>
          <w:lang w:eastAsia="zh-CN"/>
        </w:rPr>
        <w:t>为限的规定并非用来有效限制授予股份造成的股份摊薄影响，香港交易所根据对该计划授权限额的采纳对此项建议予以采纳。</w:t>
      </w:r>
    </w:p>
    <w:p w:rsidR="00E66DCB" w:rsidRDefault="00232A34">
      <w:pPr>
        <w:pStyle w:val="BodyText"/>
        <w:rPr>
          <w:lang w:eastAsia="zh-CN"/>
        </w:rPr>
      </w:pPr>
      <w:r>
        <w:rPr>
          <w:lang w:eastAsia="zh-CN"/>
        </w:rPr>
        <w:t>作为避免因向服务提供商授予股份而产生过度摊薄的保障，香港交易所还建议上市公司须在计划授权限额内设服务提供商分项限额以及在其向发送股东的通函中披露厘定这分项限额的基准。香港交易所将采纳该项建议。</w:t>
      </w:r>
    </w:p>
    <w:p w:rsidR="00E66DCB" w:rsidRDefault="00232A34">
      <w:pPr>
        <w:pStyle w:val="BodyText"/>
        <w:rPr>
          <w:lang w:eastAsia="zh-CN"/>
        </w:rPr>
      </w:pPr>
      <w:r>
        <w:rPr>
          <w:lang w:eastAsia="zh-CN"/>
        </w:rPr>
        <w:t xml:space="preserve">D. </w:t>
      </w:r>
      <w:r>
        <w:rPr>
          <w:b/>
          <w:lang w:eastAsia="zh-CN"/>
        </w:rPr>
        <w:t>授予股份的最短归属期</w:t>
      </w:r>
    </w:p>
    <w:p w:rsidR="00E66DCB" w:rsidRDefault="00232A34">
      <w:pPr>
        <w:pStyle w:val="BodyText"/>
        <w:rPr>
          <w:lang w:eastAsia="zh-CN"/>
        </w:rPr>
      </w:pPr>
      <w:r>
        <w:rPr>
          <w:lang w:eastAsia="zh-CN"/>
        </w:rPr>
        <w:t>香港交易所建议规定授予股份的归属期为至少</w:t>
      </w:r>
      <w:r>
        <w:rPr>
          <w:lang w:eastAsia="zh-CN"/>
        </w:rPr>
        <w:t>12</w:t>
      </w:r>
      <w:r>
        <w:rPr>
          <w:lang w:eastAsia="zh-CN"/>
        </w:rPr>
        <w:t>个月，除非经薪酬委员会对授予上市公司特别指定的雇员参与者的股份批准较短的归</w:t>
      </w:r>
      <w:r>
        <w:rPr>
          <w:lang w:eastAsia="zh-CN"/>
        </w:rPr>
        <w:t>属期，且须在授予公告中披露有关授予的详情。该项建议意在符合股份计划原意（激励获授人为上市公司长远发展作出贡献）。</w:t>
      </w:r>
    </w:p>
    <w:p w:rsidR="00E66DCB" w:rsidRDefault="00232A34">
      <w:pPr>
        <w:pStyle w:val="BodyText"/>
        <w:rPr>
          <w:lang w:eastAsia="zh-CN"/>
        </w:rPr>
      </w:pPr>
      <w:r>
        <w:rPr>
          <w:lang w:eastAsia="zh-CN"/>
        </w:rPr>
        <w:t>在考虑回应人士的意见（包括其认为薪酬委员会难以就所有归属期较短的授予股份都逐一解释）后，香港交易所将采纳该项建议，并对该建议进行修订，让董事会可自行决定向雇员参与者授予归属期较短的股份，前提是：</w:t>
      </w:r>
    </w:p>
    <w:p w:rsidR="00E66DCB" w:rsidRDefault="00232A34">
      <w:pPr>
        <w:pStyle w:val="Compact"/>
        <w:numPr>
          <w:ilvl w:val="0"/>
          <w:numId w:val="3"/>
        </w:numPr>
        <w:rPr>
          <w:lang w:eastAsia="zh-CN"/>
        </w:rPr>
      </w:pPr>
      <w:r>
        <w:rPr>
          <w:lang w:eastAsia="zh-CN"/>
        </w:rPr>
        <w:t>计划文件载有授出期权或奖励的归属期可较短的特定情况。任何有关安排均须于有关采纳计划的通函中清晰披露，并由上市公司董事会解释为何有关安排属恰当，以及授出期权或奖励如何符合计划目的（香港交易所在预审上市公司</w:t>
      </w:r>
      <w:r>
        <w:rPr>
          <w:lang w:eastAsia="zh-CN"/>
        </w:rPr>
        <w:t>通函时会一并审阅上述披露资料）；及</w:t>
      </w:r>
    </w:p>
    <w:p w:rsidR="00E66DCB" w:rsidRDefault="00232A34">
      <w:pPr>
        <w:pStyle w:val="Compact"/>
        <w:numPr>
          <w:ilvl w:val="0"/>
          <w:numId w:val="3"/>
        </w:numPr>
        <w:rPr>
          <w:lang w:eastAsia="zh-CN"/>
        </w:rPr>
      </w:pPr>
      <w:r>
        <w:rPr>
          <w:lang w:eastAsia="zh-CN"/>
        </w:rPr>
        <w:t>授予归属期较短的股份时，授出公告载有计划项下特别允许授予股份的归属期较短的相关特定情况，及（如果是向上市公司董事及高级管理层授予股份）薪酬委员会对归属期为何应较短的看法。</w:t>
      </w:r>
    </w:p>
    <w:p w:rsidR="00E66DCB" w:rsidRDefault="00232A34">
      <w:pPr>
        <w:pStyle w:val="FirstParagraph"/>
        <w:rPr>
          <w:lang w:eastAsia="zh-CN"/>
        </w:rPr>
      </w:pPr>
      <w:r>
        <w:rPr>
          <w:lang w:eastAsia="zh-CN"/>
        </w:rPr>
        <w:t xml:space="preserve">E. </w:t>
      </w:r>
      <w:r>
        <w:rPr>
          <w:b/>
          <w:lang w:eastAsia="zh-CN"/>
        </w:rPr>
        <w:t>表现目标及退扣机制</w:t>
      </w:r>
    </w:p>
    <w:p w:rsidR="00E66DCB" w:rsidRDefault="00232A34">
      <w:pPr>
        <w:pStyle w:val="BodyText"/>
        <w:rPr>
          <w:lang w:eastAsia="zh-CN"/>
        </w:rPr>
      </w:pPr>
      <w:r>
        <w:rPr>
          <w:lang w:eastAsia="zh-CN"/>
        </w:rPr>
        <w:t>香港交易所建议上市公司的计划文件及有关授予股份的公告中应披露有关授予股份所附带的表现目标（包括目标水平及表现相关指针，评估方法等）以及任何退扣机制的陈述，或者（若以上均无）否定声明。此外，若授予股份并不设表现目标及／或退扣机制，那么薪酬委员会须说明其何以认为不需要设定有关条款。</w:t>
      </w:r>
      <w:r>
        <w:rPr>
          <w:lang w:eastAsia="zh-CN"/>
        </w:rPr>
        <w:t>该等建议旨在透过披露更多数据，让股东可评估上市公司授予股份如何有助提升上市公司的权益。</w:t>
      </w:r>
    </w:p>
    <w:p w:rsidR="00E66DCB" w:rsidRDefault="00232A34">
      <w:pPr>
        <w:pStyle w:val="BodyText"/>
        <w:rPr>
          <w:lang w:eastAsia="zh-CN"/>
        </w:rPr>
      </w:pPr>
      <w:r>
        <w:rPr>
          <w:lang w:eastAsia="zh-CN"/>
        </w:rPr>
        <w:t>经考虑回应人士的疑虑，香港交易所采纳了该等建议但作出以下改动：</w:t>
      </w:r>
      <w:r>
        <w:rPr>
          <w:lang w:eastAsia="zh-CN"/>
        </w:rPr>
        <w:t>(i)</w:t>
      </w:r>
      <w:r>
        <w:rPr>
          <w:lang w:eastAsia="zh-CN"/>
        </w:rPr>
        <w:t>有关计划文件及授出公告中载列表现目标的描述可为概述及定性描述；及</w:t>
      </w:r>
      <w:r>
        <w:rPr>
          <w:lang w:eastAsia="zh-CN"/>
        </w:rPr>
        <w:t>(ii)</w:t>
      </w:r>
      <w:r>
        <w:rPr>
          <w:lang w:eastAsia="zh-CN"/>
        </w:rPr>
        <w:t>若股份是授予任何董事及高级管理层而不设表现目标及／或退扣机制，则授出公告中须披露薪酬委员会就为何毋须设定表现目标及／或退扣机制以及授予有关股份如何符合计划目的发表的意见。</w:t>
      </w:r>
    </w:p>
    <w:p w:rsidR="00E66DCB" w:rsidRDefault="00232A34">
      <w:pPr>
        <w:pStyle w:val="BodyText"/>
        <w:rPr>
          <w:lang w:eastAsia="zh-CN"/>
        </w:rPr>
      </w:pPr>
      <w:r>
        <w:rPr>
          <w:lang w:eastAsia="zh-CN"/>
        </w:rPr>
        <w:t xml:space="preserve">F. </w:t>
      </w:r>
      <w:r>
        <w:rPr>
          <w:b/>
          <w:lang w:eastAsia="zh-CN"/>
        </w:rPr>
        <w:t>行使价或股份授出价</w:t>
      </w:r>
    </w:p>
    <w:p w:rsidR="00E66DCB" w:rsidRDefault="00232A34">
      <w:pPr>
        <w:pStyle w:val="BodyText"/>
        <w:rPr>
          <w:lang w:eastAsia="zh-CN"/>
        </w:rPr>
      </w:pPr>
      <w:r>
        <w:rPr>
          <w:lang w:eastAsia="zh-CN"/>
        </w:rPr>
        <w:t>就股份期权计划下授出的新股份而言，香港交易所根据《上市规则》第</w:t>
      </w:r>
      <w:r>
        <w:rPr>
          <w:lang w:eastAsia="zh-CN"/>
        </w:rPr>
        <w:t>17</w:t>
      </w:r>
      <w:r>
        <w:rPr>
          <w:lang w:eastAsia="zh-CN"/>
        </w:rPr>
        <w:t>章建议保留现时对股份期权行使价的限制。</w:t>
      </w:r>
      <w:hyperlink w:anchor="footnote-598-3">
        <w:r>
          <w:rPr>
            <w:vertAlign w:val="superscript"/>
            <w:lang w:eastAsia="zh-CN"/>
          </w:rPr>
          <w:t>3</w:t>
        </w:r>
      </w:hyperlink>
      <w:r>
        <w:rPr>
          <w:lang w:eastAsia="zh-CN"/>
        </w:rPr>
        <w:t xml:space="preserve"> </w:t>
      </w:r>
      <w:r>
        <w:rPr>
          <w:lang w:eastAsia="zh-CN"/>
        </w:rPr>
        <w:t>就股份奖励计划下授出的新股份而言，香港交易所建议不对股份授出价施加限制。</w:t>
      </w:r>
    </w:p>
    <w:p w:rsidR="00E66DCB" w:rsidRDefault="00232A34">
      <w:pPr>
        <w:pStyle w:val="BodyText"/>
        <w:rPr>
          <w:lang w:eastAsia="zh-CN"/>
        </w:rPr>
      </w:pPr>
      <w:r>
        <w:rPr>
          <w:lang w:eastAsia="zh-CN"/>
        </w:rPr>
        <w:lastRenderedPageBreak/>
        <w:t>该项建议将予以采纳，不过对股份期权及股份奖励的不同最低价格规定在日后检讨政策时或可再作考虑。</w:t>
      </w:r>
    </w:p>
    <w:p w:rsidR="00E66DCB" w:rsidRDefault="00232A34">
      <w:pPr>
        <w:pStyle w:val="BodyText"/>
        <w:rPr>
          <w:lang w:eastAsia="zh-CN"/>
        </w:rPr>
      </w:pPr>
      <w:r>
        <w:rPr>
          <w:lang w:eastAsia="zh-CN"/>
        </w:rPr>
        <w:t>G.</w:t>
      </w:r>
      <w:r>
        <w:rPr>
          <w:b/>
          <w:lang w:eastAsia="zh-CN"/>
        </w:rPr>
        <w:t>授予股份的限额</w:t>
      </w:r>
    </w:p>
    <w:p w:rsidR="00E66DCB" w:rsidRDefault="00232A34">
      <w:pPr>
        <w:pStyle w:val="BodyText"/>
        <w:rPr>
          <w:lang w:eastAsia="zh-CN"/>
        </w:rPr>
      </w:pPr>
      <w:r>
        <w:rPr>
          <w:lang w:eastAsia="zh-CN"/>
        </w:rPr>
        <w:t>就向个别参与者授予大量股份的限制以限制股份大幅摊薄影响，香港交易所建议超过</w:t>
      </w:r>
      <w:r>
        <w:rPr>
          <w:lang w:eastAsia="zh-CN"/>
        </w:rPr>
        <w:t>1%</w:t>
      </w:r>
      <w:r>
        <w:rPr>
          <w:lang w:eastAsia="zh-CN"/>
        </w:rPr>
        <w:t>个人限额须获股东批准。该项建议将获采纳。</w:t>
      </w:r>
    </w:p>
    <w:p w:rsidR="00E66DCB" w:rsidRDefault="00232A34">
      <w:pPr>
        <w:pStyle w:val="BodyText"/>
        <w:rPr>
          <w:lang w:eastAsia="zh-CN"/>
        </w:rPr>
      </w:pPr>
      <w:r>
        <w:rPr>
          <w:lang w:eastAsia="zh-CN"/>
        </w:rPr>
        <w:t>就向关连人士授予股份的限额而言，香港交易所建议须经薪酬委员会（而非独立非执行董事）批准。但是，鉴于部分回应人士担忧这可能会透过现时的独立检讨（尤其是当有关检讨是由薪酬委员会执行董事主导的情况）削弱有关向关连人士授出新股的保障措施，该项建议将不会获采纳。</w:t>
      </w:r>
    </w:p>
    <w:p w:rsidR="00E66DCB" w:rsidRDefault="00232A34">
      <w:pPr>
        <w:pStyle w:val="BodyText"/>
        <w:rPr>
          <w:lang w:eastAsia="zh-CN"/>
        </w:rPr>
      </w:pPr>
      <w:r>
        <w:rPr>
          <w:lang w:eastAsia="zh-CN"/>
        </w:rPr>
        <w:t>香港交易所还建议就向关连人士授出股份奖励针对以下事宜提供最低豁免门坎：</w:t>
      </w:r>
    </w:p>
    <w:p w:rsidR="00E66DCB" w:rsidRDefault="00232A34">
      <w:pPr>
        <w:pStyle w:val="Compact"/>
        <w:numPr>
          <w:ilvl w:val="0"/>
          <w:numId w:val="4"/>
        </w:numPr>
        <w:rPr>
          <w:lang w:eastAsia="zh-CN"/>
        </w:rPr>
      </w:pPr>
      <w:r>
        <w:rPr>
          <w:lang w:eastAsia="zh-CN"/>
        </w:rPr>
        <w:t>向上市公司的董事（独立非执行董事除外）或最高行政人员授出股份奖励，而授出的股份奖励会使任何</w:t>
      </w:r>
      <w:r>
        <w:rPr>
          <w:lang w:eastAsia="zh-CN"/>
        </w:rPr>
        <w:t xml:space="preserve"> 12 </w:t>
      </w:r>
      <w:r>
        <w:rPr>
          <w:lang w:eastAsia="zh-CN"/>
        </w:rPr>
        <w:t>个月期内向其授出的股份奖励超过上市公司已发行股份的</w:t>
      </w:r>
      <w:r>
        <w:rPr>
          <w:lang w:eastAsia="zh-CN"/>
        </w:rPr>
        <w:t xml:space="preserve"> 0.1%</w:t>
      </w:r>
      <w:r>
        <w:rPr>
          <w:lang w:eastAsia="zh-CN"/>
        </w:rPr>
        <w:t>；</w:t>
      </w:r>
    </w:p>
    <w:p w:rsidR="00E66DCB" w:rsidRDefault="00232A34">
      <w:pPr>
        <w:pStyle w:val="Compact"/>
        <w:numPr>
          <w:ilvl w:val="0"/>
          <w:numId w:val="4"/>
        </w:numPr>
        <w:rPr>
          <w:lang w:eastAsia="zh-CN"/>
        </w:rPr>
      </w:pPr>
      <w:r>
        <w:rPr>
          <w:lang w:eastAsia="zh-CN"/>
        </w:rPr>
        <w:t>向上市公司的独立非执行董</w:t>
      </w:r>
      <w:r>
        <w:rPr>
          <w:lang w:eastAsia="zh-CN"/>
        </w:rPr>
        <w:t>事或主要股东授予股份（包括授予股份奖励及期权），而这会使任何</w:t>
      </w:r>
      <w:r>
        <w:rPr>
          <w:lang w:eastAsia="zh-CN"/>
        </w:rPr>
        <w:t>12</w:t>
      </w:r>
      <w:r>
        <w:rPr>
          <w:lang w:eastAsia="zh-CN"/>
        </w:rPr>
        <w:t>个月期内向其授予的股份超过上市公司已发行股份的</w:t>
      </w:r>
      <w:r>
        <w:rPr>
          <w:lang w:eastAsia="zh-CN"/>
        </w:rPr>
        <w:t>0.1%</w:t>
      </w:r>
      <w:r>
        <w:rPr>
          <w:lang w:eastAsia="zh-CN"/>
        </w:rPr>
        <w:t>；或</w:t>
      </w:r>
    </w:p>
    <w:p w:rsidR="00E66DCB" w:rsidRDefault="00232A34">
      <w:pPr>
        <w:pStyle w:val="Compact"/>
        <w:numPr>
          <w:ilvl w:val="0"/>
          <w:numId w:val="4"/>
        </w:numPr>
        <w:rPr>
          <w:lang w:eastAsia="zh-CN"/>
        </w:rPr>
      </w:pPr>
      <w:r>
        <w:rPr>
          <w:lang w:eastAsia="zh-CN"/>
        </w:rPr>
        <w:t>向上市公司的控股股东授予股份（包括股份奖励及期权），而这会使任何</w:t>
      </w:r>
      <w:r>
        <w:rPr>
          <w:lang w:eastAsia="zh-CN"/>
        </w:rPr>
        <w:t>12</w:t>
      </w:r>
      <w:r>
        <w:rPr>
          <w:lang w:eastAsia="zh-CN"/>
        </w:rPr>
        <w:t>个月期内向其授予的股份超过上市公司已发行股份的</w:t>
      </w:r>
      <w:r>
        <w:rPr>
          <w:lang w:eastAsia="zh-CN"/>
        </w:rPr>
        <w:t xml:space="preserve"> 0.1%</w:t>
      </w:r>
      <w:r>
        <w:rPr>
          <w:lang w:eastAsia="zh-CN"/>
        </w:rPr>
        <w:t>。</w:t>
      </w:r>
    </w:p>
    <w:p w:rsidR="00E66DCB" w:rsidRDefault="00232A34">
      <w:pPr>
        <w:pStyle w:val="FirstParagraph"/>
        <w:rPr>
          <w:lang w:eastAsia="zh-CN"/>
        </w:rPr>
      </w:pPr>
      <w:r>
        <w:rPr>
          <w:lang w:eastAsia="zh-CN"/>
        </w:rPr>
        <w:t>且有关向上市公司独立非执行董事或主要股东授出股份期权的</w:t>
      </w:r>
      <w:r>
        <w:rPr>
          <w:lang w:eastAsia="zh-CN"/>
        </w:rPr>
        <w:t>500</w:t>
      </w:r>
      <w:r>
        <w:rPr>
          <w:lang w:eastAsia="zh-CN"/>
        </w:rPr>
        <w:t>万港元最低豁免门坎将被移除。</w:t>
      </w:r>
    </w:p>
    <w:p w:rsidR="00E66DCB" w:rsidRDefault="00232A34">
      <w:pPr>
        <w:pStyle w:val="BodyText"/>
        <w:rPr>
          <w:lang w:eastAsia="zh-CN"/>
        </w:rPr>
      </w:pPr>
      <w:r>
        <w:rPr>
          <w:lang w:eastAsia="zh-CN"/>
        </w:rPr>
        <w:t>为了既保障股东免受过度摊薄影响又能向上市公司提供灵活性以构建董事及最高行政人员薪酬架构，香港交易所会采纳就向关连人士授予股份引入最低豁免的建议。香港交易所亦会采纳移除有关</w:t>
      </w:r>
      <w:r>
        <w:rPr>
          <w:lang w:eastAsia="zh-CN"/>
        </w:rPr>
        <w:t>授出股份期权的</w:t>
      </w:r>
      <w:r>
        <w:rPr>
          <w:lang w:eastAsia="zh-CN"/>
        </w:rPr>
        <w:t>500</w:t>
      </w:r>
      <w:r>
        <w:rPr>
          <w:lang w:eastAsia="zh-CN"/>
        </w:rPr>
        <w:t>万港元最低豁免门坎的建议。</w:t>
      </w:r>
    </w:p>
    <w:p w:rsidR="00E66DCB" w:rsidRDefault="00232A34">
      <w:pPr>
        <w:pStyle w:val="BodyText"/>
        <w:rPr>
          <w:lang w:eastAsia="zh-CN"/>
        </w:rPr>
      </w:pPr>
      <w:r>
        <w:rPr>
          <w:lang w:eastAsia="zh-CN"/>
        </w:rPr>
        <w:t xml:space="preserve">H. </w:t>
      </w:r>
      <w:r>
        <w:rPr>
          <w:b/>
          <w:lang w:eastAsia="zh-CN"/>
        </w:rPr>
        <w:t>有关授予股份的公告</w:t>
      </w:r>
    </w:p>
    <w:p w:rsidR="00E66DCB" w:rsidRDefault="00232A34">
      <w:pPr>
        <w:pStyle w:val="BodyText"/>
        <w:rPr>
          <w:lang w:eastAsia="zh-CN"/>
        </w:rPr>
      </w:pPr>
      <w:r>
        <w:rPr>
          <w:lang w:eastAsia="zh-CN"/>
        </w:rPr>
        <w:t>香港交易所建议上市公司向以下参与者授予股份须个别逐一披露详情：</w:t>
      </w:r>
      <w:r>
        <w:rPr>
          <w:lang w:eastAsia="zh-CN"/>
        </w:rPr>
        <w:t>(i)</w:t>
      </w:r>
      <w:r>
        <w:rPr>
          <w:lang w:eastAsia="zh-CN"/>
        </w:rPr>
        <w:t>关连人士；</w:t>
      </w:r>
      <w:r>
        <w:rPr>
          <w:lang w:eastAsia="zh-CN"/>
        </w:rPr>
        <w:t>(ii)</w:t>
      </w:r>
      <w:r>
        <w:rPr>
          <w:lang w:eastAsia="zh-CN"/>
        </w:rPr>
        <w:t>获授予股份超过</w:t>
      </w:r>
      <w:r>
        <w:rPr>
          <w:lang w:eastAsia="zh-CN"/>
        </w:rPr>
        <w:t>1%</w:t>
      </w:r>
      <w:r>
        <w:rPr>
          <w:lang w:eastAsia="zh-CN"/>
        </w:rPr>
        <w:t>个人限额的参与者；及</w:t>
      </w:r>
      <w:r>
        <w:rPr>
          <w:lang w:eastAsia="zh-CN"/>
        </w:rPr>
        <w:t>(iii)</w:t>
      </w:r>
      <w:r>
        <w:rPr>
          <w:lang w:eastAsia="zh-CN"/>
        </w:rPr>
        <w:t>于任何</w:t>
      </w:r>
      <w:r>
        <w:rPr>
          <w:lang w:eastAsia="zh-CN"/>
        </w:rPr>
        <w:t>12</w:t>
      </w:r>
      <w:r>
        <w:rPr>
          <w:lang w:eastAsia="zh-CN"/>
        </w:rPr>
        <w:t>个月期内获授予股份超过上市公司已发行股份</w:t>
      </w:r>
      <w:r>
        <w:rPr>
          <w:lang w:eastAsia="zh-CN"/>
        </w:rPr>
        <w:t>0.1%</w:t>
      </w:r>
      <w:r>
        <w:rPr>
          <w:lang w:eastAsia="zh-CN"/>
        </w:rPr>
        <w:t>的关连实体参与者或服务提供者，而上市公司向其他参与者授予股份或可按获授人类别合计披露。而且，建议香港交易所或可不时要求上市公司提交获授人的名单以及每名获授人所获授股份及期权的变动。</w:t>
      </w:r>
    </w:p>
    <w:p w:rsidR="00E66DCB" w:rsidRDefault="00232A34">
      <w:pPr>
        <w:pStyle w:val="BodyText"/>
        <w:rPr>
          <w:lang w:eastAsia="zh-CN"/>
        </w:rPr>
      </w:pPr>
      <w:r>
        <w:rPr>
          <w:lang w:eastAsia="zh-CN"/>
        </w:rPr>
        <w:t>香港交易所会采纳该项建议，针对向非雇员参与者授予大量股份方面提供</w:t>
      </w:r>
      <w:r>
        <w:rPr>
          <w:lang w:eastAsia="zh-CN"/>
        </w:rPr>
        <w:t>额外保障，但是鉴于对可能披露商业敏感数据（例如目标水平通常与财务及营运表现有关，份属机密）的疑虑，该项建议将作以下修订：</w:t>
      </w:r>
      <w:r>
        <w:rPr>
          <w:lang w:eastAsia="zh-CN"/>
        </w:rPr>
        <w:t>(i)</w:t>
      </w:r>
      <w:r>
        <w:rPr>
          <w:lang w:eastAsia="zh-CN"/>
        </w:rPr>
        <w:t>移除上市公司须披露服务提供商的服务合约期长度的规定；及</w:t>
      </w:r>
      <w:r>
        <w:rPr>
          <w:lang w:eastAsia="zh-CN"/>
        </w:rPr>
        <w:t>(ii)</w:t>
      </w:r>
      <w:r>
        <w:rPr>
          <w:lang w:eastAsia="zh-CN"/>
        </w:rPr>
        <w:t>规定上市公司须就授予股份所附带的表现目标进行定性披露，而非披露表现目标水平的详情。</w:t>
      </w:r>
    </w:p>
    <w:p w:rsidR="00E66DCB" w:rsidRDefault="00232A34">
      <w:pPr>
        <w:pStyle w:val="BodyText"/>
        <w:rPr>
          <w:lang w:eastAsia="zh-CN"/>
        </w:rPr>
      </w:pPr>
      <w:r>
        <w:rPr>
          <w:lang w:eastAsia="zh-CN"/>
        </w:rPr>
        <w:t>另外，香港交易所建议规定披露根据计划授权及服务提供商分项限额（如有）未来可分别授出的股份数目。该项建议将获香港交易所采纳。</w:t>
      </w:r>
    </w:p>
    <w:p w:rsidR="00E66DCB" w:rsidRDefault="00232A34">
      <w:pPr>
        <w:pStyle w:val="BodyText"/>
        <w:rPr>
          <w:lang w:eastAsia="zh-CN"/>
        </w:rPr>
      </w:pPr>
      <w:r>
        <w:rPr>
          <w:lang w:eastAsia="zh-CN"/>
        </w:rPr>
        <w:t xml:space="preserve">I. </w:t>
      </w:r>
      <w:r>
        <w:rPr>
          <w:b/>
          <w:lang w:eastAsia="zh-CN"/>
        </w:rPr>
        <w:t>中期报告及年报内的披露</w:t>
      </w:r>
    </w:p>
    <w:p w:rsidR="00E66DCB" w:rsidRDefault="00232A34">
      <w:pPr>
        <w:pStyle w:val="BodyText"/>
        <w:rPr>
          <w:lang w:eastAsia="zh-CN"/>
        </w:rPr>
      </w:pPr>
      <w:r>
        <w:rPr>
          <w:lang w:eastAsia="zh-CN"/>
        </w:rPr>
        <w:t>香港交易所建议上市公司中期报告及年报内应披露以下内容：</w:t>
      </w:r>
    </w:p>
    <w:p w:rsidR="00E66DCB" w:rsidRDefault="00232A34">
      <w:pPr>
        <w:pStyle w:val="Compact"/>
        <w:numPr>
          <w:ilvl w:val="0"/>
          <w:numId w:val="5"/>
        </w:numPr>
        <w:rPr>
          <w:lang w:eastAsia="zh-CN"/>
        </w:rPr>
      </w:pPr>
      <w:r>
        <w:rPr>
          <w:lang w:eastAsia="zh-CN"/>
        </w:rPr>
        <w:t>向参与者（逐一个别披露）（依照</w:t>
      </w:r>
      <w:r>
        <w:rPr>
          <w:lang w:eastAsia="zh-CN"/>
        </w:rPr>
        <w:t>建议</w:t>
      </w:r>
      <w:r>
        <w:rPr>
          <w:lang w:eastAsia="zh-CN"/>
        </w:rPr>
        <w:t>H</w:t>
      </w:r>
      <w:r>
        <w:rPr>
          <w:lang w:eastAsia="zh-CN"/>
        </w:rPr>
        <w:t>所述授予公告中所应用的分类）及其他参与者（按类别合计披露）授予的股份，以及其于汇报期内的变动的详情；</w:t>
      </w:r>
    </w:p>
    <w:p w:rsidR="00E66DCB" w:rsidRDefault="00232A34">
      <w:pPr>
        <w:pStyle w:val="Compact"/>
        <w:numPr>
          <w:ilvl w:val="0"/>
          <w:numId w:val="5"/>
        </w:numPr>
        <w:rPr>
          <w:lang w:eastAsia="zh-CN"/>
        </w:rPr>
      </w:pPr>
      <w:r>
        <w:rPr>
          <w:lang w:eastAsia="zh-CN"/>
        </w:rPr>
        <w:t>（就于汇报期内授出的股份期权及奖励而言）有关股份期权及奖励于授出时的公平值以及所采纳的会计政策；</w:t>
      </w:r>
    </w:p>
    <w:p w:rsidR="00E66DCB" w:rsidRDefault="00232A34">
      <w:pPr>
        <w:pStyle w:val="Compact"/>
        <w:numPr>
          <w:ilvl w:val="0"/>
          <w:numId w:val="5"/>
        </w:numPr>
        <w:rPr>
          <w:lang w:eastAsia="zh-CN"/>
        </w:rPr>
      </w:pPr>
      <w:r>
        <w:rPr>
          <w:lang w:eastAsia="zh-CN"/>
        </w:rPr>
        <w:lastRenderedPageBreak/>
        <w:t>汇报期内所有股份计划中授出的股份期权及奖励数目除以该期间已发行股份加权平均数；以及汇报期开始时及结束时根据计划授权（及服务提供商分项限额（如适用））可授出的股份数目；及</w:t>
      </w:r>
    </w:p>
    <w:p w:rsidR="00E66DCB" w:rsidRDefault="00232A34">
      <w:pPr>
        <w:pStyle w:val="Compact"/>
        <w:numPr>
          <w:ilvl w:val="0"/>
          <w:numId w:val="5"/>
        </w:numPr>
        <w:rPr>
          <w:lang w:eastAsia="zh-CN"/>
        </w:rPr>
      </w:pPr>
      <w:r>
        <w:rPr>
          <w:lang w:eastAsia="zh-CN"/>
        </w:rPr>
        <w:t>每项股份计划的概要（仅适用于年报）</w:t>
      </w:r>
    </w:p>
    <w:p w:rsidR="00E66DCB" w:rsidRDefault="00232A34">
      <w:pPr>
        <w:pStyle w:val="FirstParagraph"/>
        <w:rPr>
          <w:lang w:eastAsia="zh-CN"/>
        </w:rPr>
      </w:pPr>
      <w:r>
        <w:rPr>
          <w:lang w:eastAsia="zh-CN"/>
        </w:rPr>
        <w:t>该项计划将获采纳。</w:t>
      </w:r>
    </w:p>
    <w:p w:rsidR="00E66DCB" w:rsidRDefault="00232A34">
      <w:pPr>
        <w:pStyle w:val="BodyText"/>
        <w:rPr>
          <w:lang w:eastAsia="zh-CN"/>
        </w:rPr>
      </w:pPr>
      <w:r>
        <w:rPr>
          <w:lang w:eastAsia="zh-CN"/>
        </w:rPr>
        <w:t xml:space="preserve">J. </w:t>
      </w:r>
      <w:r>
        <w:rPr>
          <w:b/>
          <w:lang w:eastAsia="zh-CN"/>
        </w:rPr>
        <w:t>有关薪酬委员会的工作的披露</w:t>
      </w:r>
    </w:p>
    <w:p w:rsidR="00E66DCB" w:rsidRDefault="00232A34">
      <w:pPr>
        <w:pStyle w:val="BodyText"/>
        <w:rPr>
          <w:lang w:eastAsia="zh-CN"/>
        </w:rPr>
      </w:pPr>
      <w:r>
        <w:rPr>
          <w:lang w:eastAsia="zh-CN"/>
        </w:rPr>
        <w:t>香港交易所建议规定上市公司在企业管治报告中披露</w:t>
      </w:r>
      <w:r>
        <w:rPr>
          <w:lang w:eastAsia="zh-CN"/>
        </w:rPr>
        <w:t>年内所有经薪酬委员会审阅的有关股份计划的相关事宜。而且，薪酬委员会应说明为何其批准有关事宜属适当以及授予股份如何符合计划目的。</w:t>
      </w:r>
    </w:p>
    <w:p w:rsidR="00E66DCB" w:rsidRDefault="00232A34">
      <w:pPr>
        <w:pStyle w:val="BodyText"/>
        <w:rPr>
          <w:lang w:eastAsia="zh-CN"/>
        </w:rPr>
      </w:pPr>
      <w:r>
        <w:rPr>
          <w:lang w:eastAsia="zh-CN"/>
        </w:rPr>
        <w:t>香港交易所决定采纳该项建议，并修订建议，以规定上市公司仅须披露有关的重大事宜摘要，并要求上市公司可于其薪酬报告或企业管治报告中作出有关披露。</w:t>
      </w:r>
    </w:p>
    <w:p w:rsidR="00E66DCB" w:rsidRDefault="00232A34">
      <w:pPr>
        <w:pStyle w:val="BodyText"/>
        <w:rPr>
          <w:lang w:eastAsia="zh-CN"/>
        </w:rPr>
      </w:pPr>
      <w:r>
        <w:rPr>
          <w:lang w:eastAsia="zh-CN"/>
        </w:rPr>
        <w:t xml:space="preserve">K. </w:t>
      </w:r>
      <w:r>
        <w:rPr>
          <w:b/>
          <w:lang w:eastAsia="zh-CN"/>
        </w:rPr>
        <w:t>变更已授出股份奖励或期权的条款须取得的批准</w:t>
      </w:r>
    </w:p>
    <w:p w:rsidR="00E66DCB" w:rsidRDefault="00232A34">
      <w:pPr>
        <w:pStyle w:val="BodyText"/>
        <w:rPr>
          <w:lang w:eastAsia="zh-CN"/>
        </w:rPr>
      </w:pPr>
      <w:r>
        <w:rPr>
          <w:lang w:eastAsia="zh-CN"/>
        </w:rPr>
        <w:t>香港交易所建议有关变更须经由初次授出有关奖励或期权的相关审批人（可包括董事会、薪酬委员会、独立非执行董事及／或股东）批准，而非对已授出股份奖励或期权的条款的任何变更取得股东批准。</w:t>
      </w:r>
    </w:p>
    <w:p w:rsidR="00E66DCB" w:rsidRDefault="00232A34">
      <w:pPr>
        <w:pStyle w:val="BodyText"/>
        <w:rPr>
          <w:lang w:eastAsia="zh-CN"/>
        </w:rPr>
      </w:pPr>
      <w:r>
        <w:rPr>
          <w:lang w:eastAsia="zh-CN"/>
        </w:rPr>
        <w:t>尽管部分响应</w:t>
      </w:r>
      <w:r>
        <w:rPr>
          <w:lang w:eastAsia="zh-CN"/>
        </w:rPr>
        <w:t>人士的回应认为建议过于繁重，但是香港交易所认为对投资者的保障不应被减损，同时表示该项建议旨在减轻上市公司的合规负担。香港交易所将采纳该项建议。</w:t>
      </w:r>
    </w:p>
    <w:p w:rsidR="00E66DCB" w:rsidRDefault="00232A34">
      <w:pPr>
        <w:pStyle w:val="BodyText"/>
        <w:rPr>
          <w:lang w:eastAsia="zh-CN"/>
        </w:rPr>
      </w:pPr>
      <w:r>
        <w:rPr>
          <w:lang w:eastAsia="zh-CN"/>
        </w:rPr>
        <w:t xml:space="preserve">L. </w:t>
      </w:r>
      <w:r>
        <w:rPr>
          <w:b/>
          <w:lang w:eastAsia="zh-CN"/>
        </w:rPr>
        <w:t>转移股份奖励或期权</w:t>
      </w:r>
    </w:p>
    <w:p w:rsidR="00E66DCB" w:rsidRDefault="00232A34">
      <w:pPr>
        <w:pStyle w:val="BodyText"/>
        <w:rPr>
          <w:lang w:eastAsia="zh-CN"/>
        </w:rPr>
      </w:pPr>
      <w:r>
        <w:rPr>
          <w:lang w:eastAsia="zh-CN"/>
        </w:rPr>
        <w:t>香港交易所建议其可给予豁免，使股份奖励或期权可为获授人及其家属的利益（例如作为遗产或税务规划）而转让予某载体（包括信托或私人公司），前提是其可继续符合有关计划目的，并遵守第</w:t>
      </w:r>
      <w:r>
        <w:rPr>
          <w:lang w:eastAsia="zh-CN"/>
        </w:rPr>
        <w:t>17</w:t>
      </w:r>
      <w:r>
        <w:rPr>
          <w:lang w:eastAsia="zh-CN"/>
        </w:rPr>
        <w:t>章的其他规定。</w:t>
      </w:r>
    </w:p>
    <w:p w:rsidR="00E66DCB" w:rsidRDefault="00232A34">
      <w:pPr>
        <w:pStyle w:val="BodyText"/>
        <w:rPr>
          <w:lang w:eastAsia="zh-CN"/>
        </w:rPr>
      </w:pPr>
      <w:r>
        <w:rPr>
          <w:lang w:eastAsia="zh-CN"/>
        </w:rPr>
        <w:t>绝大部分回应人士同意该项建议，且该项建议将获采纳。</w:t>
      </w:r>
    </w:p>
    <w:p w:rsidR="00E66DCB" w:rsidRDefault="00232A34">
      <w:pPr>
        <w:pStyle w:val="BodyText"/>
        <w:rPr>
          <w:lang w:eastAsia="zh-CN"/>
        </w:rPr>
      </w:pPr>
      <w:r>
        <w:rPr>
          <w:lang w:eastAsia="zh-CN"/>
        </w:rPr>
        <w:t xml:space="preserve">M. </w:t>
      </w:r>
      <w:r>
        <w:rPr>
          <w:b/>
          <w:lang w:eastAsia="zh-CN"/>
        </w:rPr>
        <w:t>未归属计划股份的表决权</w:t>
      </w:r>
    </w:p>
    <w:p w:rsidR="00E66DCB" w:rsidRDefault="00232A34">
      <w:pPr>
        <w:pStyle w:val="BodyText"/>
        <w:rPr>
          <w:lang w:eastAsia="zh-CN"/>
        </w:rPr>
      </w:pPr>
      <w:r>
        <w:rPr>
          <w:lang w:eastAsia="zh-CN"/>
        </w:rPr>
        <w:t>香港交易所建议，就《上市规则》规定的事宜（须股东批准）投票表决时，持有股份计划项下未归属股份的受托人须放弃表决权，以及上市公司须于月报表中披露未归属股份数目。该等建议意在解决有关对发行人管理层在受托人行使未归属股份的表决权时造成不当影响的疑虑。</w:t>
      </w:r>
    </w:p>
    <w:p w:rsidR="00E66DCB" w:rsidRDefault="00232A34">
      <w:pPr>
        <w:pStyle w:val="BodyText"/>
        <w:rPr>
          <w:lang w:eastAsia="zh-CN"/>
        </w:rPr>
      </w:pPr>
      <w:r>
        <w:rPr>
          <w:lang w:eastAsia="zh-CN"/>
        </w:rPr>
        <w:t>香港交易所将采纳该项建议，但略加修改，以涵盖未归属股份是由信托人透过特殊工具持有的情况，并就法律规定信托人须按实益拥有人的指示投票的情况提供豁免。</w:t>
      </w:r>
    </w:p>
    <w:p w:rsidR="00E66DCB" w:rsidRDefault="00232A34">
      <w:pPr>
        <w:pStyle w:val="BodyText"/>
        <w:rPr>
          <w:lang w:eastAsia="zh-CN"/>
        </w:rPr>
      </w:pPr>
      <w:r>
        <w:rPr>
          <w:lang w:eastAsia="zh-CN"/>
        </w:rPr>
        <w:t>但是，香港交易所将不会采纳关于建议在月报表中披露未归属股份数目的建议，原因是部分响应人士担心在月报表中披露未归属股份数</w:t>
      </w:r>
      <w:r>
        <w:rPr>
          <w:lang w:eastAsia="zh-CN"/>
        </w:rPr>
        <w:t>目可能过于繁重及无必要，因为未归属股份的表决权本已受到限制。</w:t>
      </w:r>
    </w:p>
    <w:p w:rsidR="00E66DCB" w:rsidRDefault="00232A34">
      <w:pPr>
        <w:pStyle w:val="BodyText"/>
        <w:rPr>
          <w:lang w:eastAsia="zh-CN"/>
        </w:rPr>
      </w:pPr>
      <w:r>
        <w:rPr>
          <w:lang w:eastAsia="zh-CN"/>
        </w:rPr>
        <w:t xml:space="preserve">N. </w:t>
      </w:r>
      <w:r>
        <w:rPr>
          <w:b/>
          <w:lang w:eastAsia="zh-CN"/>
        </w:rPr>
        <w:t>授出公告以及财务报告中的披露</w:t>
      </w:r>
    </w:p>
    <w:p w:rsidR="00E66DCB" w:rsidRDefault="00232A34">
      <w:pPr>
        <w:pStyle w:val="BodyText"/>
        <w:rPr>
          <w:lang w:eastAsia="zh-CN"/>
        </w:rPr>
      </w:pPr>
      <w:r>
        <w:rPr>
          <w:lang w:eastAsia="zh-CN"/>
        </w:rPr>
        <w:t>香港交易所建议，股份计划的条款及涉及现有股份的授予股份的详情（毋须经股东批准，因为其不涉及发行股份）须予以披露，与适用于涉及新股的股份计划建议</w:t>
      </w:r>
      <w:r>
        <w:rPr>
          <w:lang w:eastAsia="zh-CN"/>
        </w:rPr>
        <w:t xml:space="preserve"> H </w:t>
      </w:r>
      <w:r>
        <w:rPr>
          <w:lang w:eastAsia="zh-CN"/>
        </w:rPr>
        <w:t>及</w:t>
      </w:r>
      <w:r>
        <w:rPr>
          <w:lang w:eastAsia="zh-CN"/>
        </w:rPr>
        <w:t xml:space="preserve"> I</w:t>
      </w:r>
      <w:r>
        <w:rPr>
          <w:lang w:eastAsia="zh-CN"/>
        </w:rPr>
        <w:t>的相关规定一致。</w:t>
      </w:r>
    </w:p>
    <w:p w:rsidR="00E66DCB" w:rsidRDefault="00232A34">
      <w:pPr>
        <w:pStyle w:val="BodyText"/>
        <w:rPr>
          <w:lang w:eastAsia="zh-CN"/>
        </w:rPr>
      </w:pPr>
      <w:r>
        <w:rPr>
          <w:lang w:eastAsia="zh-CN"/>
        </w:rPr>
        <w:t>香港交易所将采纳该项计划，并同意回应人士的意见，即有关披露应均衡且信息性充足。因此，将作出以下修订：</w:t>
      </w:r>
    </w:p>
    <w:p w:rsidR="00E66DCB" w:rsidRDefault="00232A34">
      <w:pPr>
        <w:pStyle w:val="Compact"/>
        <w:numPr>
          <w:ilvl w:val="0"/>
          <w:numId w:val="6"/>
        </w:numPr>
        <w:rPr>
          <w:lang w:eastAsia="zh-CN"/>
        </w:rPr>
      </w:pPr>
      <w:r>
        <w:rPr>
          <w:lang w:eastAsia="zh-CN"/>
        </w:rPr>
        <w:t>移除授予涉及现有股份的股份时须刊发公告的规定；及</w:t>
      </w:r>
    </w:p>
    <w:p w:rsidR="00E66DCB" w:rsidRDefault="00232A34">
      <w:pPr>
        <w:pStyle w:val="Compact"/>
        <w:numPr>
          <w:ilvl w:val="0"/>
          <w:numId w:val="6"/>
        </w:numPr>
        <w:rPr>
          <w:lang w:eastAsia="zh-CN"/>
        </w:rPr>
      </w:pPr>
      <w:r>
        <w:rPr>
          <w:lang w:eastAsia="zh-CN"/>
        </w:rPr>
        <w:lastRenderedPageBreak/>
        <w:t>规定向以下人士授予现有股份须于年报作披露：</w:t>
      </w:r>
      <w:r>
        <w:rPr>
          <w:lang w:eastAsia="zh-CN"/>
        </w:rPr>
        <w:t>(i)</w:t>
      </w:r>
      <w:r>
        <w:rPr>
          <w:lang w:eastAsia="zh-CN"/>
        </w:rPr>
        <w:t>上市公司董事（逐一个别披露）；及</w:t>
      </w:r>
      <w:r>
        <w:rPr>
          <w:lang w:eastAsia="zh-CN"/>
        </w:rPr>
        <w:t>(ii)</w:t>
      </w:r>
      <w:r>
        <w:rPr>
          <w:lang w:eastAsia="zh-CN"/>
        </w:rPr>
        <w:t>最</w:t>
      </w:r>
      <w:r>
        <w:rPr>
          <w:lang w:eastAsia="zh-CN"/>
        </w:rPr>
        <w:t>高薪酬的五名人士（合计披露）。向其他参与者授出股份的详情可合计披露。</w:t>
      </w:r>
    </w:p>
    <w:p w:rsidR="00E66DCB" w:rsidRDefault="00232A34">
      <w:pPr>
        <w:pStyle w:val="FirstParagraph"/>
        <w:rPr>
          <w:lang w:eastAsia="zh-CN"/>
        </w:rPr>
      </w:pPr>
      <w:r>
        <w:rPr>
          <w:lang w:eastAsia="zh-CN"/>
        </w:rPr>
        <w:t xml:space="preserve">O. </w:t>
      </w:r>
      <w:r>
        <w:rPr>
          <w:b/>
          <w:lang w:eastAsia="zh-CN"/>
        </w:rPr>
        <w:t>附属公司的股份奖励计划</w:t>
      </w:r>
    </w:p>
    <w:p w:rsidR="00E66DCB" w:rsidRDefault="00232A34">
      <w:pPr>
        <w:pStyle w:val="BodyText"/>
        <w:rPr>
          <w:lang w:eastAsia="zh-CN"/>
        </w:rPr>
      </w:pPr>
      <w:r>
        <w:rPr>
          <w:lang w:eastAsia="zh-CN"/>
        </w:rPr>
        <w:t>香港交易所建议扩大《上市规则》第</w:t>
      </w:r>
      <w:r>
        <w:rPr>
          <w:lang w:eastAsia="zh-CN"/>
        </w:rPr>
        <w:t>17</w:t>
      </w:r>
      <w:r>
        <w:rPr>
          <w:lang w:eastAsia="zh-CN"/>
        </w:rPr>
        <w:t>章的适用范围，使之涵盖涉及附属公司新股或现有股份的股份奖励计划。</w:t>
      </w:r>
    </w:p>
    <w:p w:rsidR="00E66DCB" w:rsidRDefault="00232A34">
      <w:pPr>
        <w:pStyle w:val="BodyText"/>
        <w:rPr>
          <w:lang w:eastAsia="zh-CN"/>
        </w:rPr>
      </w:pPr>
      <w:r>
        <w:rPr>
          <w:lang w:eastAsia="zh-CN"/>
        </w:rPr>
        <w:t>香港交易所建议豁免非重大附属公司遵守第</w:t>
      </w:r>
      <w:r>
        <w:rPr>
          <w:lang w:eastAsia="zh-CN"/>
        </w:rPr>
        <w:t>17</w:t>
      </w:r>
      <w:r>
        <w:rPr>
          <w:lang w:eastAsia="zh-CN"/>
        </w:rPr>
        <w:t>章有关须经股东批准的规定，改为要求获得上市公司薪酬委员会的批准，但是该等非重大附属公司仍须遵守第</w:t>
      </w:r>
      <w:r>
        <w:rPr>
          <w:lang w:eastAsia="zh-CN"/>
        </w:rPr>
        <w:t>17</w:t>
      </w:r>
      <w:r>
        <w:rPr>
          <w:lang w:eastAsia="zh-CN"/>
        </w:rPr>
        <w:t>章的披露规定。</w:t>
      </w:r>
    </w:p>
    <w:p w:rsidR="00E66DCB" w:rsidRDefault="00232A34">
      <w:pPr>
        <w:pStyle w:val="BodyText"/>
        <w:rPr>
          <w:lang w:eastAsia="zh-CN"/>
        </w:rPr>
      </w:pPr>
      <w:r>
        <w:rPr>
          <w:lang w:eastAsia="zh-CN"/>
        </w:rPr>
        <w:t>在审阅回应人士的意见（尤其是，认为若属向关连人士授予股份，该等规定应用起来过于繁重甚或不可行以及有关股份奖励的相关摊薄影响反倒须受第</w:t>
      </w:r>
      <w:r>
        <w:rPr>
          <w:lang w:eastAsia="zh-CN"/>
        </w:rPr>
        <w:t>14</w:t>
      </w:r>
      <w:r>
        <w:rPr>
          <w:lang w:eastAsia="zh-CN"/>
        </w:rPr>
        <w:t>章或者第</w:t>
      </w:r>
      <w:r>
        <w:rPr>
          <w:lang w:eastAsia="zh-CN"/>
        </w:rPr>
        <w:t>14A</w:t>
      </w:r>
      <w:r>
        <w:rPr>
          <w:lang w:eastAsia="zh-CN"/>
        </w:rPr>
        <w:t>章中的视作出售规定规管）之后，香港交易所将修订该项建议并予以采纳但仅适用于主要附属公司（基于该附属公司的规模相对上市公司而言相当重大），而无论主要附属公司有否上市。这意味着该项将以不会扩大至涵盖非重大附属公司。</w:t>
      </w:r>
    </w:p>
    <w:p w:rsidR="00E66DCB" w:rsidRDefault="00232A34">
      <w:pPr>
        <w:pStyle w:val="BodyText"/>
        <w:rPr>
          <w:lang w:eastAsia="zh-CN"/>
        </w:rPr>
      </w:pPr>
      <w:r>
        <w:rPr>
          <w:lang w:eastAsia="zh-CN"/>
        </w:rPr>
        <w:t xml:space="preserve">P. </w:t>
      </w:r>
      <w:r>
        <w:rPr>
          <w:b/>
          <w:lang w:eastAsia="zh-CN"/>
        </w:rPr>
        <w:t>信托安排</w:t>
      </w:r>
    </w:p>
    <w:p w:rsidR="00E66DCB" w:rsidRDefault="00232A34">
      <w:pPr>
        <w:pStyle w:val="BodyText"/>
        <w:rPr>
          <w:lang w:eastAsia="zh-CN"/>
        </w:rPr>
      </w:pPr>
      <w:r>
        <w:rPr>
          <w:lang w:eastAsia="zh-CN"/>
        </w:rPr>
        <w:t>香港交易所建议澄清第</w:t>
      </w:r>
      <w:r>
        <w:rPr>
          <w:lang w:eastAsia="zh-CN"/>
        </w:rPr>
        <w:t>17</w:t>
      </w:r>
      <w:r>
        <w:rPr>
          <w:lang w:eastAsia="zh-CN"/>
        </w:rPr>
        <w:t>章的规定亦适用于透过由上市公司于授股前特别指定的参与者为受益人的信托或类似安排授出新股或期权的股份计划。香港交</w:t>
      </w:r>
      <w:r>
        <w:rPr>
          <w:lang w:eastAsia="zh-CN"/>
        </w:rPr>
        <w:t>易所决定将采纳该项建议。</w:t>
      </w:r>
    </w:p>
    <w:p w:rsidR="00E66DCB" w:rsidRDefault="00232A34">
      <w:pPr>
        <w:pStyle w:val="BodyText"/>
        <w:rPr>
          <w:lang w:eastAsia="zh-CN"/>
        </w:rPr>
      </w:pPr>
      <w:r>
        <w:rPr>
          <w:lang w:eastAsia="zh-CN"/>
        </w:rPr>
        <w:t xml:space="preserve">Q. </w:t>
      </w:r>
      <w:r>
        <w:rPr>
          <w:b/>
          <w:lang w:eastAsia="zh-CN"/>
        </w:rPr>
        <w:t>于采纳新股份期权计划的通函中披露期权公平值</w:t>
      </w:r>
    </w:p>
    <w:p w:rsidR="00E66DCB" w:rsidRDefault="00232A34">
      <w:pPr>
        <w:pStyle w:val="BodyText"/>
        <w:rPr>
          <w:lang w:eastAsia="zh-CN"/>
        </w:rPr>
      </w:pPr>
      <w:r>
        <w:rPr>
          <w:lang w:eastAsia="zh-CN"/>
        </w:rPr>
        <w:t>香港交易所建议移除有关在股份期权计划寻求股东批准的致股东通函中宜披露期权公平值的规定，原因是在财务报告中披露股份期权及奖励公平值的建议（见建议</w:t>
      </w:r>
      <w:r>
        <w:rPr>
          <w:lang w:eastAsia="zh-CN"/>
        </w:rPr>
        <w:t>I</w:t>
      </w:r>
      <w:r>
        <w:rPr>
          <w:lang w:eastAsia="zh-CN"/>
        </w:rPr>
        <w:t>）似乎对股东而言较有意义，让股东可评估授予股份对其于上市公司的权益的摊薄影响。该项建议将予以采纳。</w:t>
      </w:r>
    </w:p>
    <w:p w:rsidR="00E66DCB" w:rsidRDefault="00232A34">
      <w:pPr>
        <w:pStyle w:val="BodyText"/>
        <w:rPr>
          <w:lang w:eastAsia="zh-CN"/>
        </w:rPr>
      </w:pPr>
      <w:r>
        <w:rPr>
          <w:lang w:eastAsia="zh-CN"/>
        </w:rPr>
        <w:t xml:space="preserve">R. </w:t>
      </w:r>
      <w:r>
        <w:rPr>
          <w:b/>
          <w:lang w:eastAsia="zh-CN"/>
        </w:rPr>
        <w:t>其他有关股份计划的《上市规则》修订建议</w:t>
      </w:r>
    </w:p>
    <w:p w:rsidR="00E66DCB" w:rsidRDefault="00232A34">
      <w:pPr>
        <w:pStyle w:val="BodyText"/>
        <w:rPr>
          <w:lang w:eastAsia="zh-CN"/>
        </w:rPr>
      </w:pPr>
      <w:r>
        <w:rPr>
          <w:lang w:eastAsia="zh-CN"/>
        </w:rPr>
        <w:t>香港交易所建议修订以下现时适用于股份期权计划的《上市规则》条文，以使其亦适用于股份奖励计划：</w:t>
      </w:r>
    </w:p>
    <w:p w:rsidR="00E66DCB" w:rsidRDefault="00232A34">
      <w:pPr>
        <w:pStyle w:val="Compact"/>
        <w:numPr>
          <w:ilvl w:val="0"/>
          <w:numId w:val="7"/>
        </w:numPr>
        <w:rPr>
          <w:lang w:eastAsia="zh-CN"/>
        </w:rPr>
      </w:pPr>
      <w:r>
        <w:rPr>
          <w:lang w:eastAsia="zh-CN"/>
        </w:rPr>
        <w:t>第</w:t>
      </w:r>
      <w:r>
        <w:rPr>
          <w:lang w:eastAsia="zh-CN"/>
        </w:rPr>
        <w:t>3.13(2)</w:t>
      </w:r>
      <w:r>
        <w:rPr>
          <w:lang w:eastAsia="zh-CN"/>
        </w:rPr>
        <w:t>条</w:t>
      </w:r>
      <w:r>
        <w:rPr>
          <w:lang w:eastAsia="zh-CN"/>
        </w:rPr>
        <w:t xml:space="preserve"> – </w:t>
      </w:r>
      <w:r>
        <w:rPr>
          <w:lang w:eastAsia="zh-CN"/>
        </w:rPr>
        <w:t>如董事按根据第</w:t>
      </w:r>
      <w:r>
        <w:rPr>
          <w:lang w:eastAsia="zh-CN"/>
        </w:rPr>
        <w:t>17</w:t>
      </w:r>
      <w:r>
        <w:rPr>
          <w:lang w:eastAsia="zh-CN"/>
        </w:rPr>
        <w:t>章而设定的</w:t>
      </w:r>
      <w:r>
        <w:rPr>
          <w:lang w:eastAsia="zh-CN"/>
        </w:rPr>
        <w:t>股份期权计划从上市公司或其附属公司获取股份或证券权益，则该董事仍可被视为独立董事。</w:t>
      </w:r>
    </w:p>
    <w:p w:rsidR="00E66DCB" w:rsidRDefault="00232A34">
      <w:pPr>
        <w:pStyle w:val="Compact"/>
        <w:numPr>
          <w:ilvl w:val="0"/>
          <w:numId w:val="7"/>
        </w:numPr>
        <w:rPr>
          <w:lang w:eastAsia="zh-CN"/>
        </w:rPr>
      </w:pPr>
      <w:r>
        <w:rPr>
          <w:lang w:eastAsia="zh-CN"/>
        </w:rPr>
        <w:t>第</w:t>
      </w:r>
      <w:r>
        <w:rPr>
          <w:lang w:eastAsia="zh-CN"/>
        </w:rPr>
        <w:t>10.08(1)</w:t>
      </w:r>
      <w:r>
        <w:rPr>
          <w:lang w:eastAsia="zh-CN"/>
        </w:rPr>
        <w:t>条</w:t>
      </w:r>
      <w:r>
        <w:rPr>
          <w:lang w:eastAsia="zh-CN"/>
        </w:rPr>
        <w:t xml:space="preserve"> – </w:t>
      </w:r>
      <w:r>
        <w:rPr>
          <w:lang w:eastAsia="zh-CN"/>
        </w:rPr>
        <w:t>有关上市公司不得在其于香港交易所新上市后</w:t>
      </w:r>
      <w:r>
        <w:rPr>
          <w:lang w:eastAsia="zh-CN"/>
        </w:rPr>
        <w:t>6</w:t>
      </w:r>
      <w:r>
        <w:rPr>
          <w:lang w:eastAsia="zh-CN"/>
        </w:rPr>
        <w:t>个月内再发行股份的限制，并不适用于按根据第</w:t>
      </w:r>
      <w:r>
        <w:rPr>
          <w:lang w:eastAsia="zh-CN"/>
        </w:rPr>
        <w:t>17</w:t>
      </w:r>
      <w:r>
        <w:rPr>
          <w:lang w:eastAsia="zh-CN"/>
        </w:rPr>
        <w:t>章而设定的股份期权计划发行股份（有关股份的上市已获香港交易所批准）。</w:t>
      </w:r>
    </w:p>
    <w:p w:rsidR="00E66DCB" w:rsidRDefault="00232A34">
      <w:pPr>
        <w:pStyle w:val="Compact"/>
        <w:numPr>
          <w:ilvl w:val="0"/>
          <w:numId w:val="7"/>
        </w:numPr>
        <w:rPr>
          <w:lang w:eastAsia="zh-CN"/>
        </w:rPr>
      </w:pPr>
      <w:r>
        <w:rPr>
          <w:lang w:eastAsia="zh-CN"/>
        </w:rPr>
        <w:t>第</w:t>
      </w:r>
      <w:r>
        <w:rPr>
          <w:lang w:eastAsia="zh-CN"/>
        </w:rPr>
        <w:t>13.52(1)(e)(ii)</w:t>
      </w:r>
      <w:r>
        <w:rPr>
          <w:lang w:eastAsia="zh-CN"/>
        </w:rPr>
        <w:t>条</w:t>
      </w:r>
      <w:r>
        <w:rPr>
          <w:lang w:eastAsia="zh-CN"/>
        </w:rPr>
        <w:t xml:space="preserve"> – </w:t>
      </w:r>
      <w:r>
        <w:rPr>
          <w:lang w:eastAsia="zh-CN"/>
        </w:rPr>
        <w:t>上市公司就任何与第</w:t>
      </w:r>
      <w:r>
        <w:rPr>
          <w:lang w:eastAsia="zh-CN"/>
        </w:rPr>
        <w:t>17</w:t>
      </w:r>
      <w:r>
        <w:rPr>
          <w:lang w:eastAsia="zh-CN"/>
        </w:rPr>
        <w:t>章所规定的股份期权计划有关的事宜刊发通函，都应向香港交易所提交通函拟稿供其审阅。</w:t>
      </w:r>
    </w:p>
    <w:p w:rsidR="00E66DCB" w:rsidRDefault="00232A34">
      <w:pPr>
        <w:pStyle w:val="Compact"/>
        <w:numPr>
          <w:ilvl w:val="0"/>
          <w:numId w:val="7"/>
        </w:numPr>
        <w:rPr>
          <w:lang w:eastAsia="zh-CN"/>
        </w:rPr>
      </w:pPr>
      <w:r>
        <w:rPr>
          <w:lang w:eastAsia="zh-CN"/>
        </w:rPr>
        <w:t>附录</w:t>
      </w:r>
      <w:r>
        <w:rPr>
          <w:lang w:eastAsia="zh-CN"/>
        </w:rPr>
        <w:t>10</w:t>
      </w:r>
      <w:r>
        <w:rPr>
          <w:lang w:eastAsia="zh-CN"/>
        </w:rPr>
        <w:t>第</w:t>
      </w:r>
      <w:r>
        <w:rPr>
          <w:lang w:eastAsia="zh-CN"/>
        </w:rPr>
        <w:t>7</w:t>
      </w:r>
      <w:r>
        <w:rPr>
          <w:lang w:eastAsia="zh-CN"/>
        </w:rPr>
        <w:t>段</w:t>
      </w:r>
      <w:r>
        <w:rPr>
          <w:lang w:eastAsia="zh-CN"/>
        </w:rPr>
        <w:t xml:space="preserve"> – </w:t>
      </w:r>
      <w:r>
        <w:rPr>
          <w:lang w:eastAsia="zh-CN"/>
        </w:rPr>
        <w:t>标准守则</w:t>
      </w:r>
      <w:hyperlink w:anchor="footnote-598-4">
        <w:r>
          <w:rPr>
            <w:vertAlign w:val="superscript"/>
            <w:lang w:eastAsia="zh-CN"/>
          </w:rPr>
          <w:t>4</w:t>
        </w:r>
      </w:hyperlink>
      <w:r>
        <w:rPr>
          <w:lang w:eastAsia="zh-CN"/>
        </w:rPr>
        <w:t>项下证券交易的买卖限制，不适用于按在有关守则禁止进行买卖期之前授予股份期权时所预定的行使价行使的期权。</w:t>
      </w:r>
    </w:p>
    <w:p w:rsidR="00E66DCB" w:rsidRDefault="00232A34">
      <w:pPr>
        <w:pStyle w:val="FirstParagraph"/>
        <w:rPr>
          <w:lang w:eastAsia="zh-CN"/>
        </w:rPr>
      </w:pPr>
      <w:r>
        <w:rPr>
          <w:lang w:eastAsia="zh-CN"/>
        </w:rPr>
        <w:t>为了划一《上市规则》其他部分中适用于股份计划的规定，香港交易所将采纳该项建议。至于预先审阅上市公司文件的问题，可能在日后的检讨中予以考虑。</w:t>
      </w:r>
    </w:p>
    <w:p w:rsidR="00E66DCB" w:rsidRDefault="00232A34">
      <w:pPr>
        <w:pStyle w:val="BodyText"/>
        <w:rPr>
          <w:lang w:eastAsia="zh-CN"/>
        </w:rPr>
      </w:pPr>
      <w:r>
        <w:rPr>
          <w:lang w:eastAsia="zh-CN"/>
        </w:rPr>
        <w:t>过渡安排</w:t>
      </w:r>
    </w:p>
    <w:p w:rsidR="00E66DCB" w:rsidRDefault="00232A34">
      <w:pPr>
        <w:pStyle w:val="BodyText"/>
      </w:pPr>
      <w:r>
        <w:rPr>
          <w:lang w:eastAsia="zh-CN"/>
        </w:rPr>
        <w:t>该经修订的《上市规则》将于</w:t>
      </w:r>
      <w:r>
        <w:rPr>
          <w:lang w:eastAsia="zh-CN"/>
        </w:rPr>
        <w:t>2023</w:t>
      </w:r>
      <w:r>
        <w:rPr>
          <w:lang w:eastAsia="zh-CN"/>
        </w:rPr>
        <w:t>年</w:t>
      </w:r>
      <w:r>
        <w:rPr>
          <w:lang w:eastAsia="zh-CN"/>
        </w:rPr>
        <w:t>1</w:t>
      </w:r>
      <w:r>
        <w:rPr>
          <w:lang w:eastAsia="zh-CN"/>
        </w:rPr>
        <w:t>月</w:t>
      </w:r>
      <w:r>
        <w:rPr>
          <w:lang w:eastAsia="zh-CN"/>
        </w:rPr>
        <w:t>1</w:t>
      </w:r>
      <w:r>
        <w:rPr>
          <w:lang w:eastAsia="zh-CN"/>
        </w:rPr>
        <w:t>日生效，并且已经获得香港交易所董事会及香港证券及期货事务监察委员会批准。上市公司须在</w:t>
      </w:r>
      <w:r>
        <w:rPr>
          <w:lang w:eastAsia="zh-CN"/>
        </w:rPr>
        <w:t>2023</w:t>
      </w:r>
      <w:r>
        <w:rPr>
          <w:lang w:eastAsia="zh-CN"/>
        </w:rPr>
        <w:t>年</w:t>
      </w:r>
      <w:r>
        <w:rPr>
          <w:lang w:eastAsia="zh-CN"/>
        </w:rPr>
        <w:t>1</w:t>
      </w:r>
      <w:r>
        <w:rPr>
          <w:lang w:eastAsia="zh-CN"/>
        </w:rPr>
        <w:t>月</w:t>
      </w:r>
      <w:r>
        <w:rPr>
          <w:lang w:eastAsia="zh-CN"/>
        </w:rPr>
        <w:t>1</w:t>
      </w:r>
      <w:r>
        <w:rPr>
          <w:lang w:eastAsia="zh-CN"/>
        </w:rPr>
        <w:t>日之前就其股份计划遵守该经修订的《上市规则》规定。过渡安排将提供予在</w:t>
      </w:r>
      <w:r>
        <w:rPr>
          <w:lang w:eastAsia="zh-CN"/>
        </w:rPr>
        <w:t>2023</w:t>
      </w:r>
      <w:r>
        <w:rPr>
          <w:lang w:eastAsia="zh-CN"/>
        </w:rPr>
        <w:t>年</w:t>
      </w:r>
      <w:r>
        <w:rPr>
          <w:lang w:eastAsia="zh-CN"/>
        </w:rPr>
        <w:t>1</w:t>
      </w:r>
      <w:r>
        <w:rPr>
          <w:lang w:eastAsia="zh-CN"/>
        </w:rPr>
        <w:t>月</w:t>
      </w:r>
      <w:r>
        <w:rPr>
          <w:lang w:eastAsia="zh-CN"/>
        </w:rPr>
        <w:t>1</w:t>
      </w:r>
      <w:r>
        <w:rPr>
          <w:lang w:eastAsia="zh-CN"/>
        </w:rPr>
        <w:t>日属生效状态的现行股份计划。</w:t>
      </w:r>
      <w:r>
        <w:t>摘要如下：</w:t>
      </w:r>
    </w:p>
    <w:p w:rsidR="00E66DCB" w:rsidRDefault="00232A34">
      <w:pPr>
        <w:pStyle w:val="Compact"/>
        <w:numPr>
          <w:ilvl w:val="0"/>
          <w:numId w:val="8"/>
        </w:numPr>
        <w:rPr>
          <w:lang w:eastAsia="zh-CN"/>
        </w:rPr>
      </w:pPr>
      <w:r>
        <w:rPr>
          <w:lang w:eastAsia="zh-CN"/>
        </w:rPr>
        <w:lastRenderedPageBreak/>
        <w:t>所有现有的股份计划：上市公司将须由生效日期</w:t>
      </w:r>
      <w:r>
        <w:rPr>
          <w:lang w:eastAsia="zh-CN"/>
        </w:rPr>
        <w:t>2023</w:t>
      </w:r>
      <w:r>
        <w:rPr>
          <w:lang w:eastAsia="zh-CN"/>
        </w:rPr>
        <w:t>年</w:t>
      </w:r>
      <w:r>
        <w:rPr>
          <w:lang w:eastAsia="zh-CN"/>
        </w:rPr>
        <w:t>1</w:t>
      </w:r>
      <w:r>
        <w:rPr>
          <w:lang w:eastAsia="zh-CN"/>
        </w:rPr>
        <w:t>月</w:t>
      </w:r>
      <w:r>
        <w:rPr>
          <w:lang w:eastAsia="zh-CN"/>
        </w:rPr>
        <w:t>1</w:t>
      </w:r>
      <w:r>
        <w:rPr>
          <w:lang w:eastAsia="zh-CN"/>
        </w:rPr>
        <w:t>日开始遵守新的披露规定，包括就根据有关计划授出股份奖励或期权刊发公告，以及于生效日期或之后刊发的中期报告或年报中作出披露。</w:t>
      </w:r>
    </w:p>
    <w:p w:rsidR="00E66DCB" w:rsidRDefault="00232A34">
      <w:pPr>
        <w:pStyle w:val="Compact"/>
        <w:numPr>
          <w:ilvl w:val="0"/>
          <w:numId w:val="8"/>
        </w:numPr>
        <w:rPr>
          <w:lang w:eastAsia="zh-CN"/>
        </w:rPr>
      </w:pPr>
      <w:r>
        <w:rPr>
          <w:lang w:eastAsia="zh-CN"/>
        </w:rPr>
        <w:t>在生效日期仍然有效的股份期权计划及获预先授权的股份奖励计划：上市公司可继续仅向经修订第</w:t>
      </w:r>
      <w:r>
        <w:rPr>
          <w:lang w:eastAsia="zh-CN"/>
        </w:rPr>
        <w:t>17</w:t>
      </w:r>
      <w:r>
        <w:rPr>
          <w:lang w:eastAsia="zh-CN"/>
        </w:rPr>
        <w:t>章定义的合资格参与者授出股份奖励或期权。根据一般授权采纳股份奖励计划的上市公司可能进行股份授予直至</w:t>
      </w:r>
      <w:r>
        <w:rPr>
          <w:lang w:eastAsia="zh-CN"/>
        </w:rPr>
        <w:t>2023</w:t>
      </w:r>
      <w:r>
        <w:rPr>
          <w:lang w:eastAsia="zh-CN"/>
        </w:rPr>
        <w:t>年</w:t>
      </w:r>
      <w:r>
        <w:rPr>
          <w:lang w:eastAsia="zh-CN"/>
        </w:rPr>
        <w:t>1</w:t>
      </w:r>
      <w:r>
        <w:rPr>
          <w:lang w:eastAsia="zh-CN"/>
        </w:rPr>
        <w:t>月</w:t>
      </w:r>
      <w:r>
        <w:rPr>
          <w:lang w:eastAsia="zh-CN"/>
        </w:rPr>
        <w:t>1</w:t>
      </w:r>
      <w:r>
        <w:rPr>
          <w:lang w:eastAsia="zh-CN"/>
        </w:rPr>
        <w:t>日后第二个股东周年大会之日为止。</w:t>
      </w:r>
    </w:p>
    <w:p w:rsidR="00E66DCB" w:rsidRDefault="00232A34">
      <w:pPr>
        <w:pStyle w:val="FirstParagraph"/>
        <w:rPr>
          <w:lang w:eastAsia="zh-CN"/>
        </w:rPr>
      </w:pPr>
      <w:r>
        <w:rPr>
          <w:lang w:eastAsia="zh-CN"/>
        </w:rPr>
        <w:t>过渡安排的更详细内容如下表所示：</w:t>
      </w:r>
    </w:p>
    <w:tbl>
      <w:tblPr>
        <w:tblStyle w:val="TableGrid"/>
        <w:tblW w:w="0" w:type="auto"/>
        <w:tblLook w:val="04A0" w:firstRow="1" w:lastRow="0" w:firstColumn="1" w:lastColumn="0" w:noHBand="0" w:noVBand="1"/>
      </w:tblPr>
      <w:tblGrid>
        <w:gridCol w:w="1546"/>
        <w:gridCol w:w="1616"/>
        <w:gridCol w:w="812"/>
        <w:gridCol w:w="812"/>
        <w:gridCol w:w="706"/>
        <w:gridCol w:w="213"/>
        <w:gridCol w:w="1602"/>
        <w:gridCol w:w="3087"/>
      </w:tblGrid>
      <w:tr w:rsidR="00D26D98" w:rsidRPr="00481D4C" w:rsidTr="0045369A">
        <w:tc>
          <w:tcPr>
            <w:tcW w:w="1668" w:type="dxa"/>
            <w:vMerge w:val="restart"/>
          </w:tcPr>
          <w:p w:rsidR="00D26D98" w:rsidRPr="00481D4C" w:rsidRDefault="00D26D98" w:rsidP="0045369A">
            <w:pPr>
              <w:pStyle w:val="NormalWeb"/>
              <w:spacing w:before="0" w:beforeAutospacing="0" w:after="0" w:afterAutospacing="0" w:line="200" w:lineRule="atLeast"/>
              <w:jc w:val="both"/>
              <w:textAlignment w:val="baseline"/>
              <w:rPr>
                <w:rFonts w:ascii="Times New Roman" w:hAnsi="Times New Roman" w:cs="Times New Roman"/>
              </w:rPr>
            </w:pPr>
          </w:p>
        </w:tc>
        <w:tc>
          <w:tcPr>
            <w:tcW w:w="3118" w:type="dxa"/>
            <w:gridSpan w:val="3"/>
            <w:vAlign w:val="center"/>
          </w:tcPr>
          <w:p w:rsidR="00D26D98" w:rsidRPr="00481D4C" w:rsidRDefault="00D26D98" w:rsidP="0045369A">
            <w:pPr>
              <w:pStyle w:val="NormalWeb"/>
              <w:spacing w:before="0" w:beforeAutospacing="0" w:after="0" w:afterAutospacing="0" w:line="200" w:lineRule="atLeast"/>
              <w:jc w:val="center"/>
              <w:textAlignment w:val="baseline"/>
              <w:rPr>
                <w:rFonts w:ascii="Times New Roman" w:hAnsi="Times New Roman" w:cs="Times New Roman"/>
                <w:b/>
              </w:rPr>
            </w:pPr>
            <w:r w:rsidRPr="00481D4C">
              <w:rPr>
                <w:rFonts w:ascii="Times New Roman" w:hAnsi="Times New Roman" w:cs="Times New Roman" w:hint="eastAsia"/>
                <w:b/>
              </w:rPr>
              <w:t>上市公司</w:t>
            </w:r>
          </w:p>
        </w:tc>
        <w:tc>
          <w:tcPr>
            <w:tcW w:w="2693" w:type="dxa"/>
            <w:gridSpan w:val="3"/>
            <w:vAlign w:val="center"/>
          </w:tcPr>
          <w:p w:rsidR="00D26D98" w:rsidRPr="00481D4C" w:rsidRDefault="00D26D98" w:rsidP="0045369A">
            <w:pPr>
              <w:pStyle w:val="NormalWeb"/>
              <w:spacing w:before="0" w:beforeAutospacing="0" w:after="0" w:afterAutospacing="0" w:line="200" w:lineRule="atLeast"/>
              <w:jc w:val="center"/>
              <w:textAlignment w:val="baseline"/>
              <w:rPr>
                <w:rFonts w:ascii="Times New Roman" w:hAnsi="Times New Roman" w:cs="Times New Roman"/>
                <w:b/>
                <w:bCs/>
              </w:rPr>
            </w:pPr>
            <w:r w:rsidRPr="00481D4C">
              <w:rPr>
                <w:rFonts w:ascii="Times New Roman" w:hAnsi="Times New Roman" w:cs="Times New Roman" w:hint="eastAsia"/>
                <w:b/>
                <w:bCs/>
              </w:rPr>
              <w:t>主要附属公司</w:t>
            </w:r>
          </w:p>
        </w:tc>
        <w:tc>
          <w:tcPr>
            <w:tcW w:w="2097" w:type="dxa"/>
          </w:tcPr>
          <w:p w:rsidR="00D26D98" w:rsidRPr="00481D4C" w:rsidRDefault="00D26D98" w:rsidP="0045369A">
            <w:pPr>
              <w:pStyle w:val="NormalWeb"/>
              <w:adjustRightInd w:val="0"/>
              <w:snapToGrid w:val="0"/>
              <w:spacing w:before="0" w:beforeAutospacing="0" w:after="0" w:afterAutospacing="0"/>
              <w:jc w:val="center"/>
              <w:textAlignment w:val="baseline"/>
              <w:rPr>
                <w:rFonts w:ascii="Times New Roman" w:hAnsi="Times New Roman" w:cs="Times New Roman"/>
                <w:b/>
                <w:bCs/>
              </w:rPr>
            </w:pPr>
            <w:r w:rsidRPr="00481D4C">
              <w:rPr>
                <w:rFonts w:ascii="Times New Roman" w:hAnsi="Times New Roman" w:cs="Times New Roman" w:hint="eastAsia"/>
                <w:b/>
                <w:bCs/>
              </w:rPr>
              <w:t>其他附属公司</w:t>
            </w:r>
          </w:p>
        </w:tc>
      </w:tr>
      <w:tr w:rsidR="00D26D98" w:rsidRPr="00481D4C" w:rsidTr="0045369A">
        <w:tc>
          <w:tcPr>
            <w:tcW w:w="1668" w:type="dxa"/>
            <w:vMerge/>
          </w:tcPr>
          <w:p w:rsidR="00D26D98" w:rsidRPr="00481D4C" w:rsidRDefault="00D26D98" w:rsidP="0045369A">
            <w:pPr>
              <w:pStyle w:val="NormalWeb"/>
              <w:spacing w:before="0" w:beforeAutospacing="0" w:after="0" w:afterAutospacing="0" w:line="200" w:lineRule="atLeast"/>
              <w:jc w:val="both"/>
              <w:textAlignment w:val="baseline"/>
              <w:rPr>
                <w:rFonts w:ascii="Times New Roman" w:hAnsi="Times New Roman" w:cs="Times New Roman"/>
              </w:rPr>
            </w:pPr>
          </w:p>
        </w:tc>
        <w:tc>
          <w:tcPr>
            <w:tcW w:w="1134" w:type="dxa"/>
            <w:vMerge w:val="restart"/>
          </w:tcPr>
          <w:p w:rsidR="00D26D98" w:rsidRPr="00481D4C" w:rsidRDefault="00D26D98" w:rsidP="0045369A">
            <w:pPr>
              <w:pStyle w:val="NormalWeb"/>
              <w:spacing w:after="0" w:line="200" w:lineRule="atLeast"/>
              <w:jc w:val="both"/>
              <w:textAlignment w:val="baseline"/>
              <w:rPr>
                <w:rFonts w:ascii="Times New Roman" w:hAnsi="Times New Roman" w:cs="Times New Roman"/>
                <w:b/>
              </w:rPr>
            </w:pPr>
            <w:r w:rsidRPr="00481D4C">
              <w:rPr>
                <w:rFonts w:ascii="Times New Roman" w:hAnsi="Times New Roman" w:cs="Times New Roman" w:hint="eastAsia"/>
                <w:b/>
              </w:rPr>
              <w:t>股份期权计划</w:t>
            </w:r>
          </w:p>
        </w:tc>
        <w:tc>
          <w:tcPr>
            <w:tcW w:w="1984" w:type="dxa"/>
            <w:gridSpan w:val="2"/>
          </w:tcPr>
          <w:p w:rsidR="00D26D98" w:rsidRPr="00481D4C" w:rsidRDefault="00D26D98" w:rsidP="0045369A">
            <w:pPr>
              <w:pStyle w:val="NormalWeb"/>
              <w:spacing w:before="0" w:beforeAutospacing="0" w:after="0" w:afterAutospacing="0" w:line="200" w:lineRule="atLeast"/>
              <w:jc w:val="both"/>
              <w:textAlignment w:val="baseline"/>
              <w:rPr>
                <w:rFonts w:ascii="Times New Roman" w:hAnsi="Times New Roman" w:cs="Times New Roman"/>
                <w:b/>
              </w:rPr>
            </w:pPr>
            <w:r w:rsidRPr="00481D4C">
              <w:rPr>
                <w:rFonts w:ascii="Times New Roman" w:hAnsi="Times New Roman" w:cs="Times New Roman" w:hint="eastAsia"/>
                <w:b/>
              </w:rPr>
              <w:t>股份奖励计划</w:t>
            </w:r>
          </w:p>
        </w:tc>
        <w:tc>
          <w:tcPr>
            <w:tcW w:w="992" w:type="dxa"/>
            <w:gridSpan w:val="2"/>
            <w:vMerge w:val="restart"/>
            <w:vAlign w:val="center"/>
          </w:tcPr>
          <w:p w:rsidR="00D26D98" w:rsidRPr="00481D4C" w:rsidRDefault="00D26D98" w:rsidP="0045369A">
            <w:pPr>
              <w:pStyle w:val="NormalWeb"/>
              <w:spacing w:after="0" w:line="200" w:lineRule="atLeast"/>
              <w:jc w:val="both"/>
              <w:textAlignment w:val="baseline"/>
              <w:rPr>
                <w:rFonts w:ascii="Times New Roman" w:hAnsi="Times New Roman" w:cs="Times New Roman"/>
                <w:b/>
                <w:bCs/>
              </w:rPr>
            </w:pPr>
            <w:r w:rsidRPr="00481D4C">
              <w:rPr>
                <w:rFonts w:ascii="Times New Roman" w:hAnsi="Times New Roman" w:cs="Times New Roman" w:hint="eastAsia"/>
                <w:b/>
                <w:bCs/>
              </w:rPr>
              <w:t>股份期权计划</w:t>
            </w:r>
          </w:p>
        </w:tc>
        <w:tc>
          <w:tcPr>
            <w:tcW w:w="1701" w:type="dxa"/>
            <w:vMerge w:val="restart"/>
            <w:vAlign w:val="center"/>
          </w:tcPr>
          <w:p w:rsidR="00D26D98" w:rsidRPr="00481D4C" w:rsidRDefault="00D26D98" w:rsidP="0045369A">
            <w:pPr>
              <w:pStyle w:val="NormalWeb"/>
              <w:spacing w:after="0" w:line="200" w:lineRule="atLeast"/>
              <w:jc w:val="both"/>
              <w:textAlignment w:val="baseline"/>
              <w:rPr>
                <w:rFonts w:ascii="Times New Roman" w:hAnsi="Times New Roman" w:cs="Times New Roman"/>
                <w:b/>
                <w:bCs/>
              </w:rPr>
            </w:pPr>
            <w:r w:rsidRPr="00481D4C">
              <w:rPr>
                <w:rFonts w:ascii="Times New Roman" w:hAnsi="Times New Roman" w:cs="Times New Roman" w:hint="eastAsia"/>
                <w:b/>
                <w:bCs/>
              </w:rPr>
              <w:t>股份奖励计划</w:t>
            </w:r>
          </w:p>
        </w:tc>
        <w:tc>
          <w:tcPr>
            <w:tcW w:w="2097" w:type="dxa"/>
            <w:vMerge w:val="restart"/>
          </w:tcPr>
          <w:p w:rsidR="00D26D98" w:rsidRPr="00481D4C" w:rsidRDefault="00D26D98" w:rsidP="0045369A">
            <w:pPr>
              <w:pStyle w:val="NormalWeb"/>
              <w:adjustRightInd w:val="0"/>
              <w:snapToGrid w:val="0"/>
              <w:spacing w:after="0"/>
              <w:jc w:val="both"/>
              <w:textAlignment w:val="baseline"/>
              <w:rPr>
                <w:rFonts w:ascii="Times New Roman" w:hAnsi="Times New Roman" w:cs="Times New Roman"/>
                <w:b/>
                <w:bCs/>
              </w:rPr>
            </w:pPr>
            <w:r w:rsidRPr="00481D4C">
              <w:rPr>
                <w:rFonts w:ascii="Times New Roman" w:hAnsi="Times New Roman" w:cs="Times New Roman" w:hint="eastAsia"/>
                <w:b/>
                <w:bCs/>
              </w:rPr>
              <w:t>股份期权计划／股份奖励计划</w:t>
            </w:r>
          </w:p>
        </w:tc>
      </w:tr>
      <w:tr w:rsidR="00D26D98" w:rsidRPr="00481D4C" w:rsidTr="0045369A">
        <w:tc>
          <w:tcPr>
            <w:tcW w:w="1668" w:type="dxa"/>
            <w:vMerge/>
          </w:tcPr>
          <w:p w:rsidR="00D26D98" w:rsidRPr="00481D4C" w:rsidRDefault="00D26D98" w:rsidP="0045369A">
            <w:pPr>
              <w:pStyle w:val="NormalWeb"/>
              <w:spacing w:before="0" w:beforeAutospacing="0" w:after="0" w:afterAutospacing="0" w:line="200" w:lineRule="atLeast"/>
              <w:jc w:val="both"/>
              <w:textAlignment w:val="baseline"/>
              <w:rPr>
                <w:rFonts w:ascii="Times New Roman" w:hAnsi="Times New Roman" w:cs="Times New Roman"/>
              </w:rPr>
            </w:pPr>
          </w:p>
        </w:tc>
        <w:tc>
          <w:tcPr>
            <w:tcW w:w="1134" w:type="dxa"/>
            <w:vMerge/>
          </w:tcPr>
          <w:p w:rsidR="00D26D98" w:rsidRPr="00481D4C" w:rsidRDefault="00D26D98" w:rsidP="0045369A">
            <w:pPr>
              <w:pStyle w:val="NormalWeb"/>
              <w:spacing w:before="0" w:beforeAutospacing="0" w:after="0" w:afterAutospacing="0" w:line="200" w:lineRule="atLeast"/>
              <w:jc w:val="both"/>
              <w:textAlignment w:val="baseline"/>
              <w:rPr>
                <w:rFonts w:ascii="Times New Roman" w:hAnsi="Times New Roman" w:cs="Times New Roman"/>
              </w:rPr>
            </w:pPr>
          </w:p>
        </w:tc>
        <w:tc>
          <w:tcPr>
            <w:tcW w:w="992" w:type="dxa"/>
            <w:vAlign w:val="center"/>
          </w:tcPr>
          <w:p w:rsidR="00D26D98" w:rsidRPr="00481D4C" w:rsidRDefault="00D26D98" w:rsidP="0045369A">
            <w:pPr>
              <w:pStyle w:val="NormalWeb"/>
              <w:spacing w:after="0" w:line="200" w:lineRule="atLeast"/>
              <w:jc w:val="both"/>
              <w:textAlignment w:val="baseline"/>
              <w:rPr>
                <w:rFonts w:ascii="Times New Roman" w:hAnsi="Times New Roman" w:cs="Times New Roman"/>
                <w:b/>
              </w:rPr>
            </w:pPr>
            <w:r w:rsidRPr="00481D4C">
              <w:rPr>
                <w:rFonts w:ascii="Times New Roman" w:hAnsi="Times New Roman" w:cs="Times New Roman" w:hint="eastAsia"/>
                <w:b/>
              </w:rPr>
              <w:t>使用预先授权</w:t>
            </w:r>
          </w:p>
        </w:tc>
        <w:tc>
          <w:tcPr>
            <w:tcW w:w="992" w:type="dxa"/>
            <w:vAlign w:val="center"/>
          </w:tcPr>
          <w:p w:rsidR="00D26D98" w:rsidRPr="00481D4C" w:rsidRDefault="00D26D98" w:rsidP="0045369A">
            <w:pPr>
              <w:pStyle w:val="NormalWeb"/>
              <w:spacing w:after="0" w:line="200" w:lineRule="atLeast"/>
              <w:jc w:val="both"/>
              <w:textAlignment w:val="baseline"/>
              <w:rPr>
                <w:rFonts w:ascii="Times New Roman" w:hAnsi="Times New Roman" w:cs="Times New Roman"/>
                <w:b/>
                <w:bCs/>
              </w:rPr>
            </w:pPr>
            <w:r w:rsidRPr="00481D4C">
              <w:rPr>
                <w:rFonts w:ascii="Times New Roman" w:hAnsi="Times New Roman" w:cs="Times New Roman" w:hint="eastAsia"/>
                <w:b/>
                <w:bCs/>
              </w:rPr>
              <w:t>使用一般授权</w:t>
            </w:r>
          </w:p>
        </w:tc>
        <w:tc>
          <w:tcPr>
            <w:tcW w:w="992" w:type="dxa"/>
            <w:gridSpan w:val="2"/>
            <w:vMerge/>
          </w:tcPr>
          <w:p w:rsidR="00D26D98" w:rsidRPr="00481D4C" w:rsidRDefault="00D26D98" w:rsidP="0045369A">
            <w:pPr>
              <w:pStyle w:val="NormalWeb"/>
              <w:adjustRightInd w:val="0"/>
              <w:snapToGrid w:val="0"/>
              <w:spacing w:before="0" w:beforeAutospacing="0" w:after="0" w:afterAutospacing="0"/>
              <w:jc w:val="both"/>
              <w:textAlignment w:val="baseline"/>
              <w:rPr>
                <w:rFonts w:ascii="Times New Roman" w:hAnsi="Times New Roman" w:cs="Times New Roman"/>
              </w:rPr>
            </w:pPr>
          </w:p>
        </w:tc>
        <w:tc>
          <w:tcPr>
            <w:tcW w:w="1701" w:type="dxa"/>
            <w:vMerge/>
          </w:tcPr>
          <w:p w:rsidR="00D26D98" w:rsidRPr="00481D4C" w:rsidRDefault="00D26D98" w:rsidP="0045369A">
            <w:pPr>
              <w:pStyle w:val="NormalWeb"/>
              <w:adjustRightInd w:val="0"/>
              <w:snapToGrid w:val="0"/>
              <w:spacing w:before="0" w:beforeAutospacing="0" w:after="0" w:afterAutospacing="0"/>
              <w:jc w:val="both"/>
              <w:textAlignment w:val="baseline"/>
              <w:rPr>
                <w:rFonts w:ascii="Times New Roman" w:hAnsi="Times New Roman" w:cs="Times New Roman"/>
              </w:rPr>
            </w:pPr>
          </w:p>
        </w:tc>
        <w:tc>
          <w:tcPr>
            <w:tcW w:w="2097" w:type="dxa"/>
            <w:vMerge/>
          </w:tcPr>
          <w:p w:rsidR="00D26D98" w:rsidRPr="00481D4C" w:rsidRDefault="00D26D98" w:rsidP="0045369A">
            <w:pPr>
              <w:pStyle w:val="NormalWeb"/>
              <w:adjustRightInd w:val="0"/>
              <w:snapToGrid w:val="0"/>
              <w:spacing w:before="0" w:beforeAutospacing="0" w:after="0" w:afterAutospacing="0"/>
              <w:jc w:val="both"/>
              <w:textAlignment w:val="baseline"/>
              <w:rPr>
                <w:rFonts w:ascii="Times New Roman" w:hAnsi="Times New Roman" w:cs="Times New Roman"/>
                <w:b/>
                <w:bCs/>
              </w:rPr>
            </w:pPr>
          </w:p>
        </w:tc>
      </w:tr>
      <w:tr w:rsidR="00D26D98" w:rsidRPr="00481D4C" w:rsidTr="0045369A">
        <w:tc>
          <w:tcPr>
            <w:tcW w:w="1668" w:type="dxa"/>
          </w:tcPr>
          <w:p w:rsidR="00D26D98" w:rsidRPr="00481D4C" w:rsidRDefault="00D26D98" w:rsidP="0045369A">
            <w:pPr>
              <w:pStyle w:val="NormalWeb"/>
              <w:spacing w:before="0" w:beforeAutospacing="0" w:after="0" w:afterAutospacing="0" w:line="200" w:lineRule="atLeast"/>
              <w:jc w:val="both"/>
              <w:textAlignment w:val="baseline"/>
              <w:rPr>
                <w:rFonts w:ascii="Times New Roman" w:hAnsi="Times New Roman" w:cs="Times New Roman"/>
              </w:rPr>
            </w:pPr>
            <w:r w:rsidRPr="00481D4C">
              <w:rPr>
                <w:rFonts w:ascii="Times New Roman" w:hAnsi="Times New Roman" w:cs="Times New Roman" w:hint="eastAsia"/>
              </w:rPr>
              <w:t>披露于：</w:t>
            </w:r>
          </w:p>
          <w:p w:rsidR="00D26D98" w:rsidRPr="00481D4C" w:rsidRDefault="00D26D98" w:rsidP="00D26D98">
            <w:pPr>
              <w:pStyle w:val="NormalWeb"/>
              <w:numPr>
                <w:ilvl w:val="0"/>
                <w:numId w:val="10"/>
              </w:numPr>
              <w:spacing w:before="0" w:beforeAutospacing="0" w:after="0" w:afterAutospacing="0" w:line="200" w:lineRule="atLeast"/>
              <w:jc w:val="both"/>
              <w:textAlignment w:val="baseline"/>
              <w:rPr>
                <w:rFonts w:ascii="Times New Roman" w:hAnsi="Times New Roman" w:cs="Times New Roman"/>
              </w:rPr>
            </w:pPr>
            <w:r w:rsidRPr="00481D4C">
              <w:rPr>
                <w:rFonts w:ascii="Times New Roman" w:hAnsi="Times New Roman" w:cs="Times New Roman" w:hint="eastAsia"/>
              </w:rPr>
              <w:t>公告</w:t>
            </w:r>
          </w:p>
          <w:p w:rsidR="00D26D98" w:rsidRPr="00481D4C" w:rsidRDefault="00D26D98" w:rsidP="00D26D98">
            <w:pPr>
              <w:pStyle w:val="NormalWeb"/>
              <w:numPr>
                <w:ilvl w:val="0"/>
                <w:numId w:val="10"/>
              </w:numPr>
              <w:spacing w:before="0" w:beforeAutospacing="0" w:after="0" w:afterAutospacing="0" w:line="200" w:lineRule="atLeast"/>
              <w:jc w:val="both"/>
              <w:textAlignment w:val="baseline"/>
              <w:rPr>
                <w:rFonts w:ascii="Times New Roman" w:hAnsi="Times New Roman" w:cs="Times New Roman"/>
              </w:rPr>
            </w:pPr>
            <w:r w:rsidRPr="00481D4C">
              <w:rPr>
                <w:rFonts w:ascii="Times New Roman" w:hAnsi="Times New Roman" w:cs="Times New Roman" w:hint="eastAsia"/>
              </w:rPr>
              <w:t>中期报告</w:t>
            </w:r>
          </w:p>
          <w:p w:rsidR="00D26D98" w:rsidRPr="00481D4C" w:rsidRDefault="00D26D98" w:rsidP="00D26D98">
            <w:pPr>
              <w:pStyle w:val="NormalWeb"/>
              <w:numPr>
                <w:ilvl w:val="0"/>
                <w:numId w:val="10"/>
              </w:numPr>
              <w:spacing w:before="0" w:beforeAutospacing="0" w:after="0" w:afterAutospacing="0" w:line="200" w:lineRule="atLeast"/>
              <w:jc w:val="both"/>
              <w:textAlignment w:val="baseline"/>
              <w:rPr>
                <w:rFonts w:ascii="Times New Roman" w:hAnsi="Times New Roman" w:cs="Times New Roman"/>
              </w:rPr>
            </w:pPr>
            <w:r w:rsidRPr="00481D4C">
              <w:rPr>
                <w:rFonts w:ascii="Times New Roman" w:hAnsi="Times New Roman" w:cs="Times New Roman" w:hint="eastAsia"/>
              </w:rPr>
              <w:t>年报</w:t>
            </w:r>
          </w:p>
        </w:tc>
        <w:tc>
          <w:tcPr>
            <w:tcW w:w="5811" w:type="dxa"/>
            <w:gridSpan w:val="6"/>
          </w:tcPr>
          <w:p w:rsidR="00D26D98" w:rsidRPr="00481D4C" w:rsidRDefault="00D26D98" w:rsidP="0045369A">
            <w:pPr>
              <w:pStyle w:val="NormalWeb"/>
              <w:spacing w:before="0" w:beforeAutospacing="0" w:after="0" w:afterAutospacing="0" w:line="200" w:lineRule="atLeast"/>
              <w:jc w:val="both"/>
              <w:textAlignment w:val="baseline"/>
              <w:rPr>
                <w:rFonts w:ascii="Times New Roman" w:hAnsi="Times New Roman" w:cs="Times New Roman"/>
              </w:rPr>
            </w:pPr>
            <w:r w:rsidRPr="00481D4C">
              <w:rPr>
                <w:rFonts w:ascii="Times New Roman" w:hAnsi="Times New Roman" w:cs="Times New Roman" w:hint="eastAsia"/>
              </w:rPr>
              <w:t>自</w:t>
            </w:r>
            <w:r w:rsidRPr="00481D4C">
              <w:rPr>
                <w:rFonts w:ascii="Times New Roman" w:hAnsi="Times New Roman" w:cs="Times New Roman"/>
              </w:rPr>
              <w:t>2023</w:t>
            </w:r>
            <w:r w:rsidRPr="00481D4C">
              <w:rPr>
                <w:rFonts w:ascii="Times New Roman" w:hAnsi="Times New Roman" w:cs="Times New Roman" w:hint="eastAsia"/>
              </w:rPr>
              <w:t>年</w:t>
            </w:r>
            <w:r w:rsidRPr="00481D4C">
              <w:rPr>
                <w:rFonts w:ascii="Times New Roman" w:hAnsi="Times New Roman" w:cs="Times New Roman"/>
              </w:rPr>
              <w:t>1</w:t>
            </w:r>
            <w:r w:rsidRPr="00481D4C">
              <w:rPr>
                <w:rFonts w:ascii="Times New Roman" w:hAnsi="Times New Roman" w:cs="Times New Roman" w:hint="eastAsia"/>
              </w:rPr>
              <w:t>月</w:t>
            </w:r>
            <w:r w:rsidRPr="00481D4C">
              <w:rPr>
                <w:rFonts w:ascii="Times New Roman" w:hAnsi="Times New Roman" w:cs="Times New Roman"/>
              </w:rPr>
              <w:t>1</w:t>
            </w:r>
            <w:r w:rsidRPr="00481D4C">
              <w:rPr>
                <w:rFonts w:ascii="Times New Roman" w:hAnsi="Times New Roman" w:cs="Times New Roman" w:hint="eastAsia"/>
              </w:rPr>
              <w:t>日起</w:t>
            </w:r>
          </w:p>
        </w:tc>
        <w:tc>
          <w:tcPr>
            <w:tcW w:w="2097" w:type="dxa"/>
            <w:vMerge w:val="restart"/>
          </w:tcPr>
          <w:p w:rsidR="00D26D98" w:rsidRPr="00481D4C" w:rsidRDefault="00D26D98" w:rsidP="0045369A">
            <w:pPr>
              <w:pStyle w:val="NormalWeb"/>
              <w:adjustRightInd w:val="0"/>
              <w:snapToGrid w:val="0"/>
              <w:spacing w:after="0"/>
              <w:jc w:val="both"/>
              <w:textAlignment w:val="baseline"/>
              <w:rPr>
                <w:rFonts w:ascii="Times New Roman" w:hAnsi="Times New Roman" w:cs="Times New Roman"/>
                <w:bCs/>
                <w:u w:val="single"/>
              </w:rPr>
            </w:pPr>
            <w:r w:rsidRPr="00481D4C">
              <w:rPr>
                <w:rFonts w:ascii="Times New Roman" w:hAnsi="Times New Roman" w:cs="Times New Roman" w:hint="eastAsia"/>
                <w:bCs/>
                <w:u w:val="single"/>
              </w:rPr>
              <w:t>已遵守现行第</w:t>
            </w:r>
            <w:r w:rsidRPr="00481D4C">
              <w:rPr>
                <w:rFonts w:ascii="Times New Roman" w:hAnsi="Times New Roman" w:cs="Times New Roman"/>
                <w:bCs/>
                <w:u w:val="single"/>
              </w:rPr>
              <w:t>17</w:t>
            </w:r>
            <w:r w:rsidRPr="00481D4C">
              <w:rPr>
                <w:rFonts w:ascii="Times New Roman" w:hAnsi="Times New Roman" w:cs="Times New Roman" w:hint="eastAsia"/>
                <w:bCs/>
                <w:u w:val="single"/>
              </w:rPr>
              <w:t>章规定的股份期权计划：</w:t>
            </w:r>
          </w:p>
          <w:p w:rsidR="00D26D98" w:rsidRPr="00481D4C" w:rsidRDefault="00D26D98" w:rsidP="0045369A">
            <w:pPr>
              <w:pStyle w:val="NormalWeb"/>
              <w:adjustRightInd w:val="0"/>
              <w:snapToGrid w:val="0"/>
              <w:spacing w:after="0"/>
              <w:jc w:val="both"/>
              <w:textAlignment w:val="baseline"/>
              <w:rPr>
                <w:rFonts w:ascii="Times New Roman" w:hAnsi="Times New Roman" w:cs="Times New Roman"/>
                <w:bCs/>
              </w:rPr>
            </w:pPr>
            <w:r w:rsidRPr="00481D4C">
              <w:rPr>
                <w:rFonts w:ascii="Times New Roman" w:hAnsi="Times New Roman" w:cs="Times New Roman" w:hint="eastAsia"/>
                <w:bCs/>
              </w:rPr>
              <w:t>附属公司可继续根据计划授权授出股份期权</w:t>
            </w:r>
          </w:p>
          <w:p w:rsidR="00D26D98" w:rsidRPr="00481D4C" w:rsidRDefault="00D26D98" w:rsidP="0045369A">
            <w:pPr>
              <w:pStyle w:val="NormalWeb"/>
              <w:adjustRightInd w:val="0"/>
              <w:snapToGrid w:val="0"/>
              <w:spacing w:before="0" w:beforeAutospacing="0" w:after="0" w:afterAutospacing="0"/>
              <w:jc w:val="both"/>
              <w:textAlignment w:val="baseline"/>
              <w:rPr>
                <w:rFonts w:ascii="Times New Roman" w:hAnsi="Times New Roman" w:cs="Times New Roman"/>
                <w:bCs/>
              </w:rPr>
            </w:pPr>
          </w:p>
          <w:p w:rsidR="00D26D98" w:rsidRPr="00481D4C" w:rsidRDefault="00D26D98" w:rsidP="0045369A">
            <w:pPr>
              <w:pStyle w:val="NormalWeb"/>
              <w:adjustRightInd w:val="0"/>
              <w:snapToGrid w:val="0"/>
              <w:spacing w:before="0" w:beforeAutospacing="0" w:after="0" w:afterAutospacing="0"/>
              <w:jc w:val="both"/>
              <w:textAlignment w:val="baseline"/>
              <w:rPr>
                <w:rFonts w:ascii="Times New Roman" w:hAnsi="Times New Roman" w:cs="Times New Roman"/>
                <w:bCs/>
                <w:u w:val="single"/>
              </w:rPr>
            </w:pPr>
            <w:r w:rsidRPr="00481D4C">
              <w:rPr>
                <w:rFonts w:ascii="Times New Roman" w:hAnsi="Times New Roman" w:cs="Times New Roman" w:hint="eastAsia"/>
                <w:bCs/>
                <w:u w:val="single"/>
              </w:rPr>
              <w:t>其他现有或新股份计划：</w:t>
            </w:r>
          </w:p>
          <w:p w:rsidR="00D26D98" w:rsidRPr="00481D4C" w:rsidRDefault="00D26D98" w:rsidP="0045369A">
            <w:pPr>
              <w:pStyle w:val="NormalWeb"/>
              <w:adjustRightInd w:val="0"/>
              <w:snapToGrid w:val="0"/>
              <w:spacing w:after="0"/>
              <w:jc w:val="both"/>
              <w:textAlignment w:val="baseline"/>
              <w:rPr>
                <w:rFonts w:ascii="Times New Roman" w:hAnsi="Times New Roman" w:cs="Times New Roman"/>
                <w:bCs/>
              </w:rPr>
            </w:pPr>
            <w:r w:rsidRPr="00481D4C">
              <w:rPr>
                <w:rFonts w:ascii="Times New Roman" w:hAnsi="Times New Roman" w:cs="Times New Roman" w:hint="eastAsia"/>
                <w:bCs/>
              </w:rPr>
              <w:t>授予股份奖励或期权须遵守第十四章（基于用作未来授予股份的计划授权规模）及／或第十四</w:t>
            </w:r>
            <w:r w:rsidRPr="00481D4C">
              <w:rPr>
                <w:rFonts w:ascii="Times New Roman" w:hAnsi="Times New Roman" w:cs="Times New Roman"/>
                <w:bCs/>
              </w:rPr>
              <w:t xml:space="preserve"> A </w:t>
            </w:r>
            <w:r w:rsidRPr="00481D4C">
              <w:rPr>
                <w:rFonts w:ascii="Times New Roman" w:hAnsi="Times New Roman" w:cs="Times New Roman" w:hint="eastAsia"/>
                <w:bCs/>
              </w:rPr>
              <w:t>章的规定</w:t>
            </w:r>
          </w:p>
        </w:tc>
      </w:tr>
      <w:tr w:rsidR="00D26D98" w:rsidRPr="00481D4C" w:rsidTr="0045369A">
        <w:tc>
          <w:tcPr>
            <w:tcW w:w="1668" w:type="dxa"/>
          </w:tcPr>
          <w:p w:rsidR="00D26D98" w:rsidRPr="00481D4C" w:rsidRDefault="00D26D98" w:rsidP="0045369A">
            <w:pPr>
              <w:pStyle w:val="NormalWeb"/>
              <w:spacing w:after="0" w:line="200" w:lineRule="atLeast"/>
              <w:jc w:val="both"/>
              <w:textAlignment w:val="baseline"/>
              <w:rPr>
                <w:rFonts w:ascii="Times New Roman" w:hAnsi="Times New Roman" w:cs="Times New Roman"/>
              </w:rPr>
            </w:pPr>
            <w:r w:rsidRPr="00481D4C">
              <w:rPr>
                <w:rFonts w:ascii="Times New Roman" w:hAnsi="Times New Roman" w:cs="Times New Roman" w:hint="eastAsia"/>
              </w:rPr>
              <w:t>向合资格参与者（经修订定义）授予股份</w:t>
            </w:r>
          </w:p>
        </w:tc>
        <w:tc>
          <w:tcPr>
            <w:tcW w:w="5811" w:type="dxa"/>
            <w:gridSpan w:val="6"/>
          </w:tcPr>
          <w:p w:rsidR="00D26D98" w:rsidRPr="00481D4C" w:rsidRDefault="00D26D98" w:rsidP="0045369A">
            <w:pPr>
              <w:pStyle w:val="NormalWeb"/>
              <w:spacing w:before="0" w:beforeAutospacing="0" w:after="0" w:afterAutospacing="0" w:line="200" w:lineRule="atLeast"/>
              <w:jc w:val="both"/>
              <w:textAlignment w:val="baseline"/>
              <w:rPr>
                <w:rFonts w:ascii="Times New Roman" w:hAnsi="Times New Roman" w:cs="Times New Roman"/>
              </w:rPr>
            </w:pPr>
            <w:r w:rsidRPr="00481D4C">
              <w:rPr>
                <w:rFonts w:ascii="Times New Roman" w:hAnsi="Times New Roman" w:cs="Times New Roman" w:hint="eastAsia"/>
              </w:rPr>
              <w:t>合资格参与者的新定义适用于</w:t>
            </w:r>
            <w:r w:rsidRPr="00481D4C">
              <w:rPr>
                <w:rFonts w:ascii="Times New Roman" w:hAnsi="Times New Roman" w:cs="Times New Roman"/>
              </w:rPr>
              <w:t xml:space="preserve"> 2023 </w:t>
            </w:r>
            <w:r w:rsidRPr="00481D4C">
              <w:rPr>
                <w:rFonts w:ascii="Times New Roman" w:hAnsi="Times New Roman" w:cs="Times New Roman" w:hint="eastAsia"/>
              </w:rPr>
              <w:t>年</w:t>
            </w:r>
            <w:r w:rsidRPr="00481D4C">
              <w:rPr>
                <w:rFonts w:ascii="Times New Roman" w:hAnsi="Times New Roman" w:cs="Times New Roman"/>
              </w:rPr>
              <w:t xml:space="preserve"> 1 </w:t>
            </w:r>
            <w:r w:rsidRPr="00481D4C">
              <w:rPr>
                <w:rFonts w:ascii="Times New Roman" w:hAnsi="Times New Roman" w:cs="Times New Roman" w:hint="eastAsia"/>
              </w:rPr>
              <w:t>月</w:t>
            </w:r>
            <w:r w:rsidRPr="00481D4C">
              <w:rPr>
                <w:rFonts w:ascii="Times New Roman" w:hAnsi="Times New Roman" w:cs="Times New Roman"/>
              </w:rPr>
              <w:t xml:space="preserve"> 1 </w:t>
            </w:r>
            <w:r w:rsidRPr="00481D4C">
              <w:rPr>
                <w:rFonts w:ascii="Times New Roman" w:hAnsi="Times New Roman" w:cs="Times New Roman" w:hint="eastAsia"/>
              </w:rPr>
              <w:t>日或之后开始的财政年度</w:t>
            </w:r>
          </w:p>
        </w:tc>
        <w:tc>
          <w:tcPr>
            <w:tcW w:w="2097" w:type="dxa"/>
            <w:vMerge/>
          </w:tcPr>
          <w:p w:rsidR="00D26D98" w:rsidRPr="00481D4C" w:rsidRDefault="00D26D98" w:rsidP="0045369A">
            <w:pPr>
              <w:pStyle w:val="NormalWeb"/>
              <w:adjustRightInd w:val="0"/>
              <w:snapToGrid w:val="0"/>
              <w:spacing w:before="0" w:beforeAutospacing="0" w:after="0" w:afterAutospacing="0"/>
              <w:jc w:val="both"/>
              <w:textAlignment w:val="baseline"/>
              <w:rPr>
                <w:rFonts w:ascii="Times New Roman" w:hAnsi="Times New Roman" w:cs="Times New Roman"/>
              </w:rPr>
            </w:pPr>
          </w:p>
        </w:tc>
      </w:tr>
      <w:tr w:rsidR="00D26D98" w:rsidRPr="00481D4C" w:rsidTr="0045369A">
        <w:tc>
          <w:tcPr>
            <w:tcW w:w="1668" w:type="dxa"/>
          </w:tcPr>
          <w:p w:rsidR="00D26D98" w:rsidRPr="00481D4C" w:rsidRDefault="00D26D98" w:rsidP="0045369A">
            <w:pPr>
              <w:pStyle w:val="NormalWeb"/>
              <w:spacing w:before="0" w:beforeAutospacing="0" w:after="0" w:afterAutospacing="0" w:line="200" w:lineRule="atLeast"/>
              <w:jc w:val="both"/>
              <w:textAlignment w:val="baseline"/>
              <w:rPr>
                <w:rFonts w:ascii="Times New Roman" w:hAnsi="Times New Roman" w:cs="Times New Roman"/>
              </w:rPr>
            </w:pPr>
            <w:r w:rsidRPr="00481D4C">
              <w:rPr>
                <w:rFonts w:ascii="Times New Roman" w:hAnsi="Times New Roman" w:cs="Times New Roman" w:hint="eastAsia"/>
              </w:rPr>
              <w:t>计划授权</w:t>
            </w:r>
          </w:p>
        </w:tc>
        <w:tc>
          <w:tcPr>
            <w:tcW w:w="1134" w:type="dxa"/>
            <w:vAlign w:val="center"/>
          </w:tcPr>
          <w:p w:rsidR="00D26D98" w:rsidRPr="00481D4C" w:rsidRDefault="00D26D98" w:rsidP="0045369A">
            <w:pPr>
              <w:pStyle w:val="NormalWeb"/>
              <w:spacing w:after="0" w:line="200" w:lineRule="atLeast"/>
              <w:jc w:val="both"/>
              <w:textAlignment w:val="baseline"/>
              <w:rPr>
                <w:rFonts w:ascii="Times New Roman" w:hAnsi="Times New Roman" w:cs="Times New Roman"/>
              </w:rPr>
            </w:pPr>
            <w:r w:rsidRPr="00481D4C">
              <w:rPr>
                <w:rFonts w:ascii="Times New Roman" w:hAnsi="Times New Roman" w:cs="Times New Roman" w:hint="eastAsia"/>
              </w:rPr>
              <w:t>上市公司可继续使用现有的计划授权授予股份</w:t>
            </w:r>
          </w:p>
        </w:tc>
        <w:tc>
          <w:tcPr>
            <w:tcW w:w="1984" w:type="dxa"/>
            <w:gridSpan w:val="2"/>
            <w:vAlign w:val="center"/>
          </w:tcPr>
          <w:p w:rsidR="00D26D98" w:rsidRPr="00481D4C" w:rsidRDefault="00D26D98" w:rsidP="0045369A">
            <w:pPr>
              <w:pStyle w:val="NormalWeb"/>
              <w:spacing w:after="0" w:line="200" w:lineRule="atLeast"/>
              <w:jc w:val="both"/>
              <w:textAlignment w:val="baseline"/>
              <w:rPr>
                <w:rFonts w:ascii="Times New Roman" w:hAnsi="Times New Roman" w:cs="Times New Roman"/>
              </w:rPr>
            </w:pPr>
            <w:r w:rsidRPr="00481D4C">
              <w:rPr>
                <w:rFonts w:ascii="Times New Roman" w:hAnsi="Times New Roman" w:cs="Times New Roman" w:hint="eastAsia"/>
              </w:rPr>
              <w:t>上市公司可根据一般授权授予股份，直至</w:t>
            </w:r>
            <w:r w:rsidRPr="00481D4C">
              <w:rPr>
                <w:rFonts w:ascii="Times New Roman" w:hAnsi="Times New Roman" w:cs="Times New Roman"/>
              </w:rPr>
              <w:t xml:space="preserve"> 2023 </w:t>
            </w:r>
            <w:r w:rsidRPr="00481D4C">
              <w:rPr>
                <w:rFonts w:ascii="Times New Roman" w:hAnsi="Times New Roman" w:cs="Times New Roman" w:hint="eastAsia"/>
              </w:rPr>
              <w:t>年</w:t>
            </w:r>
            <w:r w:rsidRPr="00481D4C">
              <w:rPr>
                <w:rFonts w:ascii="Times New Roman" w:hAnsi="Times New Roman" w:cs="Times New Roman"/>
              </w:rPr>
              <w:t xml:space="preserve">1 </w:t>
            </w:r>
            <w:r w:rsidRPr="00481D4C">
              <w:rPr>
                <w:rFonts w:ascii="Times New Roman" w:hAnsi="Times New Roman" w:cs="Times New Roman" w:hint="eastAsia"/>
              </w:rPr>
              <w:t>月</w:t>
            </w:r>
            <w:r w:rsidRPr="00481D4C">
              <w:rPr>
                <w:rFonts w:ascii="Times New Roman" w:hAnsi="Times New Roman" w:cs="Times New Roman"/>
              </w:rPr>
              <w:t xml:space="preserve"> 1 </w:t>
            </w:r>
            <w:r w:rsidRPr="00481D4C">
              <w:rPr>
                <w:rFonts w:ascii="Times New Roman" w:hAnsi="Times New Roman" w:cs="Times New Roman" w:hint="eastAsia"/>
              </w:rPr>
              <w:t>日后的</w:t>
            </w:r>
            <w:r w:rsidRPr="00481D4C">
              <w:rPr>
                <w:rFonts w:ascii="Times New Roman" w:hAnsi="Times New Roman" w:cs="Times New Roman" w:hint="eastAsia"/>
                <w:u w:val="single"/>
              </w:rPr>
              <w:t>第二次</w:t>
            </w:r>
            <w:r w:rsidRPr="00481D4C">
              <w:rPr>
                <w:rFonts w:ascii="Times New Roman" w:hAnsi="Times New Roman" w:cs="Times New Roman" w:hint="eastAsia"/>
              </w:rPr>
              <w:t>股东周年大会为止</w:t>
            </w:r>
          </w:p>
        </w:tc>
        <w:tc>
          <w:tcPr>
            <w:tcW w:w="851" w:type="dxa"/>
            <w:vAlign w:val="center"/>
          </w:tcPr>
          <w:p w:rsidR="00D26D98" w:rsidRPr="00481D4C" w:rsidRDefault="00D26D98" w:rsidP="0045369A">
            <w:pPr>
              <w:pStyle w:val="NormalWeb"/>
              <w:spacing w:after="0" w:line="200" w:lineRule="atLeast"/>
              <w:jc w:val="both"/>
              <w:textAlignment w:val="baseline"/>
              <w:rPr>
                <w:rFonts w:ascii="Times New Roman" w:hAnsi="Times New Roman" w:cs="Times New Roman"/>
              </w:rPr>
            </w:pPr>
            <w:r w:rsidRPr="00481D4C">
              <w:rPr>
                <w:rFonts w:ascii="Times New Roman" w:hAnsi="Times New Roman" w:cs="Times New Roman" w:hint="eastAsia"/>
              </w:rPr>
              <w:t>与上市公司相同</w:t>
            </w:r>
          </w:p>
        </w:tc>
        <w:tc>
          <w:tcPr>
            <w:tcW w:w="1842" w:type="dxa"/>
            <w:gridSpan w:val="2"/>
            <w:vAlign w:val="center"/>
          </w:tcPr>
          <w:p w:rsidR="00D26D98" w:rsidRPr="00481D4C" w:rsidRDefault="00D26D98" w:rsidP="0045369A">
            <w:pPr>
              <w:pStyle w:val="NormalWeb"/>
              <w:spacing w:after="0" w:line="200" w:lineRule="atLeast"/>
              <w:jc w:val="both"/>
              <w:textAlignment w:val="baseline"/>
              <w:rPr>
                <w:rFonts w:ascii="Times New Roman" w:hAnsi="Times New Roman" w:cs="Times New Roman"/>
              </w:rPr>
            </w:pPr>
            <w:r w:rsidRPr="00481D4C">
              <w:rPr>
                <w:rFonts w:ascii="Times New Roman" w:hAnsi="Times New Roman" w:cs="Times New Roman" w:hint="eastAsia"/>
              </w:rPr>
              <w:t>上市公司于授予股份前须遵守第</w:t>
            </w:r>
            <w:r w:rsidRPr="00481D4C">
              <w:rPr>
                <w:rFonts w:ascii="Times New Roman" w:hAnsi="Times New Roman" w:cs="Times New Roman"/>
              </w:rPr>
              <w:t>14</w:t>
            </w:r>
            <w:r w:rsidRPr="00481D4C">
              <w:rPr>
                <w:rFonts w:ascii="Times New Roman" w:hAnsi="Times New Roman" w:cs="Times New Roman" w:hint="eastAsia"/>
              </w:rPr>
              <w:t>及／或第</w:t>
            </w:r>
            <w:r w:rsidRPr="00481D4C">
              <w:rPr>
                <w:rFonts w:ascii="Times New Roman" w:hAnsi="Times New Roman" w:cs="Times New Roman"/>
              </w:rPr>
              <w:t xml:space="preserve">14A </w:t>
            </w:r>
            <w:r w:rsidRPr="00481D4C">
              <w:rPr>
                <w:rFonts w:ascii="Times New Roman" w:hAnsi="Times New Roman" w:cs="Times New Roman" w:hint="eastAsia"/>
              </w:rPr>
              <w:t>章的规定</w:t>
            </w:r>
          </w:p>
        </w:tc>
        <w:tc>
          <w:tcPr>
            <w:tcW w:w="2097" w:type="dxa"/>
            <w:vMerge/>
          </w:tcPr>
          <w:p w:rsidR="00D26D98" w:rsidRPr="00481D4C" w:rsidRDefault="00D26D98" w:rsidP="0045369A">
            <w:pPr>
              <w:pStyle w:val="NormalWeb"/>
              <w:adjustRightInd w:val="0"/>
              <w:snapToGrid w:val="0"/>
              <w:spacing w:before="0" w:beforeAutospacing="0" w:after="0" w:afterAutospacing="0"/>
              <w:jc w:val="both"/>
              <w:textAlignment w:val="baseline"/>
              <w:rPr>
                <w:rFonts w:ascii="Times New Roman" w:hAnsi="Times New Roman" w:cs="Times New Roman"/>
              </w:rPr>
            </w:pPr>
          </w:p>
        </w:tc>
      </w:tr>
      <w:tr w:rsidR="00D26D98" w:rsidRPr="00481D4C" w:rsidTr="0045369A">
        <w:tc>
          <w:tcPr>
            <w:tcW w:w="1668" w:type="dxa"/>
            <w:vAlign w:val="center"/>
          </w:tcPr>
          <w:p w:rsidR="00D26D98" w:rsidRPr="00481D4C" w:rsidRDefault="00D26D98" w:rsidP="0045369A">
            <w:pPr>
              <w:pStyle w:val="NormalWeb"/>
              <w:spacing w:after="0" w:line="200" w:lineRule="atLeast"/>
              <w:jc w:val="both"/>
              <w:textAlignment w:val="baseline"/>
              <w:rPr>
                <w:rFonts w:ascii="Times New Roman" w:hAnsi="Times New Roman" w:cs="Times New Roman"/>
              </w:rPr>
            </w:pPr>
            <w:r w:rsidRPr="00481D4C">
              <w:rPr>
                <w:rFonts w:ascii="Times New Roman" w:hAnsi="Times New Roman" w:cs="Times New Roman" w:hint="eastAsia"/>
              </w:rPr>
              <w:t>修订计划条款以遵守经修订第十七章的规定</w:t>
            </w:r>
          </w:p>
        </w:tc>
        <w:tc>
          <w:tcPr>
            <w:tcW w:w="5811" w:type="dxa"/>
            <w:gridSpan w:val="6"/>
            <w:vAlign w:val="center"/>
          </w:tcPr>
          <w:p w:rsidR="00D26D98" w:rsidRPr="00481D4C" w:rsidRDefault="00D26D98" w:rsidP="0045369A">
            <w:pPr>
              <w:pStyle w:val="NormalWeb"/>
              <w:spacing w:before="0" w:beforeAutospacing="0" w:after="0" w:afterAutospacing="0" w:line="200" w:lineRule="atLeast"/>
              <w:jc w:val="both"/>
              <w:textAlignment w:val="baseline"/>
              <w:rPr>
                <w:rFonts w:ascii="Times New Roman" w:hAnsi="Times New Roman" w:cs="Times New Roman"/>
              </w:rPr>
            </w:pPr>
            <w:r w:rsidRPr="00481D4C">
              <w:rPr>
                <w:rFonts w:ascii="Times New Roman" w:hAnsi="Times New Roman" w:cs="Times New Roman" w:hint="eastAsia"/>
              </w:rPr>
              <w:t>于上述计划授权限额更新／计划授权届满或采纳新股份计划当日或之前</w:t>
            </w:r>
          </w:p>
        </w:tc>
        <w:tc>
          <w:tcPr>
            <w:tcW w:w="2097" w:type="dxa"/>
            <w:vMerge/>
          </w:tcPr>
          <w:p w:rsidR="00D26D98" w:rsidRPr="00481D4C" w:rsidRDefault="00D26D98" w:rsidP="0045369A">
            <w:pPr>
              <w:pStyle w:val="NormalWeb"/>
              <w:adjustRightInd w:val="0"/>
              <w:snapToGrid w:val="0"/>
              <w:spacing w:before="0" w:beforeAutospacing="0" w:after="0" w:afterAutospacing="0"/>
              <w:jc w:val="both"/>
              <w:textAlignment w:val="baseline"/>
              <w:rPr>
                <w:rFonts w:ascii="Times New Roman" w:hAnsi="Times New Roman" w:cs="Times New Roman"/>
              </w:rPr>
            </w:pPr>
          </w:p>
        </w:tc>
      </w:tr>
    </w:tbl>
    <w:p w:rsidR="00E66DCB" w:rsidRDefault="00232A34" w:rsidP="00D26D98">
      <w:pPr>
        <w:pStyle w:val="BodyText"/>
        <w:jc w:val="left"/>
      </w:pPr>
      <w:hyperlink w:anchor="footnote-598-1-backlink">
        <w:r>
          <w:rPr>
            <w:vertAlign w:val="superscript"/>
          </w:rPr>
          <w:t>1</w:t>
        </w:r>
      </w:hyperlink>
      <w:r>
        <w:t xml:space="preserve"> </w:t>
      </w:r>
      <w:bookmarkStart w:id="0" w:name="_GoBack"/>
      <w:bookmarkEnd w:id="0"/>
      <w:r>
        <w:fldChar w:fldCharType="begin"/>
      </w:r>
      <w:r>
        <w:instrText xml:space="preserve"> HYPERLINK "https://www.hkex.com.hk/-/media/HKEX-Market/News/Market-Consultations/2016-Present/October-2021-Share-Schem es/Consultation-Paper/cp202110_c.pdf" </w:instrText>
      </w:r>
      <w:r>
        <w:fldChar w:fldCharType="separate"/>
      </w:r>
      <w:r w:rsidRPr="002C33D3">
        <w:rPr>
          <w:rStyle w:val="Hyperlink"/>
        </w:rPr>
        <w:t>https://www.hkex.com.hk/-/media/HKEX-Market/News/Market-Consultations/2016-Present/October-2021-Share-Schem es/Consultation-Paper/cp202110_c.pdf</w:t>
      </w:r>
      <w:r>
        <w:fldChar w:fldCharType="end"/>
      </w:r>
    </w:p>
    <w:p w:rsidR="00E66DCB" w:rsidRDefault="00232A34" w:rsidP="00D26D98">
      <w:pPr>
        <w:pStyle w:val="BodyText"/>
        <w:jc w:val="left"/>
        <w:rPr>
          <w:lang w:eastAsia="zh-CN"/>
        </w:rPr>
      </w:pPr>
      <w:hyperlink w:anchor="footnote-598-2-backlink">
        <w:r>
          <w:rPr>
            <w:vertAlign w:val="superscript"/>
            <w:lang w:eastAsia="zh-CN"/>
          </w:rPr>
          <w:t>2</w:t>
        </w:r>
      </w:hyperlink>
      <w:r>
        <w:rPr>
          <w:lang w:eastAsia="zh-CN"/>
        </w:rPr>
        <w:t xml:space="preserve"> </w:t>
      </w:r>
      <w:r>
        <w:rPr>
          <w:lang w:eastAsia="zh-CN"/>
        </w:rPr>
        <w:t>若无控股股东，那么执行董事、非执行董事以及最高行政人员均必须放弃表决</w:t>
      </w:r>
    </w:p>
    <w:p w:rsidR="00E66DCB" w:rsidRDefault="00232A34" w:rsidP="00D26D98">
      <w:pPr>
        <w:pStyle w:val="BodyText"/>
        <w:jc w:val="left"/>
        <w:rPr>
          <w:lang w:eastAsia="zh-CN"/>
        </w:rPr>
      </w:pPr>
      <w:hyperlink w:anchor="footnote-598-3-backlink">
        <w:r>
          <w:rPr>
            <w:lang w:eastAsia="zh-CN"/>
          </w:rPr>
          <w:t>3</w:t>
        </w:r>
      </w:hyperlink>
      <w:r>
        <w:rPr>
          <w:lang w:eastAsia="zh-CN"/>
        </w:rPr>
        <w:t xml:space="preserve"> </w:t>
      </w:r>
      <w:r>
        <w:rPr>
          <w:lang w:eastAsia="zh-CN"/>
        </w:rPr>
        <w:t>购股权的行使价必须不低于授出购股权时相关股份的市价。</w:t>
      </w:r>
    </w:p>
    <w:p w:rsidR="00E66DCB" w:rsidRDefault="00232A34" w:rsidP="00D26D98">
      <w:pPr>
        <w:pStyle w:val="BodyText"/>
        <w:jc w:val="left"/>
      </w:pPr>
      <w:hyperlink w:anchor="footnote-598-4-backlink">
        <w:r>
          <w:rPr>
            <w:vertAlign w:val="superscript"/>
          </w:rPr>
          <w:t>4</w:t>
        </w:r>
      </w:hyperlink>
      <w:r>
        <w:t xml:space="preserve"> </w:t>
      </w:r>
      <w:hyperlink r:id="rId10">
        <w:r>
          <w:t>https://en-rules.hkex.com.hk/sites/default/files/net_file_store/HKEX4476_3785_VER10.pdf</w:t>
        </w:r>
      </w:hyperlink>
    </w:p>
    <w:p w:rsidR="00E66DCB" w:rsidRDefault="00232A34">
      <w:pPr>
        <w:pStyle w:val="DisclaimerBold"/>
        <w:rPr>
          <w:lang w:eastAsia="zh-CN"/>
        </w:rPr>
      </w:pPr>
      <w:r>
        <w:rPr>
          <w:lang w:eastAsia="zh-CN"/>
        </w:rPr>
        <w:t>此法讯仅为提供相关资料信息之用，其内容并</w:t>
      </w:r>
    </w:p>
    <w:p w:rsidR="00E66DCB" w:rsidRDefault="00232A34">
      <w:pPr>
        <w:pStyle w:val="Disclaimer"/>
        <w:rPr>
          <w:lang w:eastAsia="zh-CN"/>
        </w:rPr>
      </w:pPr>
      <w:r>
        <w:rPr>
          <w:lang w:eastAsia="zh-CN"/>
        </w:rPr>
        <w:t>不构成法律建议及个案的法律分析。</w:t>
      </w:r>
    </w:p>
    <w:p w:rsidR="00E66DCB" w:rsidRDefault="00232A34">
      <w:pPr>
        <w:pStyle w:val="Disclaimer"/>
        <w:rPr>
          <w:lang w:eastAsia="zh-CN"/>
        </w:rPr>
      </w:pPr>
      <w:r>
        <w:rPr>
          <w:lang w:eastAsia="zh-CN"/>
        </w:rPr>
        <w:t>此法讯的发送并不是为了在易周律师行与用户或浏览者</w:t>
      </w:r>
      <w:r>
        <w:rPr>
          <w:lang w:eastAsia="zh-CN"/>
        </w:rPr>
        <w:t>之间建立一种律师与客户之关系。</w:t>
      </w:r>
    </w:p>
    <w:p w:rsidR="00E66DCB" w:rsidRDefault="00232A34">
      <w:pPr>
        <w:pStyle w:val="Disclaimer"/>
        <w:rPr>
          <w:lang w:eastAsia="zh-CN"/>
        </w:rPr>
      </w:pPr>
      <w:r>
        <w:rPr>
          <w:lang w:eastAsia="zh-CN"/>
        </w:rPr>
        <w:t>易周律师行并不对可从互联网获得的任何第三方内容负责。</w:t>
      </w:r>
    </w:p>
    <w:p w:rsidR="00E66DCB" w:rsidRDefault="00232A34">
      <w:pPr>
        <w:pStyle w:val="Disclaimer"/>
        <w:rPr>
          <w:lang w:eastAsia="zh-CN"/>
        </w:rPr>
      </w:pPr>
      <w:r>
        <w:rPr>
          <w:lang w:eastAsia="zh-CN"/>
        </w:rPr>
        <w:t>如你不希望再收到易周法讯，请发送电邮至</w:t>
      </w:r>
      <w:r>
        <w:rPr>
          <w:lang w:eastAsia="zh-CN"/>
        </w:rPr>
        <w:t xml:space="preserve">  </w:t>
      </w:r>
      <w:hyperlink r:id="rId11">
        <w:r>
          <w:rPr>
            <w:lang w:eastAsia="zh-CN"/>
          </w:rPr>
          <w:t>unsubscribe@charltonslaw.com</w:t>
        </w:r>
      </w:hyperlink>
    </w:p>
    <w:p w:rsidR="00E66DCB" w:rsidRDefault="00232A34">
      <w:pPr>
        <w:pStyle w:val="BlackStrips"/>
      </w:pPr>
      <w:r>
        <w:t xml:space="preserve">Charltons - </w:t>
      </w:r>
      <w:r>
        <w:t>香港法律</w:t>
      </w:r>
      <w:r>
        <w:t xml:space="preserve"> - 2023</w:t>
      </w:r>
      <w:r>
        <w:t>年</w:t>
      </w:r>
      <w:r>
        <w:t>3</w:t>
      </w:r>
      <w:r>
        <w:t>月</w:t>
      </w:r>
      <w:r>
        <w:t>7</w:t>
      </w:r>
      <w:r>
        <w:t>日</w:t>
      </w:r>
    </w:p>
    <w:sectPr w:rsidR="00E66DCB">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32A34">
      <w:pPr>
        <w:spacing w:after="0"/>
      </w:pPr>
      <w:r>
        <w:separator/>
      </w:r>
    </w:p>
  </w:endnote>
  <w:endnote w:type="continuationSeparator" w:id="0">
    <w:p w:rsidR="00000000" w:rsidRDefault="00232A3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DCB" w:rsidRDefault="00232A34">
      <w:r>
        <w:separator/>
      </w:r>
    </w:p>
  </w:footnote>
  <w:footnote w:type="continuationSeparator" w:id="0">
    <w:p w:rsidR="00E66DCB" w:rsidRDefault="00232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1B32BD4E"/>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16917F51"/>
    <w:multiLevelType w:val="hybridMultilevel"/>
    <w:tmpl w:val="3D52072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70CD2DE"/>
    <w:multiLevelType w:val="multilevel"/>
    <w:tmpl w:val="A7CCE72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2C1AE401"/>
    <w:multiLevelType w:val="multilevel"/>
    <w:tmpl w:val="9E9C37C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4" w15:restartNumberingAfterBreak="0">
    <w:nsid w:val="47261BAD"/>
    <w:multiLevelType w:val="multilevel"/>
    <w:tmpl w:val="3BA21C4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5" w15:restartNumberingAfterBreak="0">
    <w:nsid w:val="71315DCA"/>
    <w:multiLevelType w:val="multilevel"/>
    <w:tmpl w:val="E3F84D7E"/>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2"/>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232A34"/>
    <w:rsid w:val="004E29B3"/>
    <w:rsid w:val="00590D07"/>
    <w:rsid w:val="00784D58"/>
    <w:rsid w:val="008D6863"/>
    <w:rsid w:val="00B86B75"/>
    <w:rsid w:val="00BC48D5"/>
    <w:rsid w:val="00C36279"/>
    <w:rsid w:val="00D26D98"/>
    <w:rsid w:val="00E315A3"/>
    <w:rsid w:val="00E66DCB"/>
    <w:rsid w:val="00E7477C"/>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DC4E9"/>
  <w15:docId w15:val="{7DDAAA68-79F3-42B8-8B8E-3E286B79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NormalWeb">
    <w:name w:val="Normal (Web)"/>
    <w:basedOn w:val="Normal"/>
    <w:uiPriority w:val="99"/>
    <w:unhideWhenUsed/>
    <w:rsid w:val="00D26D98"/>
    <w:pPr>
      <w:spacing w:before="100" w:beforeAutospacing="1" w:after="100" w:afterAutospacing="1"/>
    </w:pPr>
    <w:rPr>
      <w:rFonts w:ascii="SimSun" w:eastAsia="SimSun" w:hAnsi="SimSun" w:cs="SimSun"/>
      <w:color w:val="auto"/>
      <w:lang w:eastAsia="zh-CN"/>
    </w:rPr>
  </w:style>
  <w:style w:type="table" w:styleId="TableGrid">
    <w:name w:val="Table Grid"/>
    <w:basedOn w:val="TableNormal"/>
    <w:uiPriority w:val="39"/>
    <w:rsid w:val="00D26D98"/>
    <w:rPr>
      <w:rFonts w:eastAsiaTheme="minorEastAsia"/>
      <w:sz w:val="22"/>
      <w:szCs w:val="22"/>
      <w:lang w:eastAsia="zh-TW"/>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232A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News/Market-Consultations/2016-Present/October-2021-Share-Schemes/Conclusions-(July-2022)/cp202110cc_c.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arltonslaw.com.cn/you-guan-shang-shi-fa-xing-ren-gu-fen-ji-hua-de-xiang-gang-jiao-yi-suo-shang-shi-gui-ze-xin-tiao-wen-yu-2023nian-1yue-1ri-sheng-xia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nsubscribe@charltonslaw.com?subject=unsubscribe%20-Hong%20Kong%20Law-" TargetMode="External"/><Relationship Id="rId5" Type="http://schemas.openxmlformats.org/officeDocument/2006/relationships/footnotes" Target="footnotes.xml"/><Relationship Id="rId10" Type="http://schemas.openxmlformats.org/officeDocument/2006/relationships/hyperlink" Target="https://en-rules.hkex.com.hk/sites/default/files/net_file_store/HKEX4476_3785_VER10.pdf" TargetMode="External"/><Relationship Id="rId4" Type="http://schemas.openxmlformats.org/officeDocument/2006/relationships/webSettings" Target="webSettings.xml"/><Relationship Id="rId9" Type="http://schemas.openxmlformats.org/officeDocument/2006/relationships/hyperlink" Target="https://en-rules.hkex.com.hk/sites/default/files/net_file_store/consol_m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8</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2023-03-07T08:24:00Z</dcterms:created>
  <dcterms:modified xsi:type="dcterms:W3CDTF">2023-03-07T09:10:00Z</dcterms:modified>
</cp:coreProperties>
</file>