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- 2023年4月14日</w:t>
      </w:r>
    </w:p>
    <w:p>
      <w:pPr>
        <w:pStyle w:val="ReadOnline"/>
      </w:pPr>
      <w:hyperlink r:id="rId9">
        <w:r>
          <w:rPr/>
          <w:t>online version</w:t>
        </w:r>
      </w:hyperlink>
    </w:p>
    <w:p>
      <w:pPr>
        <w:pStyle w:val="Title"/>
      </w:pPr>
      <w:r>
        <w:t>香港证监会欢迎中央政府支持香港巩固国际金融中心的地位</w:t>
      </w:r>
    </w:p>
    <w:p>
      <w:pPr>
        <w:pStyle w:val="FirstParagraph"/>
      </w:pPr>
      <w:r>
        <w:t xml:space="preserve">2022年9月2日，香港证券及期货事务监察委员会（</w:t>
      </w:r>
      <w:r>
        <w:rPr>
          <w:b/>
        </w:rPr>
        <w:t xml:space="preserve">证监会</w:t>
      </w:r>
      <w:r>
        <w:t xml:space="preserve">）对中央政府就扩阔沪深港通机制和进一步提升香港作为离岸人民币中心及风险管理中心的地位给予的支持及中国证券监督管理委员会（</w:t>
      </w:r>
      <w:r>
        <w:rPr>
          <w:b/>
        </w:rPr>
        <w:t xml:space="preserve">中国证监会</w:t>
      </w:r>
      <w:r>
        <w:t xml:space="preserve">）宣布的三项举措表示欢迎。</w:t>
      </w:r>
      <w:hyperlink w:anchor="footnote-598-1">
        <w:r>
          <w:rPr>
            <w:vertAlign w:val="superscript"/>
            <w:rStyle w:val="Hyperlink"/>
          </w:rPr>
          <w:t xml:space="preserve">1</w:t>
        </w:r>
      </w:hyperlink>
    </w:p>
    <w:p>
      <w:pPr>
        <w:pStyle w:val="TextBody"/>
      </w:pPr>
      <w:r>
        <w:t xml:space="preserve">2022年9月2日，中国证监会副主席方星海先生在中国国际服务贸易交易会金融论坛宣布以下三项新举措</w:t>
      </w:r>
      <w:hyperlink w:anchor="footnote-598-2">
        <w:r>
          <w:rPr>
            <w:vertAlign w:val="superscript"/>
            <w:rStyle w:val="Hyperlink"/>
          </w:rPr>
          <w:t xml:space="preserve">2</w:t>
        </w:r>
      </w:hyperlink>
      <w:r>
        <w:t xml:space="preserve"> </w:t>
      </w:r>
      <w:r>
        <w:t xml:space="preserve">：</w:t>
      </w:r>
    </w:p>
    <w:p>
      <w:pPr>
        <w:pStyle w:val="TextBody"/>
      </w:pPr>
      <w:r>
        <w:t xml:space="preserve">（1）扩阔沪深港通机制的范围</w:t>
      </w:r>
    </w:p>
    <w:p>
      <w:pPr>
        <w:pStyle w:val="TextBody"/>
      </w:pPr>
      <w:r>
        <w:t xml:space="preserve">沪深港通机制的范围将拓宽至包括首次在交易所上市的外国公司</w:t>
      </w:r>
      <w:hyperlink w:anchor="footnote-598-3">
        <w:r>
          <w:rPr>
            <w:vertAlign w:val="superscript"/>
            <w:rStyle w:val="Hyperlink"/>
          </w:rPr>
          <w:t xml:space="preserve">3</w:t>
        </w:r>
      </w:hyperlink>
      <w:r>
        <w:t xml:space="preserve">，因此内地投资者可以透过“南向通”购买在交易所上市的外国公司的股份，同时海外投资者可以透过“北向通”交易购买在上海和深圳证券交易所上市的公司。</w:t>
      </w:r>
    </w:p>
    <w:p>
      <w:pPr>
        <w:pStyle w:val="TextBody"/>
      </w:pPr>
      <w:r>
        <w:t xml:space="preserve">（2）在香港推出中国国债期货</w:t>
      </w:r>
    </w:p>
    <w:p>
      <w:pPr>
        <w:pStyle w:val="TextBody"/>
      </w:pPr>
      <w:r>
        <w:t xml:space="preserve">中国证监会将支持在香港推出中国国债期货，加快中国国债期货市场向海外投资者开放。</w:t>
      </w:r>
    </w:p>
    <w:p>
      <w:pPr>
        <w:pStyle w:val="TextBody"/>
      </w:pPr>
      <w:r>
        <w:t xml:space="preserve">（3）在香港推出人民币股票交易柜台</w:t>
      </w:r>
    </w:p>
    <w:p>
      <w:pPr>
        <w:pStyle w:val="TextBody"/>
      </w:pPr>
      <w:r>
        <w:t xml:space="preserve">中国证监会还支持将人民币股票交易柜台引入“南向通”交易。</w:t>
      </w:r>
    </w:p>
    <w:p>
      <w:pPr>
        <w:pStyle w:val="TextBody"/>
      </w:pPr>
      <w:r>
        <w:t xml:space="preserve">香港证监会代理首席执行官梁凤仪英女士表示，（1）透过沪深港通机制，将“南向通”交易引入外国公司将增强香港交易所的吸引力；（2）中国证监会支持在香港推出中国国债期货，将有助于海外投资者更好地管理风险；（3）证监会支持香港发展离岸国债期货和人民币双柜台股票交易，将进一步加强香港作为风险管理中心和离岸人民币中心的作用。</w:t>
      </w:r>
    </w:p>
    <w:p>
      <w:pPr>
        <w:pStyle w:val="TextBody"/>
      </w:pPr>
      <w:r>
        <w:t xml:space="preserve">证监会进一步表示，将与中国证监会及香港交易所</w:t>
      </w:r>
      <w:hyperlink w:anchor="footnote-598-4">
        <w:r>
          <w:rPr>
            <w:vertAlign w:val="superscript"/>
            <w:rStyle w:val="Hyperlink"/>
          </w:rPr>
          <w:t xml:space="preserve">4</w:t>
        </w:r>
      </w:hyperlink>
      <w:r>
        <w:t xml:space="preserve">就这三项举措密切合作。</w:t>
      </w:r>
    </w:p>
    <w:p>
      <w:pPr>
        <w:pStyle w:val="TextBody"/>
      </w:pPr>
      <w:hyperlink w:anchor="footnote-598-1-backlink">
        <w:r>
          <w:rPr>
            <w:rStyle w:val="Hyperlink"/>
          </w:rPr>
          <w:t xml:space="preserve">1</w:t>
        </w:r>
      </w:hyperlink>
      <w:r>
        <w:t xml:space="preserve"> </w:t>
      </w:r>
      <w:hyperlink r:id="rId20">
        <w:r>
          <w:rPr>
            <w:rStyle w:val="Hyperlink"/>
          </w:rPr>
          <w:t xml:space="preserve">https://apps.sfc.hk/edistributionWeb/gateway/EN/news-and-announcements/news/corporate-news/doc?refNo=22PR67</w:t>
        </w:r>
      </w:hyperlink>
    </w:p>
    <w:p>
      <w:pPr>
        <w:pStyle w:val="TextBody"/>
      </w:pPr>
      <w:hyperlink w:anchor="footnote-598-2-backlink">
        <w:r>
          <w:rPr>
            <w:rStyle w:val="Hyperlink"/>
          </w:rPr>
          <w:t xml:space="preserve">2</w:t>
        </w:r>
      </w:hyperlink>
      <w:r>
        <w:t xml:space="preserve"> </w:t>
      </w:r>
      <w:hyperlink r:id="rId21">
        <w:r>
          <w:rPr>
            <w:rStyle w:val="Hyperlink"/>
          </w:rPr>
          <w:t xml:space="preserve">http://www.csrc.gov.cn/csrc/c100028/c5603389/content.shtml</w:t>
        </w:r>
      </w:hyperlink>
    </w:p>
    <w:p>
      <w:pPr>
        <w:pStyle w:val="TextBody"/>
      </w:pPr>
      <w:hyperlink w:anchor="footnote-598-3-backlink">
        <w:r>
          <w:rPr>
            <w:rStyle w:val="Hyperlink"/>
          </w:rPr>
          <w:t xml:space="preserve">3</w:t>
        </w:r>
      </w:hyperlink>
      <w:r>
        <w:t xml:space="preserve"> </w:t>
      </w:r>
      <w:r>
        <w:t xml:space="preserve">由香港证券交易所有限公司经营</w:t>
      </w:r>
    </w:p>
    <w:p>
      <w:pPr>
        <w:pStyle w:val="TextBody"/>
      </w:pPr>
      <w:hyperlink w:anchor="footnote-598-4-backlink">
        <w:r>
          <w:rPr>
            <w:rStyle w:val="Hyperlink"/>
          </w:rPr>
          <w:t xml:space="preserve">4</w:t>
        </w:r>
      </w:hyperlink>
      <w:r>
        <w:t xml:space="preserve"> </w:t>
      </w:r>
      <w:r>
        <w:t xml:space="preserve">指香港交易及结算所有限公司</w:t>
      </w:r>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- 2023年4月14日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1" Type="http://schemas.openxmlformats.org/officeDocument/2006/relationships/hyperlink" Target="http://www.csrc.gov.cn/csrc/c100028/c5603389/content.shtml%20" TargetMode="External"/><Relationship Id="rId20" Type="http://schemas.openxmlformats.org/officeDocument/2006/relationships/hyperlink" Target="https://apps.sfc.hk/edistributionWeb/gateway/EN/news-and-announcements/news/corporate-news/doc?refNo=22PR67" TargetMode="External"/><Relationship Id="rId9" Type="http://schemas.openxmlformats.org/officeDocument/2006/relationships/hyperlink" Target="http://www.charltonslaw.com.cn/xiang-gang-zheng-jian-hui-huan-ying-zhong-yang-zheng-fu-zhi-chi-xiang-gang-gong-gu-guo-ji-jin-rong-zhong-xin-de-di-wei"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www.csrc.gov.cn/csrc/c100028/c5603389/content.shtml%20" TargetMode="External"/><Relationship Id="rId20" Type="http://schemas.openxmlformats.org/officeDocument/2006/relationships/hyperlink" Target="https://apps.sfc.hk/edistributionWeb/gateway/EN/news-and-announcements/news/corporate-news/doc?refNo=22PR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2023-04-14T08:12:08Z</dcterms:created>
  <dcterms:modified xsi:type="dcterms:W3CDTF">2023-04-14T08:12:08Z</dcterms:modified>
</cp:coreProperties>
</file>

<file path=docProps/custom.xml><?xml version="1.0" encoding="utf-8"?>
<Properties xmlns="http://schemas.openxmlformats.org/officeDocument/2006/custom-properties" xmlns:vt="http://schemas.openxmlformats.org/officeDocument/2006/docPropsVTypes"/>
</file>