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FA2" w:rsidRDefault="000E687E">
      <w:pPr>
        <w:pStyle w:val="BlackStrips"/>
      </w:pPr>
      <w:r>
        <w:t xml:space="preserve">Charltons - </w:t>
      </w:r>
      <w:r>
        <w:t>香港法律</w:t>
      </w:r>
      <w:r>
        <w:t xml:space="preserve"> - 2023</w:t>
      </w:r>
      <w:r>
        <w:t>年</w:t>
      </w:r>
      <w:r>
        <w:t>7</w:t>
      </w:r>
      <w:r>
        <w:t>月</w:t>
      </w:r>
      <w:r>
        <w:t>24</w:t>
      </w:r>
      <w:r>
        <w:t>日</w:t>
      </w:r>
    </w:p>
    <w:p w:rsidR="00121FA2" w:rsidRDefault="000E687E">
      <w:pPr>
        <w:pStyle w:val="ReadOnline"/>
        <w:rPr>
          <w:lang w:eastAsia="zh-CN"/>
        </w:rPr>
      </w:pPr>
      <w:hyperlink r:id="rId7">
        <w:r>
          <w:rPr>
            <w:lang w:eastAsia="zh-CN"/>
          </w:rPr>
          <w:t>online version</w:t>
        </w:r>
      </w:hyperlink>
    </w:p>
    <w:p w:rsidR="00121FA2" w:rsidRDefault="000E687E">
      <w:pPr>
        <w:pStyle w:val="Title"/>
        <w:rPr>
          <w:lang w:eastAsia="zh-CN"/>
        </w:rPr>
      </w:pPr>
      <w:r>
        <w:rPr>
          <w:lang w:eastAsia="zh-CN"/>
        </w:rPr>
        <w:t>香港联交所及证监会</w:t>
      </w:r>
      <w:r>
        <w:rPr>
          <w:lang w:eastAsia="zh-CN"/>
        </w:rPr>
        <w:t>2022</w:t>
      </w:r>
      <w:r>
        <w:rPr>
          <w:lang w:eastAsia="zh-CN"/>
        </w:rPr>
        <w:t>年</w:t>
      </w:r>
      <w:r>
        <w:rPr>
          <w:lang w:eastAsia="zh-CN"/>
        </w:rPr>
        <w:t>10</w:t>
      </w:r>
      <w:r>
        <w:rPr>
          <w:lang w:eastAsia="zh-CN"/>
        </w:rPr>
        <w:t>月的纪律行动</w:t>
      </w:r>
    </w:p>
    <w:p w:rsidR="00121FA2" w:rsidRDefault="000E687E">
      <w:pPr>
        <w:pStyle w:val="FirstParagraph"/>
        <w:rPr>
          <w:lang w:eastAsia="zh-CN"/>
        </w:rPr>
      </w:pPr>
      <w:r>
        <w:rPr>
          <w:lang w:eastAsia="zh-CN"/>
        </w:rPr>
        <w:t>2022</w:t>
      </w:r>
      <w:r>
        <w:rPr>
          <w:lang w:eastAsia="zh-CN"/>
        </w:rPr>
        <w:t>年</w:t>
      </w:r>
      <w:r>
        <w:rPr>
          <w:lang w:eastAsia="zh-CN"/>
        </w:rPr>
        <w:t>10</w:t>
      </w:r>
      <w:r>
        <w:rPr>
          <w:lang w:eastAsia="zh-CN"/>
        </w:rPr>
        <w:t>月，香港联合联交所有限公司（</w:t>
      </w:r>
      <w:r>
        <w:rPr>
          <w:b/>
          <w:lang w:eastAsia="zh-CN"/>
        </w:rPr>
        <w:t>香港联交所</w:t>
      </w:r>
      <w:r>
        <w:rPr>
          <w:lang w:eastAsia="zh-CN"/>
        </w:rPr>
        <w:t>）发布两条纪律行动。第一条涉及对天成国际集团控股有限公司一名前任董事兼主席发出董事不适合声明及就该公司的附属公司所进行的交易违反《香港联交所上市规则》，向该公司发出谴责。</w:t>
      </w:r>
    </w:p>
    <w:p w:rsidR="00121FA2" w:rsidRDefault="000E687E">
      <w:pPr>
        <w:pStyle w:val="BodyText"/>
        <w:rPr>
          <w:lang w:eastAsia="zh-CN"/>
        </w:rPr>
      </w:pPr>
      <w:r>
        <w:rPr>
          <w:lang w:eastAsia="zh-CN"/>
        </w:rPr>
        <w:t>第二条联交所纪律行动关于对中生北控生物科技股份有限公司的两名董事未有配合联交所调查发布公开谴责及董事不适合声明。</w:t>
      </w:r>
    </w:p>
    <w:p w:rsidR="00121FA2" w:rsidRDefault="000E687E">
      <w:pPr>
        <w:pStyle w:val="BodyText"/>
        <w:rPr>
          <w:lang w:eastAsia="zh-CN"/>
        </w:rPr>
      </w:pPr>
      <w:r>
        <w:rPr>
          <w:lang w:eastAsia="zh-CN"/>
        </w:rPr>
        <w:t>香港证券及期货事务监察委员会（</w:t>
      </w:r>
      <w:r>
        <w:rPr>
          <w:b/>
          <w:lang w:eastAsia="zh-CN"/>
        </w:rPr>
        <w:t>证监会</w:t>
      </w:r>
      <w:r>
        <w:rPr>
          <w:lang w:eastAsia="zh-CN"/>
        </w:rPr>
        <w:t>）公布对涉嫌证券欺诈、妨碍证监会搜查工作、非法卖空、不符合欧盟卖空规定及违反持牌法团职员交易政策进行证券交易的个人采取行动的结果。它还公开批评一家公司违反了《香港收购守则》。</w:t>
      </w:r>
    </w:p>
    <w:p w:rsidR="00121FA2" w:rsidRDefault="000E687E">
      <w:pPr>
        <w:pStyle w:val="BodyText"/>
        <w:rPr>
          <w:lang w:eastAsia="zh-CN"/>
        </w:rPr>
      </w:pPr>
      <w:r>
        <w:rPr>
          <w:lang w:eastAsia="zh-CN"/>
        </w:rPr>
        <w:t>另一项纪律行动</w:t>
      </w:r>
      <w:r>
        <w:rPr>
          <w:lang w:eastAsia="zh-CN"/>
        </w:rPr>
        <w:t>源于原讼法庭根据《证券及期货条例》（下称</w:t>
      </w:r>
      <w:r>
        <w:rPr>
          <w:b/>
          <w:lang w:eastAsia="zh-CN"/>
        </w:rPr>
        <w:t>《条例》</w:t>
      </w:r>
      <w:r>
        <w:rPr>
          <w:lang w:eastAsia="zh-CN"/>
        </w:rPr>
        <w:t>）第</w:t>
      </w:r>
      <w:r>
        <w:rPr>
          <w:lang w:eastAsia="zh-CN"/>
        </w:rPr>
        <w:t>214</w:t>
      </w:r>
      <w:r>
        <w:rPr>
          <w:lang w:eastAsia="zh-CN"/>
        </w:rPr>
        <w:t>条作出命令，要求桑德国际有限公司主席及执行董事购入该公司其他股东的股份。这是第</w:t>
      </w:r>
      <w:r>
        <w:rPr>
          <w:lang w:eastAsia="zh-CN"/>
        </w:rPr>
        <w:t>214</w:t>
      </w:r>
      <w:r>
        <w:rPr>
          <w:lang w:eastAsia="zh-CN"/>
        </w:rPr>
        <w:t>条下的第一个此类命令，是另一份新闻资讯的主题。见</w:t>
      </w:r>
      <w:hyperlink r:id="rId8">
        <w:r>
          <w:rPr>
            <w:lang w:eastAsia="zh-CN"/>
          </w:rPr>
          <w:t>法院命令桑德国际主席向投资者购入股份</w:t>
        </w:r>
      </w:hyperlink>
      <w:r>
        <w:rPr>
          <w:lang w:eastAsia="zh-CN"/>
        </w:rPr>
        <w:t>。</w:t>
      </w:r>
    </w:p>
    <w:p w:rsidR="00121FA2" w:rsidRDefault="000E687E">
      <w:pPr>
        <w:pStyle w:val="BodyText"/>
        <w:rPr>
          <w:lang w:eastAsia="zh-CN"/>
        </w:rPr>
      </w:pPr>
      <w:r>
        <w:rPr>
          <w:lang w:eastAsia="zh-CN"/>
        </w:rPr>
        <w:t>香港联交所对天成国际集团控股有限公司</w:t>
      </w:r>
      <w:r>
        <w:rPr>
          <w:lang w:eastAsia="zh-CN"/>
        </w:rPr>
        <w:t>（已除牌）采取的纪律行动</w:t>
      </w:r>
    </w:p>
    <w:p w:rsidR="00121FA2" w:rsidRDefault="000E687E">
      <w:pPr>
        <w:pStyle w:val="BodyText"/>
      </w:pPr>
      <w:r>
        <w:rPr>
          <w:lang w:eastAsia="zh-CN"/>
        </w:rPr>
        <w:t>2022</w:t>
      </w:r>
      <w:r>
        <w:rPr>
          <w:lang w:eastAsia="zh-CN"/>
        </w:rPr>
        <w:t>年</w:t>
      </w:r>
      <w:r>
        <w:rPr>
          <w:lang w:eastAsia="zh-CN"/>
        </w:rPr>
        <w:t>10</w:t>
      </w:r>
      <w:r>
        <w:rPr>
          <w:lang w:eastAsia="zh-CN"/>
        </w:rPr>
        <w:t>月</w:t>
      </w:r>
      <w:r>
        <w:rPr>
          <w:lang w:eastAsia="zh-CN"/>
        </w:rPr>
        <w:t>5</w:t>
      </w:r>
      <w:r>
        <w:rPr>
          <w:lang w:eastAsia="zh-CN"/>
        </w:rPr>
        <w:t>号，联交所公开谴责并对天成国际集团控股有限公司（</w:t>
      </w:r>
      <w:r>
        <w:rPr>
          <w:b/>
          <w:lang w:eastAsia="zh-CN"/>
        </w:rPr>
        <w:t>天成国际</w:t>
      </w:r>
      <w:r>
        <w:rPr>
          <w:lang w:eastAsia="zh-CN"/>
        </w:rPr>
        <w:t>）前执行董事兼主席陈传进先生（</w:t>
      </w:r>
      <w:r>
        <w:rPr>
          <w:b/>
          <w:lang w:eastAsia="zh-CN"/>
        </w:rPr>
        <w:t>陈</w:t>
      </w:r>
      <w:r>
        <w:rPr>
          <w:lang w:eastAsia="zh-CN"/>
        </w:rPr>
        <w:t>）发布董事不适合声明，该公司曾在联交所上市，现已除牌。</w:t>
      </w:r>
      <w:r>
        <w:t>上市委员会发现：</w:t>
      </w:r>
    </w:p>
    <w:p w:rsidR="00121FA2" w:rsidRDefault="000E687E">
      <w:pPr>
        <w:pStyle w:val="Compact"/>
        <w:numPr>
          <w:ilvl w:val="0"/>
          <w:numId w:val="3"/>
        </w:numPr>
        <w:rPr>
          <w:lang w:eastAsia="zh-CN"/>
        </w:rPr>
      </w:pPr>
      <w:r>
        <w:rPr>
          <w:lang w:eastAsia="zh-CN"/>
        </w:rPr>
        <w:t>天成国际违反联交所《上市规则》关于须予公布的交易的规定；及</w:t>
      </w:r>
    </w:p>
    <w:p w:rsidR="00121FA2" w:rsidRDefault="000E687E">
      <w:pPr>
        <w:pStyle w:val="Compact"/>
        <w:numPr>
          <w:ilvl w:val="0"/>
          <w:numId w:val="3"/>
        </w:numPr>
        <w:rPr>
          <w:lang w:eastAsia="zh-CN"/>
        </w:rPr>
      </w:pPr>
      <w:r>
        <w:rPr>
          <w:lang w:eastAsia="zh-CN"/>
        </w:rPr>
        <w:t>陈先生违反联交所《上市规则》</w:t>
      </w:r>
      <w:r>
        <w:rPr>
          <w:lang w:eastAsia="zh-CN"/>
        </w:rPr>
        <w:t>3.08</w:t>
      </w:r>
      <w:r>
        <w:rPr>
          <w:lang w:eastAsia="zh-CN"/>
        </w:rPr>
        <w:t>条作为董事的职责及董事承诺。</w:t>
      </w:r>
    </w:p>
    <w:p w:rsidR="00121FA2" w:rsidRDefault="000E687E">
      <w:pPr>
        <w:pStyle w:val="FirstParagraph"/>
        <w:rPr>
          <w:lang w:eastAsia="zh-CN"/>
        </w:rPr>
      </w:pPr>
      <w:r>
        <w:rPr>
          <w:lang w:eastAsia="zh-CN"/>
        </w:rPr>
        <w:t>违反联交所须予披露的交易的规定</w:t>
      </w:r>
    </w:p>
    <w:p w:rsidR="00121FA2" w:rsidRDefault="000E687E">
      <w:pPr>
        <w:pStyle w:val="BodyText"/>
        <w:rPr>
          <w:lang w:eastAsia="zh-CN"/>
        </w:rPr>
      </w:pPr>
      <w:r>
        <w:rPr>
          <w:lang w:eastAsia="zh-CN"/>
        </w:rPr>
        <w:t>联交所上市委员会认为天成国际的附属公司（</w:t>
      </w:r>
      <w:r>
        <w:rPr>
          <w:b/>
          <w:lang w:eastAsia="zh-CN"/>
        </w:rPr>
        <w:t>附属公司</w:t>
      </w:r>
      <w:r>
        <w:rPr>
          <w:lang w:eastAsia="zh-CN"/>
        </w:rPr>
        <w:t>）在</w:t>
      </w:r>
      <w:r>
        <w:rPr>
          <w:lang w:eastAsia="zh-CN"/>
        </w:rPr>
        <w:t>2019</w:t>
      </w:r>
      <w:r>
        <w:rPr>
          <w:lang w:eastAsia="zh-CN"/>
        </w:rPr>
        <w:t>年至</w:t>
      </w:r>
      <w:r>
        <w:rPr>
          <w:lang w:eastAsia="zh-CN"/>
        </w:rPr>
        <w:t>2020</w:t>
      </w:r>
      <w:r>
        <w:rPr>
          <w:lang w:eastAsia="zh-CN"/>
        </w:rPr>
        <w:t>年期间进行了若干令人担忧的交易及行为，包括：</w:t>
      </w:r>
    </w:p>
    <w:p w:rsidR="00121FA2" w:rsidRDefault="000E687E">
      <w:pPr>
        <w:pStyle w:val="Compact"/>
        <w:numPr>
          <w:ilvl w:val="0"/>
          <w:numId w:val="4"/>
        </w:numPr>
        <w:rPr>
          <w:lang w:eastAsia="zh-CN"/>
        </w:rPr>
      </w:pPr>
      <w:r>
        <w:rPr>
          <w:lang w:eastAsia="zh-CN"/>
        </w:rPr>
        <w:t>与和天成国际公司控股股东有关联的</w:t>
      </w:r>
      <w:r>
        <w:rPr>
          <w:lang w:eastAsia="zh-CN"/>
        </w:rPr>
        <w:t>公司签订贷款协议（「</w:t>
      </w:r>
      <w:r>
        <w:rPr>
          <w:b/>
          <w:lang w:eastAsia="zh-CN"/>
        </w:rPr>
        <w:t>贷款协议</w:t>
      </w:r>
      <w:r>
        <w:rPr>
          <w:lang w:eastAsia="zh-CN"/>
        </w:rPr>
        <w:t>」），及签订质押合同（「</w:t>
      </w:r>
      <w:r>
        <w:rPr>
          <w:b/>
          <w:lang w:eastAsia="zh-CN"/>
        </w:rPr>
        <w:t>质押合同</w:t>
      </w:r>
      <w:r>
        <w:rPr>
          <w:lang w:eastAsia="zh-CN"/>
        </w:rPr>
        <w:t>」）以担保其贷款义务。质押于</w:t>
      </w:r>
      <w:r>
        <w:rPr>
          <w:lang w:eastAsia="zh-CN"/>
        </w:rPr>
        <w:t>2019</w:t>
      </w:r>
      <w:r>
        <w:rPr>
          <w:lang w:eastAsia="zh-CN"/>
        </w:rPr>
        <w:t>年</w:t>
      </w:r>
      <w:r>
        <w:rPr>
          <w:lang w:eastAsia="zh-CN"/>
        </w:rPr>
        <w:t>9</w:t>
      </w:r>
      <w:r>
        <w:rPr>
          <w:lang w:eastAsia="zh-CN"/>
        </w:rPr>
        <w:t>月至</w:t>
      </w:r>
      <w:r>
        <w:rPr>
          <w:lang w:eastAsia="zh-CN"/>
        </w:rPr>
        <w:t>11</w:t>
      </w:r>
      <w:r>
        <w:rPr>
          <w:lang w:eastAsia="zh-CN"/>
        </w:rPr>
        <w:t>月强制执行，受益银行扣除质押存款约</w:t>
      </w:r>
      <w:r>
        <w:rPr>
          <w:lang w:eastAsia="zh-CN"/>
        </w:rPr>
        <w:t>9.816</w:t>
      </w:r>
      <w:r>
        <w:rPr>
          <w:lang w:eastAsia="zh-CN"/>
        </w:rPr>
        <w:t>亿元；及</w:t>
      </w:r>
    </w:p>
    <w:p w:rsidR="00121FA2" w:rsidRDefault="000E687E">
      <w:pPr>
        <w:pStyle w:val="Compact"/>
        <w:numPr>
          <w:ilvl w:val="0"/>
          <w:numId w:val="4"/>
        </w:numPr>
        <w:rPr>
          <w:lang w:eastAsia="zh-CN"/>
        </w:rPr>
      </w:pPr>
      <w:r>
        <w:rPr>
          <w:lang w:eastAsia="zh-CN"/>
        </w:rPr>
        <w:t>在天成国际的财务汇报期结束之前和之后进行</w:t>
      </w:r>
      <w:r>
        <w:rPr>
          <w:lang w:eastAsia="zh-CN"/>
        </w:rPr>
        <w:t>3.78</w:t>
      </w:r>
      <w:r>
        <w:rPr>
          <w:lang w:eastAsia="zh-CN"/>
        </w:rPr>
        <w:t>亿元的循环付款。款项于</w:t>
      </w:r>
      <w:r>
        <w:rPr>
          <w:lang w:eastAsia="zh-CN"/>
        </w:rPr>
        <w:t>2020</w:t>
      </w:r>
      <w:r>
        <w:rPr>
          <w:lang w:eastAsia="zh-CN"/>
        </w:rPr>
        <w:t>年</w:t>
      </w:r>
      <w:r>
        <w:rPr>
          <w:lang w:eastAsia="zh-CN"/>
        </w:rPr>
        <w:t>6</w:t>
      </w:r>
      <w:r>
        <w:rPr>
          <w:lang w:eastAsia="zh-CN"/>
        </w:rPr>
        <w:t>月</w:t>
      </w:r>
      <w:r>
        <w:rPr>
          <w:lang w:eastAsia="zh-CN"/>
        </w:rPr>
        <w:t>30</w:t>
      </w:r>
      <w:r>
        <w:rPr>
          <w:lang w:eastAsia="zh-CN"/>
        </w:rPr>
        <w:t>日从与控股股东有关联的其中一家公司汇至附属公司并于一天后汇回（「</w:t>
      </w:r>
      <w:r>
        <w:rPr>
          <w:b/>
          <w:lang w:eastAsia="zh-CN"/>
        </w:rPr>
        <w:t>即时汇款</w:t>
      </w:r>
      <w:r>
        <w:rPr>
          <w:lang w:eastAsia="zh-CN"/>
        </w:rPr>
        <w:t>」）。附属公司声称即时汇款是一个操作错误，但法证审阅发现这不太可能。</w:t>
      </w:r>
    </w:p>
    <w:p w:rsidR="00121FA2" w:rsidRDefault="000E687E">
      <w:pPr>
        <w:pStyle w:val="FirstParagraph"/>
        <w:rPr>
          <w:lang w:eastAsia="zh-CN"/>
        </w:rPr>
      </w:pPr>
      <w:r>
        <w:rPr>
          <w:lang w:eastAsia="zh-CN"/>
        </w:rPr>
        <w:t>此外，附属公司截至</w:t>
      </w:r>
      <w:r>
        <w:rPr>
          <w:lang w:eastAsia="zh-CN"/>
        </w:rPr>
        <w:t>2020</w:t>
      </w:r>
      <w:r>
        <w:rPr>
          <w:lang w:eastAsia="zh-CN"/>
        </w:rPr>
        <w:t>年</w:t>
      </w:r>
      <w:r>
        <w:rPr>
          <w:lang w:eastAsia="zh-CN"/>
        </w:rPr>
        <w:t>6</w:t>
      </w:r>
      <w:r>
        <w:rPr>
          <w:lang w:eastAsia="zh-CN"/>
        </w:rPr>
        <w:t>月</w:t>
      </w:r>
      <w:r>
        <w:rPr>
          <w:lang w:eastAsia="zh-CN"/>
        </w:rPr>
        <w:t>30</w:t>
      </w:r>
      <w:r>
        <w:rPr>
          <w:lang w:eastAsia="zh-CN"/>
        </w:rPr>
        <w:t>日的财务报表显示附属公司认购了若干理财产品，价值超过人民币</w:t>
      </w:r>
      <w:r>
        <w:rPr>
          <w:lang w:eastAsia="zh-CN"/>
        </w:rPr>
        <w:t>6.0298</w:t>
      </w:r>
      <w:r>
        <w:rPr>
          <w:lang w:eastAsia="zh-CN"/>
        </w:rPr>
        <w:t>亿元（「</w:t>
      </w:r>
      <w:r>
        <w:rPr>
          <w:b/>
          <w:lang w:eastAsia="zh-CN"/>
        </w:rPr>
        <w:t>据称认</w:t>
      </w:r>
      <w:r>
        <w:rPr>
          <w:b/>
          <w:lang w:eastAsia="zh-CN"/>
        </w:rPr>
        <w:t>购</w:t>
      </w:r>
      <w:r>
        <w:rPr>
          <w:lang w:eastAsia="zh-CN"/>
        </w:rPr>
        <w:t>」）。后来独立法证审阅发现此等认购不曾发生。法证审阅人员不接受附属公司解释为误会且对某些据称认购纪录的真确性有所怀疑。据称认购和循环付款可能是为了掩盖银行对质押合同的强制执行，因为即时汇款与据称认购金额的总和为人民币</w:t>
      </w:r>
      <w:r>
        <w:rPr>
          <w:lang w:eastAsia="zh-CN"/>
        </w:rPr>
        <w:t>9.8098</w:t>
      </w:r>
      <w:r>
        <w:rPr>
          <w:lang w:eastAsia="zh-CN"/>
        </w:rPr>
        <w:t>亿元。</w:t>
      </w:r>
    </w:p>
    <w:p w:rsidR="00121FA2" w:rsidRDefault="000E687E">
      <w:pPr>
        <w:pStyle w:val="BodyText"/>
        <w:rPr>
          <w:lang w:eastAsia="zh-CN"/>
        </w:rPr>
      </w:pPr>
      <w:r>
        <w:rPr>
          <w:lang w:eastAsia="zh-CN"/>
        </w:rPr>
        <w:t>香港联交所上市委员会裁定天成国际公司就有关贷款协议未能：</w:t>
      </w:r>
    </w:p>
    <w:p w:rsidR="00121FA2" w:rsidRDefault="000E687E">
      <w:pPr>
        <w:pStyle w:val="Compact"/>
        <w:numPr>
          <w:ilvl w:val="0"/>
          <w:numId w:val="5"/>
        </w:numPr>
        <w:rPr>
          <w:lang w:eastAsia="zh-CN"/>
        </w:rPr>
      </w:pPr>
      <w:r>
        <w:rPr>
          <w:lang w:eastAsia="zh-CN"/>
        </w:rPr>
        <w:t>联交所《上市规则》第</w:t>
      </w:r>
      <w:r>
        <w:rPr>
          <w:lang w:eastAsia="zh-CN"/>
        </w:rPr>
        <w:t>14.34</w:t>
      </w:r>
      <w:r>
        <w:rPr>
          <w:lang w:eastAsia="zh-CN"/>
        </w:rPr>
        <w:t>条规定上市发行人必须在须予披露的交易的条款最后确定下来后尽快刊发公告；</w:t>
      </w:r>
    </w:p>
    <w:p w:rsidR="00121FA2" w:rsidRDefault="000E687E">
      <w:pPr>
        <w:pStyle w:val="Compact"/>
        <w:numPr>
          <w:ilvl w:val="0"/>
          <w:numId w:val="5"/>
        </w:numPr>
        <w:rPr>
          <w:lang w:eastAsia="zh-CN"/>
        </w:rPr>
      </w:pPr>
      <w:r>
        <w:rPr>
          <w:lang w:eastAsia="zh-CN"/>
        </w:rPr>
        <w:lastRenderedPageBreak/>
        <w:t>联交所《上市规则》第</w:t>
      </w:r>
      <w:r>
        <w:rPr>
          <w:lang w:eastAsia="zh-CN"/>
        </w:rPr>
        <w:t>14.38A</w:t>
      </w:r>
      <w:r>
        <w:rPr>
          <w:lang w:eastAsia="zh-CN"/>
        </w:rPr>
        <w:t>条规定上市发行人如进行主要交易，必须安排刊发通函送交股东及联交所。</w:t>
      </w:r>
    </w:p>
    <w:p w:rsidR="00121FA2" w:rsidRDefault="000E687E">
      <w:pPr>
        <w:pStyle w:val="Compact"/>
        <w:numPr>
          <w:ilvl w:val="0"/>
          <w:numId w:val="5"/>
        </w:numPr>
        <w:rPr>
          <w:lang w:eastAsia="zh-CN"/>
        </w:rPr>
      </w:pPr>
      <w:r>
        <w:rPr>
          <w:lang w:eastAsia="zh-CN"/>
        </w:rPr>
        <w:t>联交所《上市规</w:t>
      </w:r>
      <w:r>
        <w:rPr>
          <w:lang w:eastAsia="zh-CN"/>
        </w:rPr>
        <w:t>则》第</w:t>
      </w:r>
      <w:r>
        <w:rPr>
          <w:lang w:eastAsia="zh-CN"/>
        </w:rPr>
        <w:t>14.40</w:t>
      </w:r>
      <w:r>
        <w:rPr>
          <w:lang w:eastAsia="zh-CN"/>
        </w:rPr>
        <w:t>条规定如属主要交易必须获股东批准后方可进行。</w:t>
      </w:r>
    </w:p>
    <w:p w:rsidR="00121FA2" w:rsidRDefault="000E687E">
      <w:pPr>
        <w:pStyle w:val="FirstParagraph"/>
        <w:rPr>
          <w:lang w:eastAsia="zh-CN"/>
        </w:rPr>
      </w:pPr>
      <w:r>
        <w:rPr>
          <w:lang w:eastAsia="zh-CN"/>
        </w:rPr>
        <w:t>陈违反董事职责及董事承诺</w:t>
      </w:r>
    </w:p>
    <w:p w:rsidR="00121FA2" w:rsidRDefault="000E687E">
      <w:pPr>
        <w:pStyle w:val="BodyText"/>
        <w:rPr>
          <w:lang w:eastAsia="zh-CN"/>
        </w:rPr>
      </w:pPr>
      <w:r>
        <w:rPr>
          <w:lang w:eastAsia="zh-CN"/>
        </w:rPr>
        <w:t>陈传进先生就以下事项违反《上市规则》第</w:t>
      </w:r>
      <w:r>
        <w:rPr>
          <w:lang w:eastAsia="zh-CN"/>
        </w:rPr>
        <w:t>3.08</w:t>
      </w:r>
      <w:r>
        <w:rPr>
          <w:lang w:eastAsia="zh-CN"/>
        </w:rPr>
        <w:t>条规定的董事责任及其《董事承诺》：</w:t>
      </w:r>
    </w:p>
    <w:p w:rsidR="00121FA2" w:rsidRDefault="000E687E">
      <w:pPr>
        <w:pStyle w:val="Compact"/>
        <w:numPr>
          <w:ilvl w:val="0"/>
          <w:numId w:val="6"/>
        </w:numPr>
        <w:rPr>
          <w:lang w:eastAsia="zh-CN"/>
        </w:rPr>
      </w:pPr>
      <w:r>
        <w:rPr>
          <w:lang w:eastAsia="zh-CN"/>
        </w:rPr>
        <w:t>尽管陈传进先生陈知悉贷款协议及质押合同，但他未有向天成国际汇报贷款协议及质押合同及采取措施促使该公司遵守《上市规则》。他的解释（指在重要时间因私人理由而没有向该公司汇报该等事项）不能作为其回避董事职务的正当理由。他是天成国际的主席兼执行董事，同时也是附属公司的主席兼法律代表，其违规行为也就更见严重。其重大失误导致该公司延迟发现贷款协议、质押</w:t>
      </w:r>
      <w:r>
        <w:rPr>
          <w:lang w:eastAsia="zh-CN"/>
        </w:rPr>
        <w:t>合同、即时汇款及据称认购；</w:t>
      </w:r>
    </w:p>
    <w:p w:rsidR="00121FA2" w:rsidRDefault="000E687E">
      <w:pPr>
        <w:pStyle w:val="Compact"/>
        <w:numPr>
          <w:ilvl w:val="0"/>
          <w:numId w:val="6"/>
        </w:numPr>
        <w:rPr>
          <w:lang w:eastAsia="zh-CN"/>
        </w:rPr>
      </w:pPr>
      <w:r>
        <w:rPr>
          <w:lang w:eastAsia="zh-CN"/>
        </w:rPr>
        <w:t>他亦未能保护天成国际的资产，特别是质押合同项下被抵押的存款；及</w:t>
      </w:r>
    </w:p>
    <w:p w:rsidR="00121FA2" w:rsidRDefault="000E687E">
      <w:pPr>
        <w:pStyle w:val="Compact"/>
        <w:numPr>
          <w:ilvl w:val="0"/>
          <w:numId w:val="6"/>
        </w:numPr>
        <w:rPr>
          <w:lang w:eastAsia="zh-CN"/>
        </w:rPr>
      </w:pPr>
      <w:r>
        <w:rPr>
          <w:lang w:eastAsia="zh-CN"/>
        </w:rPr>
        <w:t>他亦未有配合联交所的调查；</w:t>
      </w:r>
    </w:p>
    <w:p w:rsidR="00121FA2" w:rsidRDefault="000E687E">
      <w:pPr>
        <w:pStyle w:val="FirstParagraph"/>
        <w:rPr>
          <w:lang w:eastAsia="zh-CN"/>
        </w:rPr>
      </w:pPr>
      <w:r>
        <w:rPr>
          <w:lang w:eastAsia="zh-CN"/>
        </w:rPr>
        <w:t>联交所还指出他未能履行《上市规则》所述职责的性质为之严重及／或重覆。</w:t>
      </w:r>
    </w:p>
    <w:p w:rsidR="00121FA2" w:rsidRDefault="000E687E">
      <w:pPr>
        <w:pStyle w:val="BodyText"/>
        <w:rPr>
          <w:lang w:eastAsia="zh-CN"/>
        </w:rPr>
      </w:pPr>
      <w:r>
        <w:rPr>
          <w:lang w:eastAsia="zh-CN"/>
        </w:rPr>
        <w:t>天成国际从联交所除牌</w:t>
      </w:r>
    </w:p>
    <w:p w:rsidR="00121FA2" w:rsidRDefault="000E687E">
      <w:pPr>
        <w:pStyle w:val="BodyText"/>
        <w:rPr>
          <w:lang w:eastAsia="zh-CN"/>
        </w:rPr>
      </w:pPr>
      <w:r>
        <w:rPr>
          <w:lang w:eastAsia="zh-CN"/>
        </w:rPr>
        <w:t>天成国际暂停买卖是由于上述法证审阅，导致该公司迟至致令该公司延迟公布</w:t>
      </w:r>
      <w:r>
        <w:rPr>
          <w:lang w:eastAsia="zh-CN"/>
        </w:rPr>
        <w:t>2020</w:t>
      </w:r>
      <w:r>
        <w:rPr>
          <w:lang w:eastAsia="zh-CN"/>
        </w:rPr>
        <w:t>年度的业绩。</w:t>
      </w:r>
    </w:p>
    <w:p w:rsidR="00121FA2" w:rsidRDefault="000E687E">
      <w:pPr>
        <w:pStyle w:val="BodyText"/>
        <w:rPr>
          <w:lang w:eastAsia="zh-CN"/>
        </w:rPr>
      </w:pPr>
      <w:r>
        <w:rPr>
          <w:lang w:eastAsia="zh-CN"/>
        </w:rPr>
        <w:t>2022</w:t>
      </w:r>
      <w:r>
        <w:rPr>
          <w:lang w:eastAsia="zh-CN"/>
        </w:rPr>
        <w:t>年</w:t>
      </w:r>
      <w:r>
        <w:rPr>
          <w:lang w:eastAsia="zh-CN"/>
        </w:rPr>
        <w:t>5</w:t>
      </w:r>
      <w:r>
        <w:rPr>
          <w:lang w:eastAsia="zh-CN"/>
        </w:rPr>
        <w:t>月，天成国际的上市地位被撤消。在取消上市地位时，该公司尚未能履行联交所规定的所有复牌指引，包括但不限于该公司未能完成对质押合同、贷款协议、据称认购及其他重大而未经授权财务资助的调查。</w:t>
      </w:r>
    </w:p>
    <w:p w:rsidR="00121FA2" w:rsidRDefault="000E687E">
      <w:pPr>
        <w:pStyle w:val="BodyText"/>
        <w:rPr>
          <w:lang w:eastAsia="zh-CN"/>
        </w:rPr>
      </w:pPr>
      <w:r>
        <w:rPr>
          <w:lang w:eastAsia="zh-CN"/>
        </w:rPr>
        <w:t>联交所的纪律行动声明已载于香港联交所网站，点击</w:t>
      </w:r>
      <w:hyperlink r:id="rId9">
        <w:r>
          <w:rPr>
            <w:lang w:eastAsia="zh-CN"/>
          </w:rPr>
          <w:t>此处</w:t>
        </w:r>
      </w:hyperlink>
      <w:r>
        <w:rPr>
          <w:lang w:eastAsia="zh-CN"/>
        </w:rPr>
        <w:t>。</w:t>
      </w:r>
    </w:p>
    <w:p w:rsidR="00121FA2" w:rsidRDefault="000E687E">
      <w:pPr>
        <w:pStyle w:val="BodyText"/>
        <w:rPr>
          <w:lang w:eastAsia="zh-CN"/>
        </w:rPr>
      </w:pPr>
      <w:r>
        <w:rPr>
          <w:lang w:eastAsia="zh-CN"/>
        </w:rPr>
        <w:t>联交所对中生北控生物科技股份有限公司的两名前董事的纪律行动</w:t>
      </w:r>
    </w:p>
    <w:p w:rsidR="00121FA2" w:rsidRDefault="000E687E">
      <w:pPr>
        <w:pStyle w:val="BodyText"/>
        <w:rPr>
          <w:lang w:eastAsia="zh-CN"/>
        </w:rPr>
      </w:pPr>
      <w:r>
        <w:rPr>
          <w:lang w:eastAsia="zh-CN"/>
        </w:rPr>
        <w:t>2022</w:t>
      </w:r>
      <w:r>
        <w:rPr>
          <w:lang w:eastAsia="zh-CN"/>
        </w:rPr>
        <w:t>年</w:t>
      </w:r>
      <w:r>
        <w:rPr>
          <w:lang w:eastAsia="zh-CN"/>
        </w:rPr>
        <w:t>10</w:t>
      </w:r>
      <w:r>
        <w:rPr>
          <w:lang w:eastAsia="zh-CN"/>
        </w:rPr>
        <w:t>月</w:t>
      </w:r>
      <w:r>
        <w:rPr>
          <w:lang w:eastAsia="zh-CN"/>
        </w:rPr>
        <w:t>24</w:t>
      </w:r>
      <w:r>
        <w:rPr>
          <w:lang w:eastAsia="zh-CN"/>
        </w:rPr>
        <w:t>日，香港联交所对中生北控生物科技股份有限公司（</w:t>
      </w:r>
      <w:r>
        <w:rPr>
          <w:b/>
          <w:lang w:eastAsia="zh-CN"/>
        </w:rPr>
        <w:t>中生北</w:t>
      </w:r>
      <w:r>
        <w:rPr>
          <w:b/>
          <w:lang w:eastAsia="zh-CN"/>
        </w:rPr>
        <w:t>控</w:t>
      </w:r>
      <w:r>
        <w:rPr>
          <w:lang w:eastAsia="zh-CN"/>
        </w:rPr>
        <w:t>）前副主席兼执行董事陈锦添先生及前执行董事陈建华先生（</w:t>
      </w:r>
      <w:r>
        <w:rPr>
          <w:b/>
          <w:lang w:eastAsia="zh-CN"/>
        </w:rPr>
        <w:t>合称董事</w:t>
      </w:r>
      <w:r>
        <w:rPr>
          <w:lang w:eastAsia="zh-CN"/>
        </w:rPr>
        <w:t>）发出公开谴责及发出</w:t>
      </w:r>
      <w:r>
        <w:rPr>
          <w:lang w:eastAsia="zh-CN"/>
        </w:rPr>
        <w:t>“</w:t>
      </w:r>
      <w:r>
        <w:rPr>
          <w:lang w:eastAsia="zh-CN"/>
        </w:rPr>
        <w:t>董事不适合声明</w:t>
      </w:r>
      <w:r>
        <w:rPr>
          <w:lang w:eastAsia="zh-CN"/>
        </w:rPr>
        <w:t>”</w:t>
      </w:r>
      <w:r>
        <w:rPr>
          <w:lang w:eastAsia="zh-CN"/>
        </w:rPr>
        <w:t>。</w:t>
      </w:r>
    </w:p>
    <w:p w:rsidR="00121FA2" w:rsidRDefault="000E687E">
      <w:pPr>
        <w:pStyle w:val="BodyText"/>
        <w:rPr>
          <w:lang w:eastAsia="zh-CN"/>
        </w:rPr>
      </w:pPr>
      <w:r>
        <w:rPr>
          <w:lang w:eastAsia="zh-CN"/>
        </w:rPr>
        <w:t>纪律行动提醒各位董事，即使已辞任董事，亦有责任配合联交所的调查。</w:t>
      </w:r>
    </w:p>
    <w:p w:rsidR="00121FA2" w:rsidRDefault="000E687E">
      <w:pPr>
        <w:pStyle w:val="BodyText"/>
        <w:rPr>
          <w:lang w:eastAsia="zh-CN"/>
        </w:rPr>
      </w:pPr>
      <w:r>
        <w:rPr>
          <w:lang w:eastAsia="zh-CN"/>
        </w:rPr>
        <w:t>香港联交所就董事是否违反《</w:t>
      </w:r>
      <w:r>
        <w:rPr>
          <w:lang w:eastAsia="zh-CN"/>
        </w:rPr>
        <w:t>GEM</w:t>
      </w:r>
      <w:r>
        <w:rPr>
          <w:lang w:eastAsia="zh-CN"/>
        </w:rPr>
        <w:t>上市规则》的事件展开调查（</w:t>
      </w:r>
      <w:r>
        <w:rPr>
          <w:b/>
          <w:lang w:eastAsia="zh-CN"/>
        </w:rPr>
        <w:t>调查</w:t>
      </w:r>
      <w:r>
        <w:rPr>
          <w:lang w:eastAsia="zh-CN"/>
        </w:rPr>
        <w:t>）。为了进行调查，联交所透过其通讯地址及电邮向相关董事发出了若干调查函及跟进函，。但联交所没有收到任一董事的回覆。</w:t>
      </w:r>
    </w:p>
    <w:p w:rsidR="00121FA2" w:rsidRDefault="000E687E">
      <w:pPr>
        <w:pStyle w:val="BodyText"/>
        <w:rPr>
          <w:lang w:eastAsia="zh-CN"/>
        </w:rPr>
      </w:pPr>
      <w:r>
        <w:rPr>
          <w:lang w:eastAsia="zh-CN"/>
        </w:rPr>
        <w:t>随后，两名董事于</w:t>
      </w:r>
      <w:r>
        <w:rPr>
          <w:lang w:eastAsia="zh-CN"/>
        </w:rPr>
        <w:t>2022</w:t>
      </w:r>
      <w:r>
        <w:rPr>
          <w:lang w:eastAsia="zh-CN"/>
        </w:rPr>
        <w:t>年</w:t>
      </w:r>
      <w:r>
        <w:rPr>
          <w:lang w:eastAsia="zh-CN"/>
        </w:rPr>
        <w:t>2</w:t>
      </w:r>
      <w:r>
        <w:rPr>
          <w:lang w:eastAsia="zh-CN"/>
        </w:rPr>
        <w:t>月</w:t>
      </w:r>
      <w:r>
        <w:rPr>
          <w:lang w:eastAsia="zh-CN"/>
        </w:rPr>
        <w:t>25</w:t>
      </w:r>
      <w:r>
        <w:rPr>
          <w:lang w:eastAsia="zh-CN"/>
        </w:rPr>
        <w:t>日被列入「要求协助」名单（</w:t>
      </w:r>
      <w:r>
        <w:rPr>
          <w:b/>
          <w:lang w:eastAsia="zh-CN"/>
        </w:rPr>
        <w:t>要求协助名单</w:t>
      </w:r>
      <w:r>
        <w:rPr>
          <w:lang w:eastAsia="zh-CN"/>
        </w:rPr>
        <w:t>），要求董事及有董事信息的人士尽快与联交所联络。董事或其他人士未对「要求协助」名单作出回应。</w:t>
      </w:r>
    </w:p>
    <w:p w:rsidR="00121FA2" w:rsidRDefault="000E687E">
      <w:pPr>
        <w:pStyle w:val="BodyText"/>
        <w:rPr>
          <w:lang w:eastAsia="zh-CN"/>
        </w:rPr>
      </w:pPr>
      <w:r>
        <w:rPr>
          <w:lang w:eastAsia="zh-CN"/>
        </w:rPr>
        <w:t>董事未能就调查与联交所合作，被认定为违反其董事承诺及《</w:t>
      </w:r>
      <w:r>
        <w:rPr>
          <w:lang w:eastAsia="zh-CN"/>
        </w:rPr>
        <w:t xml:space="preserve">GEM </w:t>
      </w:r>
      <w:r>
        <w:rPr>
          <w:lang w:eastAsia="zh-CN"/>
        </w:rPr>
        <w:t>上市规则》。根据董事《承诺》条款，董事有责任（除其他外）：</w:t>
      </w:r>
    </w:p>
    <w:p w:rsidR="00121FA2" w:rsidRDefault="000E687E">
      <w:pPr>
        <w:pStyle w:val="Compact"/>
        <w:numPr>
          <w:ilvl w:val="0"/>
          <w:numId w:val="7"/>
        </w:numPr>
        <w:rPr>
          <w:lang w:eastAsia="zh-CN"/>
        </w:rPr>
      </w:pPr>
      <w:r>
        <w:rPr>
          <w:lang w:eastAsia="zh-CN"/>
        </w:rPr>
        <w:t>配合联交所上市科或上市委员会展开的任何调查；</w:t>
      </w:r>
    </w:p>
    <w:p w:rsidR="00121FA2" w:rsidRDefault="000E687E">
      <w:pPr>
        <w:pStyle w:val="Compact"/>
        <w:numPr>
          <w:ilvl w:val="0"/>
          <w:numId w:val="7"/>
        </w:numPr>
        <w:rPr>
          <w:lang w:eastAsia="zh-CN"/>
        </w:rPr>
      </w:pPr>
      <w:r>
        <w:rPr>
          <w:lang w:eastAsia="zh-CN"/>
        </w:rPr>
        <w:t>及时及坦白地回答向他们提出的任何问题；及</w:t>
      </w:r>
    </w:p>
    <w:p w:rsidR="00121FA2" w:rsidRDefault="000E687E">
      <w:pPr>
        <w:pStyle w:val="Compact"/>
        <w:numPr>
          <w:ilvl w:val="0"/>
          <w:numId w:val="7"/>
        </w:numPr>
        <w:rPr>
          <w:lang w:eastAsia="zh-CN"/>
        </w:rPr>
      </w:pPr>
      <w:r>
        <w:rPr>
          <w:lang w:eastAsia="zh-CN"/>
        </w:rPr>
        <w:t>不再出任该公司董事的日期起计三年内继续向联交所提供最新的联络资料。</w:t>
      </w:r>
    </w:p>
    <w:p w:rsidR="00121FA2" w:rsidRDefault="000E687E">
      <w:pPr>
        <w:pStyle w:val="FirstParagraph"/>
        <w:rPr>
          <w:lang w:eastAsia="zh-CN"/>
        </w:rPr>
      </w:pPr>
      <w:r>
        <w:rPr>
          <w:lang w:eastAsia="zh-CN"/>
        </w:rPr>
        <w:t>即使相关董事已辞任上市公司董事，此等责任并不失效。</w:t>
      </w:r>
    </w:p>
    <w:p w:rsidR="00121FA2" w:rsidRDefault="000E687E">
      <w:pPr>
        <w:pStyle w:val="BodyText"/>
        <w:rPr>
          <w:lang w:eastAsia="zh-CN"/>
        </w:rPr>
      </w:pPr>
      <w:r>
        <w:rPr>
          <w:lang w:eastAsia="zh-CN"/>
        </w:rPr>
        <w:t>联交所亦强调，董事严重违反其《承诺》。</w:t>
      </w:r>
    </w:p>
    <w:p w:rsidR="00121FA2" w:rsidRDefault="000E687E">
      <w:pPr>
        <w:pStyle w:val="BodyText"/>
        <w:rPr>
          <w:lang w:eastAsia="zh-CN"/>
        </w:rPr>
      </w:pPr>
      <w:r>
        <w:rPr>
          <w:lang w:eastAsia="zh-CN"/>
        </w:rPr>
        <w:t>联交所的纪律行动声明已载于香港联交所网站，点击</w:t>
      </w:r>
      <w:hyperlink r:id="rId10">
        <w:r>
          <w:rPr>
            <w:lang w:eastAsia="zh-CN"/>
          </w:rPr>
          <w:t>此处</w:t>
        </w:r>
      </w:hyperlink>
      <w:r>
        <w:rPr>
          <w:lang w:eastAsia="zh-CN"/>
        </w:rPr>
        <w:t>。</w:t>
      </w:r>
    </w:p>
    <w:p w:rsidR="00121FA2" w:rsidRDefault="000E687E" w:rsidP="000E687E">
      <w:pPr>
        <w:pStyle w:val="BodyText"/>
        <w:jc w:val="left"/>
      </w:pPr>
      <w:r>
        <w:lastRenderedPageBreak/>
        <w:t xml:space="preserve">Asia Research &amp; Capital Management         </w:t>
      </w:r>
      <w:r>
        <w:t>Limited</w:t>
      </w:r>
      <w:r>
        <w:t>遭证监会谴责和罚款</w:t>
      </w:r>
      <w:r>
        <w:t>175</w:t>
      </w:r>
      <w:r>
        <w:t>万元并禁止其前高层人员黄严赐重投业界两个月</w:t>
      </w:r>
    </w:p>
    <w:p w:rsidR="00121FA2" w:rsidRDefault="000E687E" w:rsidP="000E687E">
      <w:pPr>
        <w:pStyle w:val="BodyText"/>
        <w:jc w:val="left"/>
        <w:rPr>
          <w:lang w:eastAsia="zh-CN"/>
        </w:rPr>
      </w:pPr>
      <w:r>
        <w:t>2022</w:t>
      </w:r>
      <w:r>
        <w:t>年</w:t>
      </w:r>
      <w:r>
        <w:t>10</w:t>
      </w:r>
      <w:r>
        <w:t>月</w:t>
      </w:r>
      <w:r>
        <w:t>31</w:t>
      </w:r>
      <w:r>
        <w:t>日，</w:t>
      </w:r>
      <w:r>
        <w:t>As</w:t>
      </w:r>
      <w:r>
        <w:t>ia Research &amp; Capital Management Limited</w:t>
      </w:r>
      <w:r>
        <w:t>（</w:t>
      </w:r>
      <w:r>
        <w:rPr>
          <w:b/>
        </w:rPr>
        <w:t>ARCM</w:t>
      </w:r>
      <w:r>
        <w:t>，第</w:t>
      </w:r>
      <w:r>
        <w:t>9</w:t>
      </w:r>
      <w:r>
        <w:t>类持牌法团）遭证监会谴责和罚款</w:t>
      </w:r>
      <w:r>
        <w:t>175</w:t>
      </w:r>
      <w:r>
        <w:t>万元，该公司违反欧洲联盟的卖空申报规定（</w:t>
      </w:r>
      <w:r>
        <w:rPr>
          <w:b/>
        </w:rPr>
        <w:t>欧盟规例</w:t>
      </w:r>
      <w:r>
        <w:t>）及没有将其严重地违反监管规定一事立即通知证监会。</w:t>
      </w:r>
      <w:r>
        <w:rPr>
          <w:lang w:eastAsia="zh-CN"/>
        </w:rPr>
        <w:t>ARCM</w:t>
      </w:r>
      <w:r>
        <w:rPr>
          <w:lang w:eastAsia="zh-CN"/>
        </w:rPr>
        <w:t>前合规及营运主管兼负责合规的核心职能主管黄严赐（</w:t>
      </w:r>
      <w:r>
        <w:rPr>
          <w:b/>
          <w:lang w:eastAsia="zh-CN"/>
        </w:rPr>
        <w:t>黄先生</w:t>
      </w:r>
      <w:r>
        <w:rPr>
          <w:lang w:eastAsia="zh-CN"/>
        </w:rPr>
        <w:t>）被禁止重投业界两个月。</w:t>
      </w:r>
    </w:p>
    <w:p w:rsidR="00121FA2" w:rsidRDefault="000E687E" w:rsidP="000E687E">
      <w:pPr>
        <w:pStyle w:val="BodyText"/>
        <w:jc w:val="left"/>
        <w:rPr>
          <w:lang w:eastAsia="zh-CN"/>
        </w:rPr>
      </w:pPr>
      <w:r>
        <w:rPr>
          <w:lang w:eastAsia="zh-CN"/>
        </w:rPr>
        <w:t>在发出谴责和罚款之前，</w:t>
      </w:r>
      <w:r>
        <w:rPr>
          <w:lang w:eastAsia="zh-CN"/>
        </w:rPr>
        <w:t>2020</w:t>
      </w:r>
      <w:r>
        <w:rPr>
          <w:lang w:eastAsia="zh-CN"/>
        </w:rPr>
        <w:t>年</w:t>
      </w:r>
      <w:r>
        <w:rPr>
          <w:lang w:eastAsia="zh-CN"/>
        </w:rPr>
        <w:t>10</w:t>
      </w:r>
      <w:r>
        <w:rPr>
          <w:lang w:eastAsia="zh-CN"/>
        </w:rPr>
        <w:t>月采取一项执法行动，指控</w:t>
      </w:r>
      <w:r>
        <w:rPr>
          <w:lang w:eastAsia="zh-CN"/>
        </w:rPr>
        <w:t>ARCM</w:t>
      </w:r>
      <w:r>
        <w:rPr>
          <w:lang w:eastAsia="zh-CN"/>
        </w:rPr>
        <w:t>在</w:t>
      </w:r>
      <w:r>
        <w:rPr>
          <w:lang w:eastAsia="zh-CN"/>
        </w:rPr>
        <w:t>2017</w:t>
      </w:r>
      <w:r>
        <w:rPr>
          <w:lang w:eastAsia="zh-CN"/>
        </w:rPr>
        <w:t>年</w:t>
      </w:r>
      <w:r>
        <w:rPr>
          <w:lang w:eastAsia="zh-CN"/>
        </w:rPr>
        <w:t>2</w:t>
      </w:r>
      <w:r>
        <w:rPr>
          <w:lang w:eastAsia="zh-CN"/>
        </w:rPr>
        <w:t>月至</w:t>
      </w:r>
      <w:r>
        <w:rPr>
          <w:lang w:eastAsia="zh-CN"/>
        </w:rPr>
        <w:t>2019</w:t>
      </w:r>
      <w:r>
        <w:rPr>
          <w:lang w:eastAsia="zh-CN"/>
        </w:rPr>
        <w:t>年</w:t>
      </w:r>
      <w:r>
        <w:rPr>
          <w:lang w:eastAsia="zh-CN"/>
        </w:rPr>
        <w:t>12</w:t>
      </w:r>
      <w:r>
        <w:rPr>
          <w:lang w:eastAsia="zh-CN"/>
        </w:rPr>
        <w:t>月期间违反了欧盟法规。</w:t>
      </w:r>
      <w:r>
        <w:t>在此期间，</w:t>
      </w:r>
      <w:r>
        <w:t>ARCM</w:t>
      </w:r>
      <w:r>
        <w:t>没有就其持有在伦敦证券交易所上市的</w:t>
      </w:r>
      <w:r>
        <w:t>Premier Oi</w:t>
      </w:r>
      <w:r>
        <w:t>l plc</w:t>
      </w:r>
      <w:r>
        <w:t>（</w:t>
      </w:r>
      <w:r>
        <w:rPr>
          <w:b/>
        </w:rPr>
        <w:t xml:space="preserve">Premier </w:t>
      </w:r>
      <w:r>
        <w:rPr>
          <w:b/>
        </w:rPr>
        <w:t>Oil</w:t>
      </w:r>
      <w:r>
        <w:t>）的净淡仓向英国金管局作出合共</w:t>
      </w:r>
      <w:r>
        <w:t>155</w:t>
      </w:r>
      <w:r>
        <w:t>项通知及向公众作出</w:t>
      </w:r>
      <w:r>
        <w:t>153</w:t>
      </w:r>
      <w:r>
        <w:t>项公开披露，因而违反了欧盟规例。</w:t>
      </w:r>
      <w:r>
        <w:rPr>
          <w:lang w:eastAsia="zh-CN"/>
        </w:rPr>
        <w:t>英国金管局（</w:t>
      </w:r>
      <w:r>
        <w:rPr>
          <w:b/>
          <w:lang w:eastAsia="zh-CN"/>
        </w:rPr>
        <w:t>FCA</w:t>
      </w:r>
      <w:r>
        <w:rPr>
          <w:lang w:eastAsia="zh-CN"/>
        </w:rPr>
        <w:t>）为此对</w:t>
      </w:r>
      <w:r>
        <w:rPr>
          <w:lang w:eastAsia="zh-CN"/>
        </w:rPr>
        <w:t>ARCM</w:t>
      </w:r>
      <w:r>
        <w:rPr>
          <w:lang w:eastAsia="zh-CN"/>
        </w:rPr>
        <w:t>处以</w:t>
      </w:r>
      <w:r>
        <w:rPr>
          <w:lang w:eastAsia="zh-CN"/>
        </w:rPr>
        <w:t>873,118</w:t>
      </w:r>
      <w:r>
        <w:rPr>
          <w:lang w:eastAsia="zh-CN"/>
        </w:rPr>
        <w:t>英镑的罚款。</w:t>
      </w:r>
    </w:p>
    <w:p w:rsidR="00121FA2" w:rsidRDefault="000E687E">
      <w:pPr>
        <w:pStyle w:val="BodyText"/>
        <w:rPr>
          <w:lang w:eastAsia="zh-CN"/>
        </w:rPr>
      </w:pPr>
      <w:r>
        <w:rPr>
          <w:lang w:eastAsia="zh-CN"/>
        </w:rPr>
        <w:t>合规缺失及内部监控不足</w:t>
      </w:r>
    </w:p>
    <w:p w:rsidR="00121FA2" w:rsidRDefault="000E687E">
      <w:pPr>
        <w:pStyle w:val="BodyText"/>
        <w:rPr>
          <w:lang w:eastAsia="zh-CN"/>
        </w:rPr>
      </w:pPr>
      <w:r>
        <w:rPr>
          <w:lang w:eastAsia="zh-CN"/>
        </w:rPr>
        <w:t>证监会发现，</w:t>
      </w:r>
      <w:r>
        <w:rPr>
          <w:lang w:eastAsia="zh-CN"/>
        </w:rPr>
        <w:t>ARCM</w:t>
      </w:r>
      <w:r>
        <w:rPr>
          <w:lang w:eastAsia="zh-CN"/>
        </w:rPr>
        <w:t>没有实施充足的措施，以确保欧盟规例获得遵守：</w:t>
      </w:r>
    </w:p>
    <w:p w:rsidR="00121FA2" w:rsidRDefault="000E687E">
      <w:pPr>
        <w:pStyle w:val="Compact"/>
        <w:numPr>
          <w:ilvl w:val="0"/>
          <w:numId w:val="8"/>
        </w:numPr>
        <w:rPr>
          <w:lang w:eastAsia="zh-CN"/>
        </w:rPr>
      </w:pPr>
      <w:r>
        <w:rPr>
          <w:lang w:eastAsia="zh-CN"/>
        </w:rPr>
        <w:t>没有就其合规框架制定任何正式程序，以：</w:t>
      </w:r>
    </w:p>
    <w:p w:rsidR="00121FA2" w:rsidRDefault="000E687E">
      <w:pPr>
        <w:pStyle w:val="Compact"/>
        <w:numPr>
          <w:ilvl w:val="1"/>
          <w:numId w:val="9"/>
        </w:numPr>
        <w:rPr>
          <w:lang w:eastAsia="zh-CN"/>
        </w:rPr>
      </w:pPr>
      <w:r>
        <w:rPr>
          <w:lang w:eastAsia="zh-CN"/>
        </w:rPr>
        <w:t>在新的司法管辖区投资时，要求其员工分析和了解适用的持股和淡仓申报规定；及</w:t>
      </w:r>
    </w:p>
    <w:p w:rsidR="00121FA2" w:rsidRDefault="000E687E">
      <w:pPr>
        <w:pStyle w:val="Compact"/>
        <w:numPr>
          <w:ilvl w:val="1"/>
          <w:numId w:val="9"/>
        </w:numPr>
        <w:rPr>
          <w:lang w:eastAsia="zh-CN"/>
        </w:rPr>
      </w:pPr>
      <w:r>
        <w:rPr>
          <w:lang w:eastAsia="zh-CN"/>
        </w:rPr>
        <w:t>加入额外的监控措施，确保它履行在新的司法管辖区内的该等责任；及</w:t>
      </w:r>
    </w:p>
    <w:p w:rsidR="00121FA2" w:rsidRDefault="000E687E">
      <w:pPr>
        <w:pStyle w:val="Compact"/>
        <w:numPr>
          <w:ilvl w:val="0"/>
          <w:numId w:val="8"/>
        </w:numPr>
        <w:rPr>
          <w:lang w:eastAsia="zh-CN"/>
        </w:rPr>
      </w:pPr>
      <w:r>
        <w:rPr>
          <w:lang w:eastAsia="zh-CN"/>
        </w:rPr>
        <w:t>没有</w:t>
      </w:r>
      <w:r>
        <w:rPr>
          <w:lang w:eastAsia="zh-CN"/>
        </w:rPr>
        <w:t>“</w:t>
      </w:r>
      <w:r>
        <w:rPr>
          <w:lang w:eastAsia="zh-CN"/>
        </w:rPr>
        <w:t>在其合规框架内实施任何系统及监控措施，以监察及</w:t>
      </w:r>
      <w:r>
        <w:rPr>
          <w:lang w:eastAsia="zh-CN"/>
        </w:rPr>
        <w:t>确保其投资组合在欧盟市场内的持仓履行欧盟规例下的申报责任</w:t>
      </w:r>
      <w:r>
        <w:rPr>
          <w:lang w:eastAsia="zh-CN"/>
        </w:rPr>
        <w:t>”</w:t>
      </w:r>
      <w:r>
        <w:rPr>
          <w:lang w:eastAsia="zh-CN"/>
        </w:rPr>
        <w:t>。</w:t>
      </w:r>
    </w:p>
    <w:p w:rsidR="00121FA2" w:rsidRDefault="000E687E">
      <w:pPr>
        <w:pStyle w:val="FirstParagraph"/>
        <w:rPr>
          <w:lang w:eastAsia="zh-CN"/>
        </w:rPr>
      </w:pPr>
      <w:r>
        <w:rPr>
          <w:lang w:eastAsia="zh-CN"/>
        </w:rPr>
        <w:t>证监会亦发现，尽管ARCM</w:t>
      </w:r>
      <w:r>
        <w:rPr>
          <w:lang w:eastAsia="zh-CN"/>
        </w:rPr>
        <w:t xml:space="preserve">并不熟悉欧盟市场，但它在订立掉期交易和建立Premier </w:t>
      </w:r>
      <w:bookmarkStart w:id="0" w:name="_GoBack"/>
      <w:bookmarkEnd w:id="0"/>
      <w:r>
        <w:rPr>
          <w:lang w:eastAsia="zh-CN"/>
        </w:rPr>
        <w:t xml:space="preserve">Oil </w:t>
      </w:r>
      <w:r>
        <w:rPr>
          <w:lang w:eastAsia="zh-CN"/>
        </w:rPr>
        <w:t>淡仓之前，并没有就欧盟规例下的申报责任征询法律意见。它认为，若</w:t>
      </w:r>
      <w:r>
        <w:rPr>
          <w:lang w:eastAsia="zh-CN"/>
        </w:rPr>
        <w:t>ARCM</w:t>
      </w:r>
      <w:r>
        <w:rPr>
          <w:lang w:eastAsia="zh-CN"/>
        </w:rPr>
        <w:t>曾采取步骤查阅欧盟规例或就此事征询法律意见，而不是依赖了其主要经纪行提供的参考资料，它理应知道欧盟规例下有关透过掉期交易持有的淡仓的申报责任。</w:t>
      </w:r>
    </w:p>
    <w:p w:rsidR="00121FA2" w:rsidRDefault="000E687E">
      <w:pPr>
        <w:pStyle w:val="BodyText"/>
        <w:rPr>
          <w:lang w:eastAsia="zh-CN"/>
        </w:rPr>
      </w:pPr>
      <w:r>
        <w:rPr>
          <w:lang w:eastAsia="zh-CN"/>
        </w:rPr>
        <w:t>ARCM</w:t>
      </w:r>
      <w:r>
        <w:rPr>
          <w:lang w:eastAsia="zh-CN"/>
        </w:rPr>
        <w:t>因此违反了《证券及期货事务监察委员会持牌人或注册人操守准则》（</w:t>
      </w:r>
      <w:r>
        <w:rPr>
          <w:b/>
          <w:lang w:eastAsia="zh-CN"/>
        </w:rPr>
        <w:t>《操守准则》</w:t>
      </w:r>
      <w:r>
        <w:rPr>
          <w:lang w:eastAsia="zh-CN"/>
        </w:rPr>
        <w:t>）第</w:t>
      </w:r>
      <w:r>
        <w:rPr>
          <w:lang w:eastAsia="zh-CN"/>
        </w:rPr>
        <w:t>2</w:t>
      </w:r>
      <w:r>
        <w:rPr>
          <w:lang w:eastAsia="zh-CN"/>
        </w:rPr>
        <w:t>项一般原则（勤勉尽责），当中规定</w:t>
      </w:r>
      <w:r>
        <w:rPr>
          <w:lang w:eastAsia="zh-CN"/>
        </w:rPr>
        <w:t>“</w:t>
      </w:r>
      <w:r>
        <w:rPr>
          <w:lang w:eastAsia="zh-CN"/>
        </w:rPr>
        <w:t>持牌法团应以适当</w:t>
      </w:r>
      <w:r>
        <w:rPr>
          <w:lang w:eastAsia="zh-CN"/>
        </w:rPr>
        <w:t>的技能、小心审慎和勤勉尽责的态度行事，以确保市场廉洁稳健</w:t>
      </w:r>
      <w:r>
        <w:rPr>
          <w:lang w:eastAsia="zh-CN"/>
        </w:rPr>
        <w:t>”</w:t>
      </w:r>
      <w:r>
        <w:rPr>
          <w:lang w:eastAsia="zh-CN"/>
        </w:rPr>
        <w:t>及《操守准则》第</w:t>
      </w:r>
      <w:r>
        <w:rPr>
          <w:lang w:eastAsia="zh-CN"/>
        </w:rPr>
        <w:t>7</w:t>
      </w:r>
      <w:r>
        <w:rPr>
          <w:lang w:eastAsia="zh-CN"/>
        </w:rPr>
        <w:t>项一般原则（遵守法规）及第</w:t>
      </w:r>
      <w:r>
        <w:rPr>
          <w:lang w:eastAsia="zh-CN"/>
        </w:rPr>
        <w:t>12.1</w:t>
      </w:r>
      <w:r>
        <w:rPr>
          <w:lang w:eastAsia="zh-CN"/>
        </w:rPr>
        <w:t>段（合规事宜：概论），当中规定持牌法团应遵守、实施及维持适当的措施，以确保有关的监管规定获得遵守。</w:t>
      </w:r>
    </w:p>
    <w:p w:rsidR="00121FA2" w:rsidRDefault="000E687E">
      <w:pPr>
        <w:pStyle w:val="BodyText"/>
        <w:rPr>
          <w:lang w:eastAsia="zh-CN"/>
        </w:rPr>
      </w:pPr>
      <w:r>
        <w:rPr>
          <w:lang w:eastAsia="zh-CN"/>
        </w:rPr>
        <w:t>延迟将其违反欧盟规例一事通知证监会</w:t>
      </w:r>
    </w:p>
    <w:p w:rsidR="00121FA2" w:rsidRDefault="000E687E">
      <w:pPr>
        <w:pStyle w:val="BodyText"/>
        <w:rPr>
          <w:lang w:eastAsia="zh-CN"/>
        </w:rPr>
      </w:pPr>
      <w:r>
        <w:rPr>
          <w:lang w:eastAsia="zh-CN"/>
        </w:rPr>
        <w:t>证监会发现</w:t>
      </w:r>
      <w:r>
        <w:rPr>
          <w:lang w:eastAsia="zh-CN"/>
        </w:rPr>
        <w:t>ARCM</w:t>
      </w:r>
      <w:r>
        <w:rPr>
          <w:lang w:eastAsia="zh-CN"/>
        </w:rPr>
        <w:t>延迟将其违反欧盟规例一事通知证监会，违反《操守准则》第</w:t>
      </w:r>
      <w:r>
        <w:rPr>
          <w:lang w:eastAsia="zh-CN"/>
        </w:rPr>
        <w:t>12.5</w:t>
      </w:r>
      <w:r>
        <w:rPr>
          <w:lang w:eastAsia="zh-CN"/>
        </w:rPr>
        <w:t>段（向证监会发出通知）规定。</w:t>
      </w:r>
    </w:p>
    <w:p w:rsidR="00121FA2" w:rsidRDefault="000E687E">
      <w:pPr>
        <w:pStyle w:val="BodyText"/>
        <w:rPr>
          <w:lang w:eastAsia="zh-CN"/>
        </w:rPr>
      </w:pPr>
      <w:r>
        <w:rPr>
          <w:lang w:eastAsia="zh-CN"/>
        </w:rPr>
        <w:t>2019</w:t>
      </w:r>
      <w:r>
        <w:rPr>
          <w:lang w:eastAsia="zh-CN"/>
        </w:rPr>
        <w:t>年</w:t>
      </w:r>
      <w:r>
        <w:rPr>
          <w:lang w:eastAsia="zh-CN"/>
        </w:rPr>
        <w:t>11</w:t>
      </w:r>
      <w:r>
        <w:rPr>
          <w:lang w:eastAsia="zh-CN"/>
        </w:rPr>
        <w:t>月，</w:t>
      </w:r>
      <w:r>
        <w:rPr>
          <w:lang w:eastAsia="zh-CN"/>
        </w:rPr>
        <w:t>ARCM</w:t>
      </w:r>
      <w:r>
        <w:rPr>
          <w:lang w:eastAsia="zh-CN"/>
        </w:rPr>
        <w:t>的法律顾问提醒其注意欧盟规例，并意识到其有责任向</w:t>
      </w:r>
      <w:r>
        <w:rPr>
          <w:lang w:eastAsia="zh-CN"/>
        </w:rPr>
        <w:t>FCA</w:t>
      </w:r>
      <w:r>
        <w:rPr>
          <w:lang w:eastAsia="zh-CN"/>
        </w:rPr>
        <w:t>进行披露。随后他将焦点放在拟备须向英国金管局送交的补救申报文件和确保有关数据的准确度。</w:t>
      </w:r>
      <w:r>
        <w:rPr>
          <w:lang w:eastAsia="zh-CN"/>
        </w:rPr>
        <w:t>ARCM</w:t>
      </w:r>
      <w:r>
        <w:rPr>
          <w:lang w:eastAsia="zh-CN"/>
        </w:rPr>
        <w:t>分别在</w:t>
      </w:r>
      <w:r>
        <w:rPr>
          <w:lang w:eastAsia="zh-CN"/>
        </w:rPr>
        <w:t>2019</w:t>
      </w:r>
      <w:r>
        <w:rPr>
          <w:lang w:eastAsia="zh-CN"/>
        </w:rPr>
        <w:t>年</w:t>
      </w:r>
      <w:r>
        <w:rPr>
          <w:lang w:eastAsia="zh-CN"/>
        </w:rPr>
        <w:t>11</w:t>
      </w:r>
      <w:r>
        <w:rPr>
          <w:lang w:eastAsia="zh-CN"/>
        </w:rPr>
        <w:t>月下旬将违规事项通知了英国金管局，并在</w:t>
      </w:r>
      <w:r>
        <w:rPr>
          <w:lang w:eastAsia="zh-CN"/>
        </w:rPr>
        <w:t>2019</w:t>
      </w:r>
      <w:r>
        <w:rPr>
          <w:lang w:eastAsia="zh-CN"/>
        </w:rPr>
        <w:t>年</w:t>
      </w:r>
      <w:r>
        <w:rPr>
          <w:lang w:eastAsia="zh-CN"/>
        </w:rPr>
        <w:t>12</w:t>
      </w:r>
      <w:r>
        <w:rPr>
          <w:lang w:eastAsia="zh-CN"/>
        </w:rPr>
        <w:t>初呈交了补救申报文件。然而，于</w:t>
      </w:r>
      <w:r>
        <w:rPr>
          <w:lang w:eastAsia="zh-CN"/>
        </w:rPr>
        <w:t xml:space="preserve">2020 </w:t>
      </w:r>
      <w:r>
        <w:rPr>
          <w:lang w:eastAsia="zh-CN"/>
        </w:rPr>
        <w:t>年</w:t>
      </w:r>
      <w:r>
        <w:rPr>
          <w:lang w:eastAsia="zh-CN"/>
        </w:rPr>
        <w:t>1</w:t>
      </w:r>
      <w:r>
        <w:rPr>
          <w:lang w:eastAsia="zh-CN"/>
        </w:rPr>
        <w:t>月</w:t>
      </w:r>
      <w:r>
        <w:rPr>
          <w:lang w:eastAsia="zh-CN"/>
        </w:rPr>
        <w:t>16</w:t>
      </w:r>
      <w:r>
        <w:rPr>
          <w:lang w:eastAsia="zh-CN"/>
        </w:rPr>
        <w:t>日才将其违反欧盟规例一事通知证监会，及在翌日呈交书面通知。</w:t>
      </w:r>
    </w:p>
    <w:p w:rsidR="00121FA2" w:rsidRDefault="000E687E">
      <w:pPr>
        <w:pStyle w:val="BodyText"/>
        <w:rPr>
          <w:lang w:eastAsia="zh-CN"/>
        </w:rPr>
      </w:pPr>
      <w:r>
        <w:rPr>
          <w:lang w:eastAsia="zh-CN"/>
        </w:rPr>
        <w:t>黄的行为违反证监会《操守准则》</w:t>
      </w:r>
    </w:p>
    <w:p w:rsidR="00121FA2" w:rsidRDefault="000E687E">
      <w:pPr>
        <w:pStyle w:val="BodyText"/>
        <w:rPr>
          <w:lang w:eastAsia="zh-CN"/>
        </w:rPr>
      </w:pPr>
      <w:r>
        <w:rPr>
          <w:lang w:eastAsia="zh-CN"/>
        </w:rPr>
        <w:t>黄在相关期间担任</w:t>
      </w:r>
      <w:r>
        <w:rPr>
          <w:lang w:eastAsia="zh-CN"/>
        </w:rPr>
        <w:t>ARCM</w:t>
      </w:r>
      <w:r>
        <w:rPr>
          <w:lang w:eastAsia="zh-CN"/>
        </w:rPr>
        <w:t>的合规及营运主管、担任负责合规的核心职能主管和高级管理层成员。他被发现在履行职责时有疏忽，特别是，黄</w:t>
      </w:r>
      <w:r>
        <w:rPr>
          <w:lang w:eastAsia="zh-CN"/>
        </w:rPr>
        <w:t>没有：</w:t>
      </w:r>
    </w:p>
    <w:p w:rsidR="00121FA2" w:rsidRDefault="000E687E">
      <w:pPr>
        <w:pStyle w:val="Compact"/>
        <w:numPr>
          <w:ilvl w:val="0"/>
          <w:numId w:val="10"/>
        </w:numPr>
        <w:rPr>
          <w:lang w:eastAsia="zh-CN"/>
        </w:rPr>
      </w:pPr>
      <w:r>
        <w:rPr>
          <w:lang w:eastAsia="zh-CN"/>
        </w:rPr>
        <w:t>实施充足的系统和监控措施，以确保</w:t>
      </w:r>
      <w:r>
        <w:rPr>
          <w:lang w:eastAsia="zh-CN"/>
        </w:rPr>
        <w:t>ARCM</w:t>
      </w:r>
      <w:r>
        <w:rPr>
          <w:lang w:eastAsia="zh-CN"/>
        </w:rPr>
        <w:t>符合欧盟规例；及</w:t>
      </w:r>
    </w:p>
    <w:p w:rsidR="00121FA2" w:rsidRDefault="000E687E">
      <w:pPr>
        <w:pStyle w:val="Compact"/>
        <w:numPr>
          <w:ilvl w:val="0"/>
          <w:numId w:val="10"/>
        </w:numPr>
        <w:rPr>
          <w:lang w:eastAsia="zh-CN"/>
        </w:rPr>
      </w:pPr>
      <w:r>
        <w:rPr>
          <w:lang w:eastAsia="zh-CN"/>
        </w:rPr>
        <w:t>就</w:t>
      </w:r>
      <w:r>
        <w:rPr>
          <w:lang w:eastAsia="zh-CN"/>
        </w:rPr>
        <w:t>ARCM</w:t>
      </w:r>
      <w:r>
        <w:rPr>
          <w:lang w:eastAsia="zh-CN"/>
        </w:rPr>
        <w:t>持有的</w:t>
      </w:r>
      <w:r>
        <w:rPr>
          <w:lang w:eastAsia="zh-CN"/>
        </w:rPr>
        <w:t>Premier Oil</w:t>
      </w:r>
      <w:r>
        <w:rPr>
          <w:lang w:eastAsia="zh-CN"/>
        </w:rPr>
        <w:t>淡仓的申报责任征询（或指示他的合规及营运团队去征询）法律意见，即使</w:t>
      </w:r>
      <w:r>
        <w:rPr>
          <w:lang w:eastAsia="zh-CN"/>
        </w:rPr>
        <w:t>ARCM</w:t>
      </w:r>
      <w:r>
        <w:rPr>
          <w:lang w:eastAsia="zh-CN"/>
        </w:rPr>
        <w:t>是在一个新的司法管辖区作出该投资，且黄与他的团队均不熟悉欧盟的申报制度。</w:t>
      </w:r>
    </w:p>
    <w:p w:rsidR="00121FA2" w:rsidRDefault="000E687E">
      <w:pPr>
        <w:pStyle w:val="FirstParagraph"/>
        <w:rPr>
          <w:lang w:eastAsia="zh-CN"/>
        </w:rPr>
      </w:pPr>
      <w:r>
        <w:rPr>
          <w:lang w:eastAsia="zh-CN"/>
        </w:rPr>
        <w:lastRenderedPageBreak/>
        <w:t>黄的行为违反《操守准则》第</w:t>
      </w:r>
      <w:r>
        <w:rPr>
          <w:lang w:eastAsia="zh-CN"/>
        </w:rPr>
        <w:t>9</w:t>
      </w:r>
      <w:r>
        <w:rPr>
          <w:lang w:eastAsia="zh-CN"/>
        </w:rPr>
        <w:t>项一般原则（高级管理层的责任），当中规定持牌法团的高级管理层应承担的首要责任，是确保商号能够维持适当的操守标准及遵守恰当的程序；及《操守准则》第</w:t>
      </w:r>
      <w:r>
        <w:rPr>
          <w:lang w:eastAsia="zh-CN"/>
        </w:rPr>
        <w:t xml:space="preserve"> 14.1</w:t>
      </w:r>
      <w:r>
        <w:rPr>
          <w:lang w:eastAsia="zh-CN"/>
        </w:rPr>
        <w:t>段（高级管理层的责任），当中规定持牌法团的高级管理层应适当地管理与商号的业务有</w:t>
      </w:r>
      <w:r>
        <w:rPr>
          <w:lang w:eastAsia="zh-CN"/>
        </w:rPr>
        <w:t>关的风险。</w:t>
      </w:r>
    </w:p>
    <w:p w:rsidR="00121FA2" w:rsidRDefault="000E687E">
      <w:pPr>
        <w:pStyle w:val="BodyText"/>
        <w:rPr>
          <w:lang w:eastAsia="zh-CN"/>
        </w:rPr>
      </w:pPr>
      <w:r>
        <w:rPr>
          <w:lang w:eastAsia="zh-CN"/>
        </w:rPr>
        <w:t>证监会认为</w:t>
      </w:r>
      <w:r>
        <w:rPr>
          <w:lang w:eastAsia="zh-CN"/>
        </w:rPr>
        <w:t>ARCM</w:t>
      </w:r>
      <w:r>
        <w:rPr>
          <w:lang w:eastAsia="zh-CN"/>
        </w:rPr>
        <w:t>及黄进行受规管活动的适当人选资格已受到质疑。</w:t>
      </w:r>
    </w:p>
    <w:p w:rsidR="00121FA2" w:rsidRDefault="000E687E">
      <w:pPr>
        <w:pStyle w:val="BodyText"/>
        <w:rPr>
          <w:lang w:eastAsia="zh-CN"/>
        </w:rPr>
      </w:pPr>
      <w:r>
        <w:rPr>
          <w:lang w:eastAsia="zh-CN"/>
        </w:rPr>
        <w:t>证监会在作出谴责及对</w:t>
      </w:r>
      <w:r>
        <w:rPr>
          <w:lang w:eastAsia="zh-CN"/>
        </w:rPr>
        <w:t>ARCM</w:t>
      </w:r>
      <w:r>
        <w:rPr>
          <w:lang w:eastAsia="zh-CN"/>
        </w:rPr>
        <w:t>罚款及禁止黄重投业界</w:t>
      </w:r>
      <w:r>
        <w:rPr>
          <w:lang w:eastAsia="zh-CN"/>
        </w:rPr>
        <w:t>2</w:t>
      </w:r>
      <w:r>
        <w:rPr>
          <w:lang w:eastAsia="zh-CN"/>
        </w:rPr>
        <w:t>个月的决定时，已考虑到所有相关情况，包括：</w:t>
      </w:r>
    </w:p>
    <w:p w:rsidR="00121FA2" w:rsidRDefault="000E687E">
      <w:pPr>
        <w:pStyle w:val="Compact"/>
        <w:numPr>
          <w:ilvl w:val="0"/>
          <w:numId w:val="11"/>
        </w:numPr>
        <w:rPr>
          <w:lang w:eastAsia="zh-CN"/>
        </w:rPr>
      </w:pPr>
      <w:r>
        <w:rPr>
          <w:lang w:eastAsia="zh-CN"/>
        </w:rPr>
        <w:t>ARCM</w:t>
      </w:r>
      <w:r>
        <w:rPr>
          <w:lang w:eastAsia="zh-CN"/>
        </w:rPr>
        <w:t>及黄过往并无遭受纪律处分的纪录；</w:t>
      </w:r>
    </w:p>
    <w:p w:rsidR="00121FA2" w:rsidRDefault="000E687E">
      <w:pPr>
        <w:pStyle w:val="Compact"/>
        <w:numPr>
          <w:ilvl w:val="0"/>
          <w:numId w:val="11"/>
        </w:numPr>
        <w:rPr>
          <w:lang w:eastAsia="zh-CN"/>
        </w:rPr>
      </w:pPr>
      <w:r>
        <w:rPr>
          <w:lang w:eastAsia="zh-CN"/>
        </w:rPr>
        <w:t>ARCM</w:t>
      </w:r>
      <w:r>
        <w:rPr>
          <w:lang w:eastAsia="zh-CN"/>
        </w:rPr>
        <w:t>及黄与证监会合作解决其提出的关注事项；</w:t>
      </w:r>
    </w:p>
    <w:p w:rsidR="00121FA2" w:rsidRDefault="000E687E">
      <w:pPr>
        <w:pStyle w:val="Compact"/>
        <w:numPr>
          <w:ilvl w:val="0"/>
          <w:numId w:val="11"/>
        </w:numPr>
        <w:rPr>
          <w:lang w:eastAsia="zh-CN"/>
        </w:rPr>
      </w:pPr>
      <w:r>
        <w:rPr>
          <w:lang w:eastAsia="zh-CN"/>
        </w:rPr>
        <w:t>英国金管局已就</w:t>
      </w:r>
      <w:r>
        <w:rPr>
          <w:lang w:eastAsia="zh-CN"/>
        </w:rPr>
        <w:t>ARCM</w:t>
      </w:r>
      <w:r>
        <w:rPr>
          <w:lang w:eastAsia="zh-CN"/>
        </w:rPr>
        <w:t>违反欧盟规例而对其处以罚款；及</w:t>
      </w:r>
    </w:p>
    <w:p w:rsidR="00121FA2" w:rsidRDefault="000E687E">
      <w:pPr>
        <w:pStyle w:val="Compact"/>
        <w:numPr>
          <w:ilvl w:val="0"/>
          <w:numId w:val="11"/>
        </w:numPr>
        <w:rPr>
          <w:lang w:eastAsia="zh-CN"/>
        </w:rPr>
      </w:pPr>
      <w:r>
        <w:rPr>
          <w:lang w:eastAsia="zh-CN"/>
        </w:rPr>
        <w:t>ARCM</w:t>
      </w:r>
      <w:r>
        <w:rPr>
          <w:lang w:eastAsia="zh-CN"/>
        </w:rPr>
        <w:t>已采取补救行动以加强其内部监控措施，避免再次出现类似的违规事项。</w:t>
      </w:r>
    </w:p>
    <w:p w:rsidR="00121FA2" w:rsidRDefault="000E687E">
      <w:pPr>
        <w:pStyle w:val="FirstParagraph"/>
        <w:rPr>
          <w:lang w:eastAsia="zh-CN"/>
        </w:rPr>
      </w:pPr>
      <w:r>
        <w:rPr>
          <w:lang w:eastAsia="zh-CN"/>
        </w:rPr>
        <w:t>联交所的纪律行动声明已载于香港联交所网站，点击</w:t>
      </w:r>
      <w:hyperlink r:id="rId11">
        <w:r>
          <w:rPr>
            <w:lang w:eastAsia="zh-CN"/>
          </w:rPr>
          <w:t>此处</w:t>
        </w:r>
      </w:hyperlink>
      <w:r>
        <w:rPr>
          <w:lang w:eastAsia="zh-CN"/>
        </w:rPr>
        <w:t>。</w:t>
      </w:r>
    </w:p>
    <w:p w:rsidR="00121FA2" w:rsidRDefault="000E687E">
      <w:pPr>
        <w:pStyle w:val="BodyText"/>
        <w:rPr>
          <w:lang w:eastAsia="zh-CN"/>
        </w:rPr>
      </w:pPr>
      <w:r>
        <w:rPr>
          <w:lang w:eastAsia="zh-CN"/>
        </w:rPr>
        <w:t>证监会禁止唐诗怡重投业界</w:t>
      </w:r>
      <w:r>
        <w:rPr>
          <w:lang w:eastAsia="zh-CN"/>
        </w:rPr>
        <w:t>10</w:t>
      </w:r>
      <w:r>
        <w:rPr>
          <w:lang w:eastAsia="zh-CN"/>
        </w:rPr>
        <w:t>个月</w:t>
      </w:r>
    </w:p>
    <w:p w:rsidR="00121FA2" w:rsidRDefault="000E687E">
      <w:pPr>
        <w:pStyle w:val="BodyText"/>
        <w:rPr>
          <w:lang w:eastAsia="zh-CN"/>
        </w:rPr>
      </w:pPr>
      <w:r>
        <w:rPr>
          <w:lang w:eastAsia="zh-CN"/>
        </w:rPr>
        <w:t>2022</w:t>
      </w:r>
      <w:r>
        <w:rPr>
          <w:lang w:eastAsia="zh-CN"/>
        </w:rPr>
        <w:t>年</w:t>
      </w:r>
      <w:r>
        <w:rPr>
          <w:lang w:eastAsia="zh-CN"/>
        </w:rPr>
        <w:t>10</w:t>
      </w:r>
      <w:r>
        <w:rPr>
          <w:lang w:eastAsia="zh-CN"/>
        </w:rPr>
        <w:t>月</w:t>
      </w:r>
      <w:r>
        <w:rPr>
          <w:lang w:eastAsia="zh-CN"/>
        </w:rPr>
        <w:t>31</w:t>
      </w:r>
      <w:r>
        <w:rPr>
          <w:lang w:eastAsia="zh-CN"/>
        </w:rPr>
        <w:t>日，证监会禁止中国银河国际证券（香港）有限公司及中国银河国际期货（香港）有限公司（统称</w:t>
      </w:r>
      <w:r>
        <w:rPr>
          <w:b/>
          <w:lang w:eastAsia="zh-CN"/>
        </w:rPr>
        <w:t>银河国际</w:t>
      </w:r>
      <w:r>
        <w:rPr>
          <w:lang w:eastAsia="zh-CN"/>
        </w:rPr>
        <w:t>）的第</w:t>
      </w:r>
      <w:r>
        <w:rPr>
          <w:lang w:eastAsia="zh-CN"/>
        </w:rPr>
        <w:t>1</w:t>
      </w:r>
      <w:r>
        <w:rPr>
          <w:lang w:eastAsia="zh-CN"/>
        </w:rPr>
        <w:t>类持牌代表唐诗怡（</w:t>
      </w:r>
      <w:r>
        <w:rPr>
          <w:b/>
          <w:lang w:eastAsia="zh-CN"/>
        </w:rPr>
        <w:t>唐</w:t>
      </w:r>
      <w:r>
        <w:rPr>
          <w:lang w:eastAsia="zh-CN"/>
        </w:rPr>
        <w:t>）重投业界十个月，自</w:t>
      </w:r>
      <w:r>
        <w:rPr>
          <w:lang w:eastAsia="zh-CN"/>
        </w:rPr>
        <w:t>2022</w:t>
      </w:r>
      <w:r>
        <w:rPr>
          <w:lang w:eastAsia="zh-CN"/>
        </w:rPr>
        <w:t>年</w:t>
      </w:r>
      <w:r>
        <w:rPr>
          <w:lang w:eastAsia="zh-CN"/>
        </w:rPr>
        <w:t>10</w:t>
      </w:r>
      <w:r>
        <w:rPr>
          <w:lang w:eastAsia="zh-CN"/>
        </w:rPr>
        <w:t>月</w:t>
      </w:r>
      <w:r>
        <w:rPr>
          <w:lang w:eastAsia="zh-CN"/>
        </w:rPr>
        <w:t>29</w:t>
      </w:r>
      <w:r>
        <w:rPr>
          <w:lang w:eastAsia="zh-CN"/>
        </w:rPr>
        <w:t>日起执行。</w:t>
      </w:r>
    </w:p>
    <w:p w:rsidR="00121FA2" w:rsidRDefault="000E687E">
      <w:pPr>
        <w:pStyle w:val="BodyText"/>
        <w:rPr>
          <w:lang w:eastAsia="zh-CN"/>
        </w:rPr>
      </w:pPr>
      <w:r>
        <w:rPr>
          <w:lang w:eastAsia="zh-CN"/>
        </w:rPr>
        <w:t>证监会发现，唐在</w:t>
      </w:r>
      <w:r>
        <w:rPr>
          <w:lang w:eastAsia="zh-CN"/>
        </w:rPr>
        <w:t>2019</w:t>
      </w:r>
      <w:r>
        <w:rPr>
          <w:lang w:eastAsia="zh-CN"/>
        </w:rPr>
        <w:t>年</w:t>
      </w:r>
      <w:r>
        <w:rPr>
          <w:lang w:eastAsia="zh-CN"/>
        </w:rPr>
        <w:t>7</w:t>
      </w:r>
      <w:r>
        <w:rPr>
          <w:lang w:eastAsia="zh-CN"/>
        </w:rPr>
        <w:t>月至</w:t>
      </w:r>
      <w:r>
        <w:rPr>
          <w:lang w:eastAsia="zh-CN"/>
        </w:rPr>
        <w:t>2021</w:t>
      </w:r>
      <w:r>
        <w:rPr>
          <w:lang w:eastAsia="zh-CN"/>
        </w:rPr>
        <w:t>年</w:t>
      </w:r>
      <w:r>
        <w:rPr>
          <w:lang w:eastAsia="zh-CN"/>
        </w:rPr>
        <w:t>2</w:t>
      </w:r>
      <w:r>
        <w:rPr>
          <w:lang w:eastAsia="zh-CN"/>
        </w:rPr>
        <w:t>月期间，违反了银河国际的员工交易政策：</w:t>
      </w:r>
    </w:p>
    <w:p w:rsidR="00121FA2" w:rsidRDefault="000E687E">
      <w:pPr>
        <w:pStyle w:val="Compact"/>
        <w:numPr>
          <w:ilvl w:val="0"/>
          <w:numId w:val="12"/>
        </w:numPr>
        <w:rPr>
          <w:lang w:eastAsia="zh-CN"/>
        </w:rPr>
      </w:pPr>
      <w:r>
        <w:rPr>
          <w:lang w:eastAsia="zh-CN"/>
        </w:rPr>
        <w:t>唐在未经银河国际批准下，在某家外部经纪行开立并持有两个证券交易帐户，以及在银河国际不知情下以该等帐户进行了</w:t>
      </w:r>
      <w:r>
        <w:rPr>
          <w:lang w:eastAsia="zh-CN"/>
        </w:rPr>
        <w:t>148</w:t>
      </w:r>
      <w:r>
        <w:rPr>
          <w:lang w:eastAsia="zh-CN"/>
        </w:rPr>
        <w:t>项个人交易。根据银河国际的员工交易政策，所有雇员须：</w:t>
      </w:r>
    </w:p>
    <w:p w:rsidR="00121FA2" w:rsidRDefault="000E687E">
      <w:pPr>
        <w:pStyle w:val="Compact"/>
        <w:numPr>
          <w:ilvl w:val="1"/>
          <w:numId w:val="13"/>
        </w:numPr>
        <w:rPr>
          <w:lang w:eastAsia="zh-CN"/>
        </w:rPr>
      </w:pPr>
      <w:r>
        <w:rPr>
          <w:lang w:eastAsia="zh-CN"/>
        </w:rPr>
        <w:t>在其他持牌法团或注册机构开立并持有证券交易帐户及以任何外部帐户进行交易前事先取得银河国际批准；及</w:t>
      </w:r>
    </w:p>
    <w:p w:rsidR="00121FA2" w:rsidRDefault="000E687E">
      <w:pPr>
        <w:pStyle w:val="Compact"/>
        <w:numPr>
          <w:ilvl w:val="1"/>
          <w:numId w:val="13"/>
        </w:numPr>
        <w:rPr>
          <w:lang w:eastAsia="zh-CN"/>
        </w:rPr>
      </w:pPr>
      <w:r>
        <w:rPr>
          <w:lang w:eastAsia="zh-CN"/>
        </w:rPr>
        <w:t>在外部帐户的交易确认及月结单日期起计一个月内，向银河国际提供有关文件的复本。</w:t>
      </w:r>
    </w:p>
    <w:p w:rsidR="00121FA2" w:rsidRDefault="000E687E">
      <w:pPr>
        <w:pStyle w:val="FirstParagraph"/>
        <w:rPr>
          <w:lang w:eastAsia="zh-CN"/>
        </w:rPr>
      </w:pPr>
      <w:r>
        <w:rPr>
          <w:lang w:eastAsia="zh-CN"/>
        </w:rPr>
        <w:t>唐</w:t>
      </w:r>
      <w:r>
        <w:rPr>
          <w:lang w:eastAsia="zh-CN"/>
        </w:rPr>
        <w:t>2020</w:t>
      </w:r>
      <w:r>
        <w:rPr>
          <w:lang w:eastAsia="zh-CN"/>
        </w:rPr>
        <w:t>年</w:t>
      </w:r>
      <w:r>
        <w:rPr>
          <w:lang w:eastAsia="zh-CN"/>
        </w:rPr>
        <w:t>8</w:t>
      </w:r>
      <w:r>
        <w:rPr>
          <w:lang w:eastAsia="zh-CN"/>
        </w:rPr>
        <w:t>月才担任须与客户接洽的前线职位，并不排除有关政策的适用性；</w:t>
      </w:r>
    </w:p>
    <w:p w:rsidR="00121FA2" w:rsidRDefault="000E687E">
      <w:pPr>
        <w:pStyle w:val="Compact"/>
        <w:numPr>
          <w:ilvl w:val="0"/>
          <w:numId w:val="14"/>
        </w:numPr>
        <w:rPr>
          <w:lang w:eastAsia="zh-CN"/>
        </w:rPr>
      </w:pPr>
      <w:r>
        <w:rPr>
          <w:lang w:eastAsia="zh-CN"/>
        </w:rPr>
        <w:t>隐瞒开立及持有账户并向银河国际作出虚假申报。唐违反该政策，直到</w:t>
      </w:r>
      <w:r>
        <w:rPr>
          <w:lang w:eastAsia="zh-CN"/>
        </w:rPr>
        <w:t>2020</w:t>
      </w:r>
      <w:r>
        <w:rPr>
          <w:lang w:eastAsia="zh-CN"/>
        </w:rPr>
        <w:t>年</w:t>
      </w:r>
      <w:r>
        <w:rPr>
          <w:lang w:eastAsia="zh-CN"/>
        </w:rPr>
        <w:t>12</w:t>
      </w:r>
      <w:r>
        <w:rPr>
          <w:lang w:eastAsia="zh-CN"/>
        </w:rPr>
        <w:t>月才披露这些帐户，她</w:t>
      </w:r>
      <w:r>
        <w:rPr>
          <w:lang w:eastAsia="zh-CN"/>
        </w:rPr>
        <w:t>当时没有披露她的个人交易，也没有提供任何相关报表。</w:t>
      </w:r>
      <w:r>
        <w:rPr>
          <w:lang w:eastAsia="zh-CN"/>
        </w:rPr>
        <w:t>2021</w:t>
      </w:r>
      <w:r>
        <w:rPr>
          <w:lang w:eastAsia="zh-CN"/>
        </w:rPr>
        <w:t>年</w:t>
      </w:r>
      <w:r>
        <w:rPr>
          <w:lang w:eastAsia="zh-CN"/>
        </w:rPr>
        <w:t>2</w:t>
      </w:r>
      <w:r>
        <w:rPr>
          <w:lang w:eastAsia="zh-CN"/>
        </w:rPr>
        <w:t>月，银河国际进行内部调查时，她才披露了自己的个人交易。香港证监会随后发现，即使在她告知银河国际她会取消有关帐户后，仍进一步以有关帐户进行个人交易，而且没有就此取得银河国际的批准。</w:t>
      </w:r>
    </w:p>
    <w:p w:rsidR="00121FA2" w:rsidRDefault="000E687E">
      <w:pPr>
        <w:pStyle w:val="Compact"/>
        <w:numPr>
          <w:ilvl w:val="0"/>
          <w:numId w:val="14"/>
        </w:numPr>
        <w:rPr>
          <w:lang w:eastAsia="zh-CN"/>
        </w:rPr>
      </w:pPr>
      <w:r>
        <w:rPr>
          <w:lang w:eastAsia="zh-CN"/>
        </w:rPr>
        <w:t>进行政策禁止的证券交易，即买卖银河国际内部限制名单上的股票及两度进行即日买卖。</w:t>
      </w:r>
    </w:p>
    <w:p w:rsidR="00121FA2" w:rsidRDefault="000E687E">
      <w:pPr>
        <w:pStyle w:val="FirstParagraph"/>
        <w:rPr>
          <w:lang w:eastAsia="zh-CN"/>
        </w:rPr>
      </w:pPr>
      <w:r>
        <w:rPr>
          <w:lang w:eastAsia="zh-CN"/>
        </w:rPr>
        <w:t>银河国际政策反映《证监会持牌人或注册人操守准则》第</w:t>
      </w:r>
      <w:r>
        <w:rPr>
          <w:lang w:eastAsia="zh-CN"/>
        </w:rPr>
        <w:t>12.2</w:t>
      </w:r>
      <w:r>
        <w:rPr>
          <w:lang w:eastAsia="zh-CN"/>
        </w:rPr>
        <w:t>段所载的监管规定，当中要求持牌法团实施有关僱员交易的程序及政策，并密切监察其僱员帐户及相关帐户内的交易活动。证监会认为，唐没有就开立</w:t>
      </w:r>
      <w:r>
        <w:rPr>
          <w:lang w:eastAsia="zh-CN"/>
        </w:rPr>
        <w:t>并持有有关帐户一事以及当中的个人交易作出披露，亦无事先就此取得批准，使她得以规避银河国际的内部监控，以及回避银河国际对其交易活动的监察。若将此事连同她曾作出虚假且具误导性的声明及公然漠视有关政策的举动一并审视，香港证监会裁定她的行为是</w:t>
      </w:r>
      <w:r>
        <w:rPr>
          <w:lang w:eastAsia="zh-CN"/>
        </w:rPr>
        <w:t>“</w:t>
      </w:r>
      <w:r>
        <w:rPr>
          <w:lang w:eastAsia="zh-CN"/>
        </w:rPr>
        <w:t>故意及不诚实的</w:t>
      </w:r>
      <w:r>
        <w:rPr>
          <w:lang w:eastAsia="zh-CN"/>
        </w:rPr>
        <w:t>”</w:t>
      </w:r>
      <w:r>
        <w:rPr>
          <w:lang w:eastAsia="zh-CN"/>
        </w:rPr>
        <w:t>。因此，法院认为唐并非持牌人的合适人选。</w:t>
      </w:r>
    </w:p>
    <w:p w:rsidR="00121FA2" w:rsidRDefault="000E687E">
      <w:pPr>
        <w:pStyle w:val="BodyText"/>
        <w:rPr>
          <w:lang w:eastAsia="zh-CN"/>
        </w:rPr>
      </w:pPr>
      <w:r>
        <w:rPr>
          <w:lang w:eastAsia="zh-CN"/>
        </w:rPr>
        <w:t>在做出禁止唐重返业界十个月的决定时，证监会已考虑下列情况：</w:t>
      </w:r>
    </w:p>
    <w:p w:rsidR="00121FA2" w:rsidRDefault="000E687E">
      <w:pPr>
        <w:pStyle w:val="Compact"/>
        <w:numPr>
          <w:ilvl w:val="0"/>
          <w:numId w:val="15"/>
        </w:numPr>
        <w:rPr>
          <w:lang w:eastAsia="zh-CN"/>
        </w:rPr>
      </w:pPr>
      <w:r>
        <w:rPr>
          <w:lang w:eastAsia="zh-CN"/>
        </w:rPr>
        <w:t>唐过往并无遭受证监会纪律处分的纪录；</w:t>
      </w:r>
    </w:p>
    <w:p w:rsidR="00121FA2" w:rsidRDefault="000E687E">
      <w:pPr>
        <w:pStyle w:val="Compact"/>
        <w:numPr>
          <w:ilvl w:val="0"/>
          <w:numId w:val="15"/>
        </w:numPr>
        <w:rPr>
          <w:lang w:eastAsia="zh-CN"/>
        </w:rPr>
      </w:pPr>
      <w:r>
        <w:rPr>
          <w:lang w:eastAsia="zh-CN"/>
        </w:rPr>
        <w:lastRenderedPageBreak/>
        <w:t>有需要向市场传递具阻吓力的讯息，以示证监会不会容忍持牌人蓄意规避内部监控政策；</w:t>
      </w:r>
    </w:p>
    <w:p w:rsidR="00121FA2" w:rsidRDefault="000E687E">
      <w:pPr>
        <w:pStyle w:val="Compact"/>
        <w:numPr>
          <w:ilvl w:val="0"/>
          <w:numId w:val="15"/>
        </w:numPr>
        <w:rPr>
          <w:lang w:eastAsia="zh-CN"/>
        </w:rPr>
      </w:pPr>
      <w:r>
        <w:rPr>
          <w:lang w:eastAsia="zh-CN"/>
        </w:rPr>
        <w:t>唐的违规行为持续了逾一年半的时间，当中涉及总额超过</w:t>
      </w:r>
      <w:r>
        <w:rPr>
          <w:lang w:eastAsia="zh-CN"/>
        </w:rPr>
        <w:t>170</w:t>
      </w:r>
      <w:r>
        <w:rPr>
          <w:lang w:eastAsia="zh-CN"/>
        </w:rPr>
        <w:t>万港元的</w:t>
      </w:r>
      <w:r>
        <w:rPr>
          <w:lang w:eastAsia="zh-CN"/>
        </w:rPr>
        <w:t>148</w:t>
      </w:r>
      <w:r>
        <w:rPr>
          <w:lang w:eastAsia="zh-CN"/>
        </w:rPr>
        <w:t>项交易；及</w:t>
      </w:r>
    </w:p>
    <w:p w:rsidR="00121FA2" w:rsidRDefault="000E687E">
      <w:pPr>
        <w:pStyle w:val="Compact"/>
        <w:numPr>
          <w:ilvl w:val="0"/>
          <w:numId w:val="15"/>
        </w:numPr>
        <w:rPr>
          <w:lang w:eastAsia="zh-CN"/>
        </w:rPr>
      </w:pPr>
      <w:r>
        <w:rPr>
          <w:lang w:eastAsia="zh-CN"/>
        </w:rPr>
        <w:t>唐在有关帐户内的交易活动未有损害了银河国际的客户利益或市场的廉洁稳健。</w:t>
      </w:r>
    </w:p>
    <w:p w:rsidR="00121FA2" w:rsidRDefault="000E687E">
      <w:pPr>
        <w:pStyle w:val="FirstParagraph"/>
        <w:rPr>
          <w:lang w:eastAsia="zh-CN"/>
        </w:rPr>
      </w:pPr>
      <w:r>
        <w:rPr>
          <w:lang w:eastAsia="zh-CN"/>
        </w:rPr>
        <w:t>证监会关于唐的纪律行动声明已载于证监会网站，点击</w:t>
      </w:r>
      <w:hyperlink r:id="rId12">
        <w:r>
          <w:rPr>
            <w:lang w:eastAsia="zh-CN"/>
          </w:rPr>
          <w:t>此处</w:t>
        </w:r>
      </w:hyperlink>
      <w:r>
        <w:rPr>
          <w:lang w:eastAsia="zh-CN"/>
        </w:rPr>
        <w:t>。</w:t>
      </w:r>
    </w:p>
    <w:p w:rsidR="00121FA2" w:rsidRDefault="000E687E">
      <w:pPr>
        <w:pStyle w:val="BodyText"/>
        <w:rPr>
          <w:lang w:eastAsia="zh-CN"/>
        </w:rPr>
      </w:pPr>
      <w:r>
        <w:rPr>
          <w:lang w:eastAsia="zh-CN"/>
        </w:rPr>
        <w:t>富昌证券有限公司前客户主任被裁定证券欺诈罪成</w:t>
      </w:r>
    </w:p>
    <w:p w:rsidR="00121FA2" w:rsidRDefault="000E687E">
      <w:pPr>
        <w:pStyle w:val="BodyText"/>
        <w:rPr>
          <w:lang w:eastAsia="zh-CN"/>
        </w:rPr>
      </w:pPr>
      <w:r>
        <w:rPr>
          <w:lang w:eastAsia="zh-CN"/>
        </w:rPr>
        <w:t>2022</w:t>
      </w:r>
      <w:r>
        <w:rPr>
          <w:lang w:eastAsia="zh-CN"/>
        </w:rPr>
        <w:t>年</w:t>
      </w:r>
      <w:r>
        <w:rPr>
          <w:lang w:eastAsia="zh-CN"/>
        </w:rPr>
        <w:t>10</w:t>
      </w:r>
      <w:r>
        <w:rPr>
          <w:lang w:eastAsia="zh-CN"/>
        </w:rPr>
        <w:t>月</w:t>
      </w:r>
      <w:r>
        <w:rPr>
          <w:lang w:eastAsia="zh-CN"/>
        </w:rPr>
        <w:t>14</w:t>
      </w:r>
      <w:r>
        <w:rPr>
          <w:lang w:eastAsia="zh-CN"/>
        </w:rPr>
        <w:t>日，东区裁判法院</w:t>
      </w:r>
      <w:r>
        <w:rPr>
          <w:lang w:eastAsia="zh-CN"/>
        </w:rPr>
        <w:t>指控富昌证券有限公司前客户主任冯广成（</w:t>
      </w:r>
      <w:r>
        <w:rPr>
          <w:b/>
          <w:lang w:eastAsia="zh-CN"/>
        </w:rPr>
        <w:t>冯</w:t>
      </w:r>
      <w:r>
        <w:rPr>
          <w:lang w:eastAsia="zh-CN"/>
        </w:rPr>
        <w:t>）在其控制下的两个证券交易帐户之间，利用欺诈计划买卖</w:t>
      </w:r>
      <w:r>
        <w:rPr>
          <w:lang w:eastAsia="zh-CN"/>
        </w:rPr>
        <w:t>8</w:t>
      </w:r>
      <w:r>
        <w:rPr>
          <w:lang w:eastAsia="zh-CN"/>
        </w:rPr>
        <w:t>只股票的证券（</w:t>
      </w:r>
      <w:r>
        <w:rPr>
          <w:b/>
          <w:lang w:eastAsia="zh-CN"/>
        </w:rPr>
        <w:t>“</w:t>
      </w:r>
      <w:r>
        <w:rPr>
          <w:b/>
          <w:lang w:eastAsia="zh-CN"/>
        </w:rPr>
        <w:t>欺诈计划</w:t>
      </w:r>
      <w:r>
        <w:rPr>
          <w:b/>
          <w:lang w:eastAsia="zh-CN"/>
        </w:rPr>
        <w:t>”</w:t>
      </w:r>
      <w:r>
        <w:rPr>
          <w:lang w:eastAsia="zh-CN"/>
        </w:rPr>
        <w:t>），并判定罪行成立。他被裁定在未获授权的情况下，不诚实地使用其客户的资金和证券进行有关交易。根据《证券及期货条例》第</w:t>
      </w:r>
      <w:r>
        <w:rPr>
          <w:lang w:eastAsia="zh-CN"/>
        </w:rPr>
        <w:t>300</w:t>
      </w:r>
      <w:r>
        <w:rPr>
          <w:lang w:eastAsia="zh-CN"/>
        </w:rPr>
        <w:t>条，在涉及证券的交易中从事任何具欺诈或欺骗性质的作为、做法或业务，即属犯罪。有关欺诈计划涉即利用其客户的资金以高价从市场买入股份，并以低价向其朋友的帐户出售该等股，或使用其客户的资金以高价从其朋友的帐户买入股份。</w:t>
      </w:r>
    </w:p>
    <w:p w:rsidR="00121FA2" w:rsidRDefault="000E687E">
      <w:pPr>
        <w:pStyle w:val="BodyText"/>
        <w:rPr>
          <w:lang w:eastAsia="zh-CN"/>
        </w:rPr>
      </w:pPr>
      <w:r>
        <w:rPr>
          <w:lang w:eastAsia="zh-CN"/>
        </w:rPr>
        <w:t>东区裁判法院于</w:t>
      </w:r>
      <w:r>
        <w:rPr>
          <w:lang w:eastAsia="zh-CN"/>
        </w:rPr>
        <w:t>2022</w:t>
      </w:r>
      <w:r>
        <w:rPr>
          <w:lang w:eastAsia="zh-CN"/>
        </w:rPr>
        <w:t>年</w:t>
      </w:r>
      <w:r>
        <w:rPr>
          <w:lang w:eastAsia="zh-CN"/>
        </w:rPr>
        <w:t>10</w:t>
      </w:r>
      <w:r>
        <w:rPr>
          <w:lang w:eastAsia="zh-CN"/>
        </w:rPr>
        <w:t>月</w:t>
      </w:r>
      <w:r>
        <w:rPr>
          <w:lang w:eastAsia="zh-CN"/>
        </w:rPr>
        <w:t>27</w:t>
      </w:r>
      <w:r>
        <w:rPr>
          <w:lang w:eastAsia="zh-CN"/>
        </w:rPr>
        <w:t>日判处冯入狱两个半月。</w:t>
      </w:r>
      <w:r>
        <w:rPr>
          <w:lang w:eastAsia="zh-CN"/>
        </w:rPr>
        <w:t>冯正在对判决提出上诉，并在此期间获准保释。</w:t>
      </w:r>
    </w:p>
    <w:p w:rsidR="00121FA2" w:rsidRDefault="000E687E">
      <w:pPr>
        <w:pStyle w:val="BodyText"/>
        <w:rPr>
          <w:lang w:eastAsia="zh-CN"/>
        </w:rPr>
      </w:pPr>
      <w:r>
        <w:rPr>
          <w:lang w:eastAsia="zh-CN"/>
        </w:rPr>
        <w:t>在</w:t>
      </w:r>
      <w:r>
        <w:rPr>
          <w:lang w:eastAsia="zh-CN"/>
        </w:rPr>
        <w:t>10</w:t>
      </w:r>
      <w:r>
        <w:rPr>
          <w:lang w:eastAsia="zh-CN"/>
        </w:rPr>
        <w:t>月被定罪和判刑之前，香港证监会采取了纪律行动，对他处以</w:t>
      </w:r>
      <w:r>
        <w:rPr>
          <w:lang w:eastAsia="zh-CN"/>
        </w:rPr>
        <w:t>542,071</w:t>
      </w:r>
      <w:r>
        <w:rPr>
          <w:lang w:eastAsia="zh-CN"/>
        </w:rPr>
        <w:t>港元的罚款，并于</w:t>
      </w:r>
      <w:r>
        <w:rPr>
          <w:lang w:eastAsia="zh-CN"/>
        </w:rPr>
        <w:t>11</w:t>
      </w:r>
      <w:r>
        <w:rPr>
          <w:lang w:eastAsia="zh-CN"/>
        </w:rPr>
        <w:t>月</w:t>
      </w:r>
      <w:r>
        <w:rPr>
          <w:lang w:eastAsia="zh-CN"/>
        </w:rPr>
        <w:t>23</w:t>
      </w:r>
      <w:r>
        <w:rPr>
          <w:lang w:eastAsia="zh-CN"/>
        </w:rPr>
        <w:t>日禁止他终身投入业界。香港证监会于</w:t>
      </w:r>
      <w:r>
        <w:rPr>
          <w:lang w:eastAsia="zh-CN"/>
        </w:rPr>
        <w:t>2017</w:t>
      </w:r>
      <w:r>
        <w:rPr>
          <w:lang w:eastAsia="zh-CN"/>
        </w:rPr>
        <w:t>年对冯的纪律行动声明可在香港证监会网站上查阅，点击</w:t>
      </w:r>
      <w:hyperlink r:id="rId13">
        <w:r>
          <w:rPr>
            <w:lang w:eastAsia="zh-CN"/>
          </w:rPr>
          <w:t>此处</w:t>
        </w:r>
      </w:hyperlink>
      <w:r>
        <w:rPr>
          <w:lang w:eastAsia="zh-CN"/>
        </w:rPr>
        <w:t>。</w:t>
      </w:r>
    </w:p>
    <w:p w:rsidR="00121FA2" w:rsidRDefault="000E687E">
      <w:pPr>
        <w:pStyle w:val="BodyText"/>
        <w:rPr>
          <w:lang w:eastAsia="zh-CN"/>
        </w:rPr>
      </w:pPr>
      <w:r>
        <w:rPr>
          <w:lang w:eastAsia="zh-CN"/>
        </w:rPr>
        <w:t>散户投资</w:t>
      </w:r>
      <w:r>
        <w:rPr>
          <w:lang w:eastAsia="zh-CN"/>
        </w:rPr>
        <w:t>者因非法卖空被判有罪并被罚款</w:t>
      </w:r>
    </w:p>
    <w:p w:rsidR="00121FA2" w:rsidRDefault="000E687E">
      <w:pPr>
        <w:pStyle w:val="BodyText"/>
        <w:rPr>
          <w:lang w:eastAsia="zh-CN"/>
        </w:rPr>
      </w:pPr>
      <w:r>
        <w:rPr>
          <w:lang w:eastAsia="zh-CN"/>
        </w:rPr>
        <w:t>刘智浩（</w:t>
      </w:r>
      <w:r>
        <w:rPr>
          <w:b/>
          <w:lang w:eastAsia="zh-CN"/>
        </w:rPr>
        <w:t>刘</w:t>
      </w:r>
      <w:r>
        <w:rPr>
          <w:lang w:eastAsia="zh-CN"/>
        </w:rPr>
        <w:t>）承认违反《证券及期货条例》第</w:t>
      </w:r>
      <w:r>
        <w:rPr>
          <w:lang w:eastAsia="zh-CN"/>
        </w:rPr>
        <w:t>170(1)</w:t>
      </w:r>
      <w:r>
        <w:rPr>
          <w:lang w:eastAsia="zh-CN"/>
        </w:rPr>
        <w:t>条的控罪，即在他并无持有两家上市公司股份的情况下，在联交所发出卖出该两家上市公司股票的指示，被判非法卖空罪名成立。</w:t>
      </w:r>
    </w:p>
    <w:p w:rsidR="00121FA2" w:rsidRDefault="000E687E">
      <w:pPr>
        <w:pStyle w:val="BodyText"/>
        <w:rPr>
          <w:lang w:eastAsia="zh-CN"/>
        </w:rPr>
      </w:pPr>
      <w:r>
        <w:rPr>
          <w:lang w:eastAsia="zh-CN"/>
        </w:rPr>
        <w:t>《证券及期货条例》第</w:t>
      </w:r>
      <w:r>
        <w:rPr>
          <w:lang w:eastAsia="zh-CN"/>
        </w:rPr>
        <w:t>170(1)</w:t>
      </w:r>
      <w:r>
        <w:rPr>
          <w:lang w:eastAsia="zh-CN"/>
        </w:rPr>
        <w:t>条禁止任何人售卖证券，除非该人具有，或相信或有合理理由相信他具有一项即时可行使而不附有条件的权利，以将该等证券转归于其购买人名下。</w:t>
      </w:r>
    </w:p>
    <w:p w:rsidR="00121FA2" w:rsidRDefault="000E687E">
      <w:pPr>
        <w:pStyle w:val="BodyText"/>
        <w:rPr>
          <w:lang w:eastAsia="zh-CN"/>
        </w:rPr>
      </w:pPr>
      <w:r>
        <w:rPr>
          <w:lang w:eastAsia="zh-CN"/>
        </w:rPr>
        <w:t>刘被判处罚款</w:t>
      </w:r>
      <w:r>
        <w:rPr>
          <w:lang w:eastAsia="zh-CN"/>
        </w:rPr>
        <w:t>20,000</w:t>
      </w:r>
      <w:r>
        <w:rPr>
          <w:lang w:eastAsia="zh-CN"/>
        </w:rPr>
        <w:t>元及被命令须向证监会支付调查费用。</w:t>
      </w:r>
    </w:p>
    <w:p w:rsidR="00121FA2" w:rsidRDefault="000E687E">
      <w:pPr>
        <w:pStyle w:val="BodyText"/>
        <w:rPr>
          <w:lang w:eastAsia="zh-CN"/>
        </w:rPr>
      </w:pPr>
      <w:r>
        <w:rPr>
          <w:lang w:eastAsia="zh-CN"/>
        </w:rPr>
        <w:t>法院裁定黄敬凯妨碍证监会搜查行动罪成</w:t>
      </w:r>
    </w:p>
    <w:p w:rsidR="00121FA2" w:rsidRDefault="000E687E">
      <w:pPr>
        <w:pStyle w:val="BodyText"/>
        <w:rPr>
          <w:lang w:eastAsia="zh-CN"/>
        </w:rPr>
      </w:pPr>
      <w:r>
        <w:rPr>
          <w:lang w:eastAsia="zh-CN"/>
        </w:rPr>
        <w:t>根据《证券及期货条例》第</w:t>
      </w:r>
      <w:r>
        <w:rPr>
          <w:lang w:eastAsia="zh-CN"/>
        </w:rPr>
        <w:t>382</w:t>
      </w:r>
      <w:r>
        <w:rPr>
          <w:lang w:eastAsia="zh-CN"/>
        </w:rPr>
        <w:t>条，黄敬凯（</w:t>
      </w:r>
      <w:r>
        <w:rPr>
          <w:b/>
          <w:lang w:eastAsia="zh-CN"/>
        </w:rPr>
        <w:t>黄</w:t>
      </w:r>
      <w:r>
        <w:rPr>
          <w:lang w:eastAsia="zh-CN"/>
        </w:rPr>
        <w:t>）于</w:t>
      </w:r>
      <w:r>
        <w:rPr>
          <w:lang w:eastAsia="zh-CN"/>
        </w:rPr>
        <w:t>20</w:t>
      </w:r>
      <w:r>
        <w:rPr>
          <w:lang w:eastAsia="zh-CN"/>
        </w:rPr>
        <w:t>22</w:t>
      </w:r>
      <w:r>
        <w:rPr>
          <w:lang w:eastAsia="zh-CN"/>
        </w:rPr>
        <w:t>年</w:t>
      </w:r>
      <w:r>
        <w:rPr>
          <w:lang w:eastAsia="zh-CN"/>
        </w:rPr>
        <w:t>10</w:t>
      </w:r>
      <w:r>
        <w:rPr>
          <w:lang w:eastAsia="zh-CN"/>
        </w:rPr>
        <w:t>月</w:t>
      </w:r>
      <w:r>
        <w:rPr>
          <w:lang w:eastAsia="zh-CN"/>
        </w:rPr>
        <w:t>27</w:t>
      </w:r>
      <w:r>
        <w:rPr>
          <w:lang w:eastAsia="zh-CN"/>
        </w:rPr>
        <w:t>日，在执行搜查手令时妨碍证监会雇员，他承认有关罪行，被裁定罪名成立。他于</w:t>
      </w:r>
      <w:r>
        <w:rPr>
          <w:lang w:eastAsia="zh-CN"/>
        </w:rPr>
        <w:t>2022</w:t>
      </w:r>
      <w:r>
        <w:rPr>
          <w:lang w:eastAsia="zh-CN"/>
        </w:rPr>
        <w:t>年</w:t>
      </w:r>
      <w:r>
        <w:rPr>
          <w:lang w:eastAsia="zh-CN"/>
        </w:rPr>
        <w:t>11</w:t>
      </w:r>
      <w:r>
        <w:rPr>
          <w:lang w:eastAsia="zh-CN"/>
        </w:rPr>
        <w:t>月</w:t>
      </w:r>
      <w:r>
        <w:rPr>
          <w:lang w:eastAsia="zh-CN"/>
        </w:rPr>
        <w:t>10</w:t>
      </w:r>
      <w:r>
        <w:rPr>
          <w:lang w:eastAsia="zh-CN"/>
        </w:rPr>
        <w:t>日被判处监禁两周。这是首次有人根据第</w:t>
      </w:r>
      <w:r>
        <w:rPr>
          <w:lang w:eastAsia="zh-CN"/>
        </w:rPr>
        <w:t>382</w:t>
      </w:r>
      <w:r>
        <w:rPr>
          <w:lang w:eastAsia="zh-CN"/>
        </w:rPr>
        <w:t>条，因妨碍证监会雇员执行《证券及期货条例》授予的职能而被定罪。</w:t>
      </w:r>
    </w:p>
    <w:p w:rsidR="00121FA2" w:rsidRDefault="000E687E">
      <w:pPr>
        <w:pStyle w:val="BodyText"/>
        <w:rPr>
          <w:lang w:eastAsia="zh-CN"/>
        </w:rPr>
      </w:pPr>
      <w:r>
        <w:rPr>
          <w:lang w:eastAsia="zh-CN"/>
        </w:rPr>
        <w:t>根据《证券及期货条例》第</w:t>
      </w:r>
      <w:r>
        <w:rPr>
          <w:lang w:eastAsia="zh-CN"/>
        </w:rPr>
        <w:t>382</w:t>
      </w:r>
      <w:r>
        <w:rPr>
          <w:lang w:eastAsia="zh-CN"/>
        </w:rPr>
        <w:t>条，任何人无合理辩解而妨碍任何指明人士（即证监会及其雇员或任何根据《证券及期货条例》第</w:t>
      </w:r>
      <w:r>
        <w:rPr>
          <w:lang w:eastAsia="zh-CN"/>
        </w:rPr>
        <w:t>182(1)</w:t>
      </w:r>
      <w:r>
        <w:rPr>
          <w:lang w:eastAsia="zh-CN"/>
        </w:rPr>
        <w:t>条获委任调查任何事项的人）执行该条例授予的职能，即属犯罪。</w:t>
      </w:r>
    </w:p>
    <w:p w:rsidR="00121FA2" w:rsidRDefault="000E687E">
      <w:pPr>
        <w:pStyle w:val="BodyText"/>
        <w:rPr>
          <w:lang w:eastAsia="zh-CN"/>
        </w:rPr>
      </w:pPr>
      <w:r>
        <w:rPr>
          <w:lang w:eastAsia="zh-CN"/>
        </w:rPr>
        <w:t>证监会取得搜查令，以在黄的住所内搜寻、检取和移走与证监会就某香港上市公司股份可能涉及市场操纵行为所作调查有关的</w:t>
      </w:r>
      <w:r>
        <w:rPr>
          <w:lang w:eastAsia="zh-CN"/>
        </w:rPr>
        <w:t>纪录及文件。黄涉嫌拖延不让证监会搜查队进入该处所，并试图处置两部手提电话及两本笔记簿。</w:t>
      </w:r>
    </w:p>
    <w:p w:rsidR="00121FA2" w:rsidRDefault="000E687E">
      <w:pPr>
        <w:pStyle w:val="BodyText"/>
        <w:rPr>
          <w:lang w:eastAsia="zh-CN"/>
        </w:rPr>
      </w:pPr>
      <w:r>
        <w:rPr>
          <w:lang w:eastAsia="zh-CN"/>
        </w:rPr>
        <w:t>证监会公开批评金龙世兴资产管理有限公司违反《收购守则》</w:t>
      </w:r>
    </w:p>
    <w:p w:rsidR="00121FA2" w:rsidRDefault="000E687E">
      <w:pPr>
        <w:pStyle w:val="BodyText"/>
        <w:rPr>
          <w:lang w:eastAsia="zh-CN"/>
        </w:rPr>
      </w:pPr>
      <w:r>
        <w:rPr>
          <w:lang w:eastAsia="zh-CN"/>
        </w:rPr>
        <w:t>2022</w:t>
      </w:r>
      <w:r>
        <w:rPr>
          <w:lang w:eastAsia="zh-CN"/>
        </w:rPr>
        <w:t>年</w:t>
      </w:r>
      <w:r>
        <w:rPr>
          <w:lang w:eastAsia="zh-CN"/>
        </w:rPr>
        <w:t>10</w:t>
      </w:r>
      <w:r>
        <w:rPr>
          <w:lang w:eastAsia="zh-CN"/>
        </w:rPr>
        <w:t>月</w:t>
      </w:r>
      <w:r>
        <w:rPr>
          <w:lang w:eastAsia="zh-CN"/>
        </w:rPr>
        <w:t>28</w:t>
      </w:r>
      <w:r>
        <w:rPr>
          <w:lang w:eastAsia="zh-CN"/>
        </w:rPr>
        <w:t>日，证监会公开批评金龙世兴资产管理有限公司（</w:t>
      </w:r>
      <w:r>
        <w:rPr>
          <w:b/>
          <w:lang w:eastAsia="zh-CN"/>
        </w:rPr>
        <w:t>金龙</w:t>
      </w:r>
      <w:r>
        <w:rPr>
          <w:lang w:eastAsia="zh-CN"/>
        </w:rPr>
        <w:t>）没有披露就上海东正汽车金融股份有限公司（</w:t>
      </w:r>
      <w:r>
        <w:rPr>
          <w:b/>
          <w:lang w:eastAsia="zh-CN"/>
        </w:rPr>
        <w:t>上海东正</w:t>
      </w:r>
      <w:r>
        <w:rPr>
          <w:lang w:eastAsia="zh-CN"/>
        </w:rPr>
        <w:t>）股份进行的交易，违反《证监会收购及合并守则》（</w:t>
      </w:r>
      <w:r>
        <w:rPr>
          <w:b/>
          <w:lang w:eastAsia="zh-CN"/>
        </w:rPr>
        <w:t>《收购守则》</w:t>
      </w:r>
      <w:r>
        <w:rPr>
          <w:lang w:eastAsia="zh-CN"/>
        </w:rPr>
        <w:t>）规则</w:t>
      </w:r>
      <w:r>
        <w:rPr>
          <w:lang w:eastAsia="zh-CN"/>
        </w:rPr>
        <w:t>22</w:t>
      </w:r>
      <w:r>
        <w:rPr>
          <w:lang w:eastAsia="zh-CN"/>
        </w:rPr>
        <w:t>及一般原则</w:t>
      </w:r>
      <w:r>
        <w:rPr>
          <w:lang w:eastAsia="zh-CN"/>
        </w:rPr>
        <w:t>6</w:t>
      </w:r>
      <w:r>
        <w:rPr>
          <w:lang w:eastAsia="zh-CN"/>
        </w:rPr>
        <w:t>。</w:t>
      </w:r>
    </w:p>
    <w:p w:rsidR="00121FA2" w:rsidRDefault="000E687E">
      <w:pPr>
        <w:pStyle w:val="BodyText"/>
        <w:rPr>
          <w:lang w:eastAsia="zh-CN"/>
        </w:rPr>
      </w:pPr>
      <w:r>
        <w:rPr>
          <w:lang w:eastAsia="zh-CN"/>
        </w:rPr>
        <w:t>上海东正于</w:t>
      </w:r>
      <w:r>
        <w:rPr>
          <w:lang w:eastAsia="zh-CN"/>
        </w:rPr>
        <w:t>2021</w:t>
      </w:r>
      <w:r>
        <w:rPr>
          <w:lang w:eastAsia="zh-CN"/>
        </w:rPr>
        <w:t>年</w:t>
      </w:r>
      <w:r>
        <w:rPr>
          <w:lang w:eastAsia="zh-CN"/>
        </w:rPr>
        <w:t>2</w:t>
      </w:r>
      <w:r>
        <w:rPr>
          <w:lang w:eastAsia="zh-CN"/>
        </w:rPr>
        <w:t>月</w:t>
      </w:r>
      <w:r>
        <w:rPr>
          <w:lang w:eastAsia="zh-CN"/>
        </w:rPr>
        <w:t>3</w:t>
      </w:r>
      <w:r>
        <w:rPr>
          <w:lang w:eastAsia="zh-CN"/>
        </w:rPr>
        <w:t>日公布，其已发行股本总额中由控股股东所持有的</w:t>
      </w:r>
      <w:r>
        <w:rPr>
          <w:lang w:eastAsia="zh-CN"/>
        </w:rPr>
        <w:t>71.04%</w:t>
      </w:r>
      <w:r>
        <w:rPr>
          <w:lang w:eastAsia="zh-CN"/>
        </w:rPr>
        <w:t>可能会出售予一名潜在买家（《收购守则》规则</w:t>
      </w:r>
      <w:r>
        <w:rPr>
          <w:lang w:eastAsia="zh-CN"/>
        </w:rPr>
        <w:t>3.7</w:t>
      </w:r>
      <w:r>
        <w:rPr>
          <w:lang w:eastAsia="zh-CN"/>
        </w:rPr>
        <w:t>），有关要约期于同日展开。公布载有</w:t>
      </w:r>
      <w:r>
        <w:rPr>
          <w:lang w:eastAsia="zh-CN"/>
        </w:rPr>
        <w:t>向上海东正的</w:t>
      </w:r>
      <w:r>
        <w:rPr>
          <w:lang w:eastAsia="zh-CN"/>
        </w:rPr>
        <w:t>“</w:t>
      </w:r>
      <w:r>
        <w:rPr>
          <w:lang w:eastAsia="zh-CN"/>
        </w:rPr>
        <w:t>联系</w:t>
      </w:r>
      <w:r>
        <w:rPr>
          <w:lang w:eastAsia="zh-CN"/>
        </w:rPr>
        <w:lastRenderedPageBreak/>
        <w:t>人</w:t>
      </w:r>
      <w:r>
        <w:rPr>
          <w:lang w:eastAsia="zh-CN"/>
        </w:rPr>
        <w:t>”</w:t>
      </w:r>
      <w:r>
        <w:rPr>
          <w:lang w:eastAsia="zh-CN"/>
        </w:rPr>
        <w:t>作出的清晰提示，提醒他们根据《收购守则》规则</w:t>
      </w:r>
      <w:r>
        <w:rPr>
          <w:lang w:eastAsia="zh-CN"/>
        </w:rPr>
        <w:t>22</w:t>
      </w:r>
      <w:r>
        <w:rPr>
          <w:lang w:eastAsia="zh-CN"/>
        </w:rPr>
        <w:t>披露他们就上海东正的有关证券所进行的交易的责任。</w:t>
      </w:r>
    </w:p>
    <w:p w:rsidR="00121FA2" w:rsidRDefault="000E687E">
      <w:pPr>
        <w:pStyle w:val="BodyText"/>
        <w:rPr>
          <w:lang w:eastAsia="zh-CN"/>
        </w:rPr>
      </w:pPr>
      <w:r>
        <w:t>在</w:t>
      </w:r>
      <w:r>
        <w:t>2021</w:t>
      </w:r>
      <w:r>
        <w:t>年</w:t>
      </w:r>
      <w:r>
        <w:t>3</w:t>
      </w:r>
      <w:r>
        <w:t>月</w:t>
      </w:r>
      <w:r>
        <w:t>12</w:t>
      </w:r>
      <w:r>
        <w:t>日至</w:t>
      </w:r>
      <w:r>
        <w:t>2022</w:t>
      </w:r>
      <w:r>
        <w:t>年</w:t>
      </w:r>
      <w:r>
        <w:t>4</w:t>
      </w:r>
      <w:r>
        <w:t>月</w:t>
      </w:r>
      <w:r>
        <w:t>14</w:t>
      </w:r>
      <w:r>
        <w:t>日期间（</w:t>
      </w:r>
      <w:r>
        <w:rPr>
          <w:b/>
        </w:rPr>
        <w:t>相关期间</w:t>
      </w:r>
      <w:r>
        <w:t>），金龙以</w:t>
      </w:r>
      <w:r>
        <w:t>Seahawk China Dynamic Fund</w:t>
      </w:r>
      <w:r>
        <w:t>（</w:t>
      </w:r>
      <w:r>
        <w:rPr>
          <w:b/>
        </w:rPr>
        <w:t>Seahawk Fund</w:t>
      </w:r>
      <w:r>
        <w:t>）的投资管理人身分，就上海东正</w:t>
      </w:r>
      <w:r>
        <w:t>H</w:t>
      </w:r>
      <w:r>
        <w:t>股合共执行了</w:t>
      </w:r>
      <w:r>
        <w:t>53</w:t>
      </w:r>
      <w:r>
        <w:t>宗交易（</w:t>
      </w:r>
      <w:r>
        <w:rPr>
          <w:b/>
        </w:rPr>
        <w:t>有关交易</w:t>
      </w:r>
      <w:r>
        <w:t>），令</w:t>
      </w:r>
      <w:r>
        <w:t>Seahawk Fund</w:t>
      </w:r>
      <w:r>
        <w:t>持有上海东正</w:t>
      </w:r>
      <w:r>
        <w:t>H</w:t>
      </w:r>
      <w:r>
        <w:t>股的比例由</w:t>
      </w:r>
      <w:r>
        <w:t>6.45%</w:t>
      </w:r>
      <w:r>
        <w:t>降至</w:t>
      </w:r>
      <w:r>
        <w:t>4.75%</w:t>
      </w:r>
      <w:r>
        <w:t>。</w:t>
      </w:r>
      <w:r>
        <w:rPr>
          <w:lang w:eastAsia="zh-CN"/>
        </w:rPr>
        <w:t>金龙及</w:t>
      </w:r>
      <w:r>
        <w:rPr>
          <w:lang w:eastAsia="zh-CN"/>
        </w:rPr>
        <w:t>Seahawk Fund</w:t>
      </w:r>
      <w:r>
        <w:rPr>
          <w:lang w:eastAsia="zh-CN"/>
        </w:rPr>
        <w:t>根据《证券及期货条例》第</w:t>
      </w:r>
      <w:r>
        <w:rPr>
          <w:lang w:eastAsia="zh-CN"/>
        </w:rPr>
        <w:t>XV</w:t>
      </w:r>
      <w:r>
        <w:rPr>
          <w:lang w:eastAsia="zh-CN"/>
        </w:rPr>
        <w:t>部作出了相关利益披露，但均没有按照《收购守则》规则</w:t>
      </w:r>
      <w:r>
        <w:rPr>
          <w:lang w:eastAsia="zh-CN"/>
        </w:rPr>
        <w:t>22</w:t>
      </w:r>
      <w:r>
        <w:rPr>
          <w:lang w:eastAsia="zh-CN"/>
        </w:rPr>
        <w:t>披露交易。</w:t>
      </w:r>
    </w:p>
    <w:p w:rsidR="00121FA2" w:rsidRDefault="000E687E">
      <w:pPr>
        <w:pStyle w:val="BodyText"/>
        <w:rPr>
          <w:lang w:eastAsia="zh-CN"/>
        </w:rPr>
      </w:pPr>
      <w:r>
        <w:rPr>
          <w:lang w:eastAsia="zh-CN"/>
        </w:rPr>
        <w:t>《收购守则》规则</w:t>
      </w:r>
      <w:r>
        <w:rPr>
          <w:lang w:eastAsia="zh-CN"/>
        </w:rPr>
        <w:t>22</w:t>
      </w:r>
      <w:r>
        <w:rPr>
          <w:lang w:eastAsia="zh-CN"/>
        </w:rPr>
        <w:t>及一般原则</w:t>
      </w:r>
      <w:r>
        <w:rPr>
          <w:lang w:eastAsia="zh-CN"/>
        </w:rPr>
        <w:t>6</w:t>
      </w:r>
    </w:p>
    <w:p w:rsidR="00121FA2" w:rsidRDefault="000E687E">
      <w:pPr>
        <w:pStyle w:val="BodyText"/>
        <w:rPr>
          <w:lang w:eastAsia="zh-CN"/>
        </w:rPr>
      </w:pPr>
      <w:r>
        <w:rPr>
          <w:lang w:eastAsia="zh-CN"/>
        </w:rPr>
        <w:t>《收购守则》规则</w:t>
      </w:r>
      <w:r>
        <w:rPr>
          <w:lang w:eastAsia="zh-CN"/>
        </w:rPr>
        <w:t>22.1(a)</w:t>
      </w:r>
      <w:r>
        <w:rPr>
          <w:lang w:eastAsia="zh-CN"/>
        </w:rPr>
        <w:t>规定</w:t>
      </w:r>
      <w:r>
        <w:rPr>
          <w:lang w:eastAsia="zh-CN"/>
        </w:rPr>
        <w:t>“</w:t>
      </w:r>
      <w:r>
        <w:rPr>
          <w:lang w:eastAsia="zh-CN"/>
        </w:rPr>
        <w:t>要约人或受要约公司，及它们两者之一的任何联系人在要约期内为本身账户进行的有关证券的交易，必须加以公开披露</w:t>
      </w:r>
      <w:r>
        <w:rPr>
          <w:lang w:eastAsia="zh-CN"/>
        </w:rPr>
        <w:t>”</w:t>
      </w:r>
      <w:r>
        <w:rPr>
          <w:lang w:eastAsia="zh-CN"/>
        </w:rPr>
        <w:t>。</w:t>
      </w:r>
      <w:r>
        <w:rPr>
          <w:lang w:eastAsia="zh-CN"/>
        </w:rPr>
        <w:t>“</w:t>
      </w:r>
      <w:r>
        <w:rPr>
          <w:lang w:eastAsia="zh-CN"/>
        </w:rPr>
        <w:t>联系人</w:t>
      </w:r>
      <w:r>
        <w:rPr>
          <w:lang w:eastAsia="zh-CN"/>
        </w:rPr>
        <w:t>”</w:t>
      </w:r>
      <w:r>
        <w:rPr>
          <w:lang w:eastAsia="zh-CN"/>
        </w:rPr>
        <w:t>界定为包括拥有或控制</w:t>
      </w:r>
      <w:r>
        <w:rPr>
          <w:lang w:eastAsia="zh-CN"/>
        </w:rPr>
        <w:t>5%</w:t>
      </w:r>
      <w:r>
        <w:rPr>
          <w:lang w:eastAsia="zh-CN"/>
        </w:rPr>
        <w:t>或以上由要约人或受要约公司所发行的任何类别有关证券的人，包括因任何交易而拥有或控制</w:t>
      </w:r>
      <w:r>
        <w:rPr>
          <w:lang w:eastAsia="zh-CN"/>
        </w:rPr>
        <w:t>5%</w:t>
      </w:r>
      <w:r>
        <w:rPr>
          <w:lang w:eastAsia="zh-CN"/>
        </w:rPr>
        <w:t>或以上的人</w:t>
      </w:r>
      <w:r>
        <w:rPr>
          <w:lang w:eastAsia="zh-CN"/>
        </w:rPr>
        <w:t>。</w:t>
      </w:r>
    </w:p>
    <w:p w:rsidR="00121FA2" w:rsidRDefault="000E687E">
      <w:pPr>
        <w:pStyle w:val="BodyText"/>
        <w:rPr>
          <w:lang w:eastAsia="zh-CN"/>
        </w:rPr>
      </w:pPr>
      <w:r>
        <w:rPr>
          <w:lang w:eastAsia="zh-CN"/>
        </w:rPr>
        <w:t>《收购守则》一般原则</w:t>
      </w:r>
      <w:r>
        <w:rPr>
          <w:lang w:eastAsia="zh-CN"/>
        </w:rPr>
        <w:t>6</w:t>
      </w:r>
      <w:r>
        <w:rPr>
          <w:lang w:eastAsia="zh-CN"/>
        </w:rPr>
        <w:t>规定：</w:t>
      </w:r>
      <w:r>
        <w:rPr>
          <w:lang w:eastAsia="zh-CN"/>
        </w:rPr>
        <w:t>“</w:t>
      </w:r>
      <w:r>
        <w:rPr>
          <w:lang w:eastAsia="zh-CN"/>
        </w:rPr>
        <w:t>所有与要约事宜有关的人应该尽快披露一切有关资料，并采取所有预防措施，防止制造或维持虚假市场。涉及要约的当事人必须注意避免作出可能误导股东或市场的声明。</w:t>
      </w:r>
      <w:r>
        <w:rPr>
          <w:lang w:eastAsia="zh-CN"/>
        </w:rPr>
        <w:t>”</w:t>
      </w:r>
    </w:p>
    <w:p w:rsidR="00121FA2" w:rsidRDefault="000E687E">
      <w:pPr>
        <w:pStyle w:val="BodyText"/>
        <w:rPr>
          <w:lang w:eastAsia="zh-CN"/>
        </w:rPr>
      </w:pPr>
      <w:r>
        <w:rPr>
          <w:lang w:eastAsia="zh-CN"/>
        </w:rPr>
        <w:t>违反香港《收购守则》</w:t>
      </w:r>
    </w:p>
    <w:p w:rsidR="00121FA2" w:rsidRDefault="000E687E">
      <w:pPr>
        <w:pStyle w:val="BodyText"/>
        <w:rPr>
          <w:lang w:eastAsia="zh-CN"/>
        </w:rPr>
      </w:pPr>
      <w:r>
        <w:rPr>
          <w:lang w:eastAsia="zh-CN"/>
        </w:rPr>
        <w:t>证监会执行人员（</w:t>
      </w:r>
      <w:r>
        <w:rPr>
          <w:b/>
          <w:lang w:eastAsia="zh-CN"/>
        </w:rPr>
        <w:t>执行人员</w:t>
      </w:r>
      <w:r>
        <w:rPr>
          <w:lang w:eastAsia="zh-CN"/>
        </w:rPr>
        <w:t>）裁定金龙未有披露有关交易，违反了《收购守则》第</w:t>
      </w:r>
      <w:r>
        <w:rPr>
          <w:lang w:eastAsia="zh-CN"/>
        </w:rPr>
        <w:t>22.1(a)</w:t>
      </w:r>
      <w:r>
        <w:rPr>
          <w:lang w:eastAsia="zh-CN"/>
        </w:rPr>
        <w:t>条。金龙作为</w:t>
      </w:r>
      <w:r>
        <w:rPr>
          <w:lang w:eastAsia="zh-CN"/>
        </w:rPr>
        <w:t>Seahawk Fund</w:t>
      </w:r>
      <w:r>
        <w:rPr>
          <w:lang w:eastAsia="zh-CN"/>
        </w:rPr>
        <w:t>的投资经理人，紧接要约期开始之前，持有或控制上海东正已发行</w:t>
      </w:r>
      <w:r>
        <w:rPr>
          <w:lang w:eastAsia="zh-CN"/>
        </w:rPr>
        <w:t>H</w:t>
      </w:r>
      <w:r>
        <w:rPr>
          <w:lang w:eastAsia="zh-CN"/>
        </w:rPr>
        <w:t>股的</w:t>
      </w:r>
      <w:r>
        <w:rPr>
          <w:lang w:eastAsia="zh-CN"/>
        </w:rPr>
        <w:t>5%</w:t>
      </w:r>
      <w:r>
        <w:rPr>
          <w:lang w:eastAsia="zh-CN"/>
        </w:rPr>
        <w:t>以上。因此，金龙是上海东正的联系人，并且须公开披露其在要约期内发生的交易。</w:t>
      </w:r>
    </w:p>
    <w:p w:rsidR="00121FA2" w:rsidRDefault="000E687E">
      <w:pPr>
        <w:pStyle w:val="BodyText"/>
        <w:rPr>
          <w:lang w:eastAsia="zh-CN"/>
        </w:rPr>
      </w:pPr>
      <w:r>
        <w:rPr>
          <w:lang w:eastAsia="zh-CN"/>
        </w:rPr>
        <w:t>尽管执行人员认同金龙在本事宜上态度合</w:t>
      </w:r>
      <w:r>
        <w:rPr>
          <w:lang w:eastAsia="zh-CN"/>
        </w:rPr>
        <w:t>作，但认为应就违规事件采取目前的纪律行动，原因是金龙的合规系统存在重大缺失且未设有足够的系统以避免发生违规事件。其资源紧张（金龙在有关期间资源及人力的重点是针对其前执行董事、首席行政官及首席投资官的不当行为而进行的调查及民事诉讼）而未能根据香港《收购守则》规则</w:t>
      </w:r>
      <w:r>
        <w:rPr>
          <w:lang w:eastAsia="zh-CN"/>
        </w:rPr>
        <w:t>22.1(a)</w:t>
      </w:r>
      <w:r>
        <w:rPr>
          <w:lang w:eastAsia="zh-CN"/>
        </w:rPr>
        <w:t>作出披露的解释，并未获执行人员接受。</w:t>
      </w:r>
    </w:p>
    <w:p w:rsidR="00121FA2" w:rsidRDefault="000E687E">
      <w:pPr>
        <w:pStyle w:val="BodyText"/>
        <w:rPr>
          <w:lang w:eastAsia="zh-CN"/>
        </w:rPr>
      </w:pPr>
      <w:r>
        <w:rPr>
          <w:lang w:eastAsia="zh-CN"/>
        </w:rPr>
        <w:t>执行人员指出，《收购守则》</w:t>
      </w:r>
      <w:r>
        <w:rPr>
          <w:lang w:eastAsia="zh-CN"/>
        </w:rPr>
        <w:t>22.1(a)</w:t>
      </w:r>
      <w:r>
        <w:rPr>
          <w:lang w:eastAsia="zh-CN"/>
        </w:rPr>
        <w:t>刻意订明繁冗的披露规则，目的是要阐明在作出要约或可能要约的关键期内，高透明度对受要约公司股份及（就证券交换要约而言，要约人公司股份）的市场能否有效率地运作而言，</w:t>
      </w:r>
      <w:r>
        <w:rPr>
          <w:lang w:eastAsia="zh-CN"/>
        </w:rPr>
        <w:t>至关重要。就联系人的交易作出适时及准确的资料披露，是确保收购在有序的架构内进行及维持市场廉洁稳健的关键所在。这做法符合《收购守则》一般原则</w:t>
      </w:r>
      <w:r>
        <w:rPr>
          <w:lang w:eastAsia="zh-CN"/>
        </w:rPr>
        <w:t>6</w:t>
      </w:r>
      <w:r>
        <w:rPr>
          <w:lang w:eastAsia="zh-CN"/>
        </w:rPr>
        <w:t>。</w:t>
      </w:r>
    </w:p>
    <w:p w:rsidR="00121FA2" w:rsidRDefault="000E687E">
      <w:pPr>
        <w:pStyle w:val="BodyText"/>
        <w:rPr>
          <w:lang w:eastAsia="zh-CN"/>
        </w:rPr>
      </w:pPr>
      <w:r>
        <w:rPr>
          <w:lang w:eastAsia="zh-CN"/>
        </w:rPr>
        <w:t>金龙采取的补救行动</w:t>
      </w:r>
    </w:p>
    <w:p w:rsidR="00121FA2" w:rsidRDefault="000E687E">
      <w:pPr>
        <w:pStyle w:val="BodyText"/>
        <w:rPr>
          <w:lang w:eastAsia="zh-CN"/>
        </w:rPr>
      </w:pPr>
      <w:r>
        <w:rPr>
          <w:lang w:eastAsia="zh-CN"/>
        </w:rPr>
        <w:t>金龙对于违反《收购守则》表示道歉及就纪律行动而言，金龙已落实多项改善和补救措施以确保《收购守则》日后得到遵从，包括：</w:t>
      </w:r>
    </w:p>
    <w:p w:rsidR="00121FA2" w:rsidRDefault="000E687E">
      <w:pPr>
        <w:pStyle w:val="Compact"/>
        <w:numPr>
          <w:ilvl w:val="0"/>
          <w:numId w:val="16"/>
        </w:numPr>
        <w:rPr>
          <w:lang w:eastAsia="zh-CN"/>
        </w:rPr>
      </w:pPr>
      <w:r>
        <w:rPr>
          <w:lang w:eastAsia="zh-CN"/>
        </w:rPr>
        <w:t>金龙已指派职员定期检视：</w:t>
      </w:r>
    </w:p>
    <w:p w:rsidR="00121FA2" w:rsidRDefault="000E687E">
      <w:pPr>
        <w:pStyle w:val="Compact"/>
        <w:numPr>
          <w:ilvl w:val="1"/>
          <w:numId w:val="17"/>
        </w:numPr>
        <w:rPr>
          <w:lang w:eastAsia="zh-CN"/>
        </w:rPr>
      </w:pPr>
      <w:r>
        <w:rPr>
          <w:lang w:eastAsia="zh-CN"/>
        </w:rPr>
        <w:t>其现有投资组合下全部证券的所有股票仓盘；</w:t>
      </w:r>
    </w:p>
    <w:p w:rsidR="00121FA2" w:rsidRDefault="000E687E">
      <w:pPr>
        <w:pStyle w:val="Compact"/>
        <w:numPr>
          <w:ilvl w:val="1"/>
          <w:numId w:val="17"/>
        </w:numPr>
        <w:rPr>
          <w:lang w:eastAsia="zh-CN"/>
        </w:rPr>
      </w:pPr>
      <w:r>
        <w:rPr>
          <w:lang w:eastAsia="zh-CN"/>
        </w:rPr>
        <w:t>查核是否有任何股票持仓导致金龙成为任何在联交所上市的公司的联系人；</w:t>
      </w:r>
    </w:p>
    <w:p w:rsidR="00121FA2" w:rsidRDefault="000E687E">
      <w:pPr>
        <w:pStyle w:val="Compact"/>
        <w:numPr>
          <w:ilvl w:val="1"/>
          <w:numId w:val="17"/>
        </w:numPr>
        <w:rPr>
          <w:lang w:eastAsia="zh-CN"/>
        </w:rPr>
      </w:pPr>
      <w:r>
        <w:rPr>
          <w:lang w:eastAsia="zh-CN"/>
        </w:rPr>
        <w:t>金龙所管理的投资组合下全部证券于联交所网站登载的公告，留意有关公司有否作出展开要约期或与其有关的公告；及</w:t>
      </w:r>
    </w:p>
    <w:p w:rsidR="00121FA2" w:rsidRDefault="000E687E">
      <w:pPr>
        <w:pStyle w:val="Compact"/>
        <w:numPr>
          <w:ilvl w:val="1"/>
          <w:numId w:val="17"/>
        </w:numPr>
        <w:rPr>
          <w:lang w:eastAsia="zh-CN"/>
        </w:rPr>
      </w:pPr>
      <w:r>
        <w:rPr>
          <w:lang w:eastAsia="zh-CN"/>
        </w:rPr>
        <w:t>证监会网站登载的要约期一览表。</w:t>
      </w:r>
    </w:p>
    <w:p w:rsidR="00121FA2" w:rsidRDefault="000E687E">
      <w:pPr>
        <w:pStyle w:val="Compact"/>
        <w:numPr>
          <w:ilvl w:val="0"/>
          <w:numId w:val="16"/>
        </w:numPr>
        <w:rPr>
          <w:lang w:eastAsia="zh-CN"/>
        </w:rPr>
      </w:pPr>
      <w:r>
        <w:rPr>
          <w:lang w:eastAsia="zh-CN"/>
        </w:rPr>
        <w:t>金龙核心职能主管连同其他具胜任能力的职员一起检视了：</w:t>
      </w:r>
    </w:p>
    <w:p w:rsidR="00121FA2" w:rsidRDefault="000E687E">
      <w:pPr>
        <w:pStyle w:val="Compact"/>
        <w:numPr>
          <w:ilvl w:val="1"/>
          <w:numId w:val="18"/>
        </w:numPr>
        <w:rPr>
          <w:lang w:eastAsia="zh-CN"/>
        </w:rPr>
      </w:pPr>
      <w:r>
        <w:rPr>
          <w:lang w:eastAsia="zh-CN"/>
        </w:rPr>
        <w:lastRenderedPageBreak/>
        <w:t>其基金投资组合内的全部现有仓盘，并确认在检视之时，金龙并无持有占任何在联交所上市的公司的已发行股本总额合共超过</w:t>
      </w:r>
      <w:r>
        <w:rPr>
          <w:lang w:eastAsia="zh-CN"/>
        </w:rPr>
        <w:t>5%</w:t>
      </w:r>
      <w:r>
        <w:rPr>
          <w:lang w:eastAsia="zh-CN"/>
        </w:rPr>
        <w:t>；及</w:t>
      </w:r>
    </w:p>
    <w:p w:rsidR="00121FA2" w:rsidRDefault="000E687E">
      <w:pPr>
        <w:pStyle w:val="Compact"/>
        <w:numPr>
          <w:ilvl w:val="1"/>
          <w:numId w:val="18"/>
        </w:numPr>
        <w:rPr>
          <w:lang w:eastAsia="zh-CN"/>
        </w:rPr>
      </w:pPr>
      <w:r>
        <w:rPr>
          <w:lang w:eastAsia="zh-CN"/>
        </w:rPr>
        <w:t>所有内部合规及程序手册，并确认它们就金龙的资产管理业务而言是足够的，亦符合业界标准；及</w:t>
      </w:r>
    </w:p>
    <w:p w:rsidR="00121FA2" w:rsidRDefault="000E687E">
      <w:pPr>
        <w:pStyle w:val="Compact"/>
        <w:numPr>
          <w:ilvl w:val="0"/>
          <w:numId w:val="16"/>
        </w:numPr>
        <w:rPr>
          <w:lang w:eastAsia="zh-CN"/>
        </w:rPr>
      </w:pPr>
      <w:r>
        <w:rPr>
          <w:lang w:eastAsia="zh-CN"/>
        </w:rPr>
        <w:t>只要金龙继续经营其资产管理业务，它便会定期检上述上文</w:t>
      </w:r>
      <w:r>
        <w:rPr>
          <w:lang w:eastAsia="zh-CN"/>
        </w:rPr>
        <w:t>(b)</w:t>
      </w:r>
      <w:r>
        <w:rPr>
          <w:lang w:eastAsia="zh-CN"/>
        </w:rPr>
        <w:t>段所提述的程序。</w:t>
      </w:r>
    </w:p>
    <w:p w:rsidR="00121FA2" w:rsidRDefault="000E687E">
      <w:pPr>
        <w:pStyle w:val="Compact"/>
        <w:numPr>
          <w:ilvl w:val="0"/>
          <w:numId w:val="16"/>
        </w:numPr>
        <w:rPr>
          <w:lang w:eastAsia="zh-CN"/>
        </w:rPr>
      </w:pPr>
      <w:r>
        <w:rPr>
          <w:lang w:eastAsia="zh-CN"/>
        </w:rPr>
        <w:t>金龙已订阅证监会的相关提示信息（包括</w:t>
      </w:r>
      <w:r>
        <w:rPr>
          <w:lang w:eastAsia="zh-CN"/>
        </w:rPr>
        <w:t>《收购通讯》）。</w:t>
      </w:r>
    </w:p>
    <w:p w:rsidR="00121FA2" w:rsidRDefault="000E687E">
      <w:pPr>
        <w:pStyle w:val="FirstParagraph"/>
        <w:rPr>
          <w:lang w:eastAsia="zh-CN"/>
        </w:rPr>
      </w:pPr>
      <w:r>
        <w:rPr>
          <w:lang w:eastAsia="zh-CN"/>
        </w:rPr>
        <w:t>证监会提醒有意利用香港证券市场的从业员及人士，在进行有关收购和合并的事宜时，必须遵守《收购守则》。</w:t>
      </w:r>
    </w:p>
    <w:p w:rsidR="00121FA2" w:rsidRDefault="000E687E">
      <w:pPr>
        <w:pStyle w:val="BodyText"/>
        <w:rPr>
          <w:lang w:eastAsia="zh-CN"/>
        </w:rPr>
      </w:pPr>
      <w:r>
        <w:rPr>
          <w:lang w:eastAsia="zh-CN"/>
        </w:rPr>
        <w:t>执行人员声明可点击</w:t>
      </w:r>
      <w:hyperlink r:id="rId14">
        <w:r>
          <w:rPr>
            <w:lang w:eastAsia="zh-CN"/>
          </w:rPr>
          <w:t>此</w:t>
        </w:r>
        <w:r>
          <w:rPr>
            <w:lang w:eastAsia="zh-CN"/>
          </w:rPr>
          <w:t>处</w:t>
        </w:r>
      </w:hyperlink>
      <w:r>
        <w:rPr>
          <w:lang w:eastAsia="zh-CN"/>
        </w:rPr>
        <w:t>取览。</w:t>
      </w:r>
    </w:p>
    <w:p w:rsidR="00121FA2" w:rsidRDefault="000E687E">
      <w:pPr>
        <w:pStyle w:val="DisclaimerBold"/>
        <w:rPr>
          <w:lang w:eastAsia="zh-CN"/>
        </w:rPr>
      </w:pPr>
      <w:r>
        <w:rPr>
          <w:lang w:eastAsia="zh-CN"/>
        </w:rPr>
        <w:t>此法讯仅为提供相关资料信息之用，其内容并</w:t>
      </w:r>
    </w:p>
    <w:p w:rsidR="00121FA2" w:rsidRDefault="000E687E">
      <w:pPr>
        <w:pStyle w:val="Disclaimer"/>
        <w:rPr>
          <w:lang w:eastAsia="zh-CN"/>
        </w:rPr>
      </w:pPr>
      <w:r>
        <w:rPr>
          <w:lang w:eastAsia="zh-CN"/>
        </w:rPr>
        <w:t>不构成法律建议及个案的法律分析。</w:t>
      </w:r>
    </w:p>
    <w:p w:rsidR="00121FA2" w:rsidRDefault="000E687E">
      <w:pPr>
        <w:pStyle w:val="Disclaimer"/>
        <w:rPr>
          <w:lang w:eastAsia="zh-CN"/>
        </w:rPr>
      </w:pPr>
      <w:r>
        <w:rPr>
          <w:lang w:eastAsia="zh-CN"/>
        </w:rPr>
        <w:t>此法讯的发送并不是为了在易周律师行与用户或浏览者之间建立一种律师与客户之关系。</w:t>
      </w:r>
    </w:p>
    <w:p w:rsidR="00121FA2" w:rsidRDefault="000E687E">
      <w:pPr>
        <w:pStyle w:val="Disclaimer"/>
        <w:rPr>
          <w:lang w:eastAsia="zh-CN"/>
        </w:rPr>
      </w:pPr>
      <w:r>
        <w:rPr>
          <w:lang w:eastAsia="zh-CN"/>
        </w:rPr>
        <w:t>易周律师行并不对可从互联网获得的任何第三方内容负责。</w:t>
      </w:r>
    </w:p>
    <w:p w:rsidR="00121FA2" w:rsidRDefault="000E687E">
      <w:pPr>
        <w:pStyle w:val="Disclaimer"/>
        <w:rPr>
          <w:lang w:eastAsia="zh-CN"/>
        </w:rPr>
      </w:pPr>
      <w:r>
        <w:rPr>
          <w:lang w:eastAsia="zh-CN"/>
        </w:rPr>
        <w:t>如你不希望再收到易周法讯，请发送电邮至</w:t>
      </w:r>
      <w:r>
        <w:rPr>
          <w:lang w:eastAsia="zh-CN"/>
        </w:rPr>
        <w:t xml:space="preserve">  </w:t>
      </w:r>
      <w:hyperlink r:id="rId15">
        <w:r>
          <w:rPr>
            <w:lang w:eastAsia="zh-CN"/>
          </w:rPr>
          <w:t>unsubscribe@charltonslaw.com</w:t>
        </w:r>
      </w:hyperlink>
    </w:p>
    <w:p w:rsidR="00121FA2" w:rsidRDefault="000E687E">
      <w:pPr>
        <w:pStyle w:val="BlackStrips"/>
      </w:pPr>
      <w:r>
        <w:t>Charl</w:t>
      </w:r>
      <w:r>
        <w:t xml:space="preserve">tons - </w:t>
      </w:r>
      <w:r>
        <w:t>香港法律</w:t>
      </w:r>
      <w:r>
        <w:t xml:space="preserve"> - 2023</w:t>
      </w:r>
      <w:r>
        <w:t>年</w:t>
      </w:r>
      <w:r>
        <w:t>7</w:t>
      </w:r>
      <w:r>
        <w:t>月</w:t>
      </w:r>
      <w:r>
        <w:t>24</w:t>
      </w:r>
      <w:r>
        <w:t>日</w:t>
      </w:r>
    </w:p>
    <w:sectPr w:rsidR="00121FA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E687E">
      <w:pPr>
        <w:spacing w:after="0"/>
      </w:pPr>
      <w:r>
        <w:separator/>
      </w:r>
    </w:p>
  </w:endnote>
  <w:endnote w:type="continuationSeparator" w:id="0">
    <w:p w:rsidR="00000000" w:rsidRDefault="000E68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FA2" w:rsidRDefault="000E687E">
      <w:r>
        <w:separator/>
      </w:r>
    </w:p>
  </w:footnote>
  <w:footnote w:type="continuationSeparator" w:id="0">
    <w:p w:rsidR="00121FA2" w:rsidRDefault="000E6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B93EFC7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7CDCA6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8DF2152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73C0288E"/>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E687E"/>
    <w:rsid w:val="00121FA2"/>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169A"/>
  <w15:docId w15:val="{F7B18047-A0E6-4EDF-9C72-B91323BC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cn/fa-ting-ming-ling-sang-de-guo-ji-zhu-xi-xiang-tou-zi-zhe-gou-ru-gu-fen/" TargetMode="External"/><Relationship Id="rId13" Type="http://schemas.openxmlformats.org/officeDocument/2006/relationships/hyperlink" Target="https://apps.sfc.hk/edistributionWeb/gateway/TC/news-and-announcements/news/enforcement-news/doc?refNo=17PR140" TargetMode="External"/><Relationship Id="rId3" Type="http://schemas.openxmlformats.org/officeDocument/2006/relationships/settings" Target="settings.xml"/><Relationship Id="rId7" Type="http://schemas.openxmlformats.org/officeDocument/2006/relationships/hyperlink" Target="http://www.charltonslaw.com.cn/xiang-gang-lian-jiao-suo-ji-zheng-jian-hui-2022nian-10yue-de-ji-lu-xing-dong" TargetMode="External"/><Relationship Id="rId12" Type="http://schemas.openxmlformats.org/officeDocument/2006/relationships/hyperlink" Target="https://apps.sfc.hk/edistributionWeb/api/news/openAppendix?lang=EN&amp;refNo=22PR90&amp;appendix=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sfc.hk/edistributionWeb/api/news/openAppendix?lang=EN&amp;refNo=22PR79&amp;appendix=0" TargetMode="External"/><Relationship Id="rId5" Type="http://schemas.openxmlformats.org/officeDocument/2006/relationships/footnotes" Target="footnotes.xml"/><Relationship Id="rId15" Type="http://schemas.openxmlformats.org/officeDocument/2006/relationships/hyperlink" Target="mailto:unsubscribe@charltonslaw.com?subject=unsubscribe%20-Hong%20Kong%20Law-" TargetMode="External"/><Relationship Id="rId10" Type="http://schemas.openxmlformats.org/officeDocument/2006/relationships/hyperlink" Target="https://www.hkex.com.hk/-/media/HKEX-Market/Listing/Rules-and-Guidance/Disciplinary-and-Enforcement/Disciplinary-Sanctions/2022/221024_SoDA.pdf" TargetMode="External"/><Relationship Id="rId4" Type="http://schemas.openxmlformats.org/officeDocument/2006/relationships/webSettings" Target="webSettings.xml"/><Relationship Id="rId9" Type="http://schemas.openxmlformats.org/officeDocument/2006/relationships/hyperlink" Target="https://www.hkex.com.hk/-/media/HKEX-Market/Listing/Rules-and-Guidance/Disciplinary-and-Enforcement/Disciplinary-Sanctions/2022/221005_SoDA.pdf" TargetMode="External"/><Relationship Id="rId14" Type="http://schemas.openxmlformats.org/officeDocument/2006/relationships/hyperlink" Target="https://www.sfc.hk/-/media/EN/files/CF/pdf/Public_censure/Public-Statement_Eng_28-Oct-22.pdf?rev=673fcd3a54ad4794aa41968dd09c5c74&amp;hash=504870E2DEB07B32CE48A157D6FDC0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1366</Words>
  <Characters>7788</Characters>
  <Application>Microsoft Office Word</Application>
  <DocSecurity>0</DocSecurity>
  <Lines>64</Lines>
  <Paragraphs>18</Paragraphs>
  <ScaleCrop>false</ScaleCrop>
  <Company>Charltons</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2023-07-24T06:27:00Z</dcterms:created>
  <dcterms:modified xsi:type="dcterms:W3CDTF">2023-07-24T06:37:00Z</dcterms:modified>
</cp:coreProperties>
</file>