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7DD4" w:rsidRDefault="00D74612">
      <w:pPr>
        <w:pStyle w:val="BlackStrips"/>
      </w:pPr>
      <w:r>
        <w:t xml:space="preserve">Charltons - </w:t>
      </w:r>
      <w:r>
        <w:t>香港法律</w:t>
      </w:r>
      <w:r>
        <w:t xml:space="preserve"> - 2023</w:t>
      </w:r>
      <w:r>
        <w:t>年</w:t>
      </w:r>
      <w:r>
        <w:t>9</w:t>
      </w:r>
      <w:r>
        <w:t>月11</w:t>
      </w:r>
      <w:r>
        <w:t>日</w:t>
      </w:r>
    </w:p>
    <w:p w:rsidR="00837DD4" w:rsidRDefault="00D74612">
      <w:pPr>
        <w:pStyle w:val="ReadOnline"/>
        <w:rPr>
          <w:lang w:eastAsia="zh-CN"/>
        </w:rPr>
      </w:pPr>
      <w:hyperlink r:id="rId7">
        <w:r>
          <w:rPr>
            <w:lang w:eastAsia="zh-CN"/>
          </w:rPr>
          <w:t>online version</w:t>
        </w:r>
      </w:hyperlink>
    </w:p>
    <w:p w:rsidR="00837DD4" w:rsidRDefault="00D74612">
      <w:pPr>
        <w:pStyle w:val="Title"/>
        <w:rPr>
          <w:lang w:eastAsia="zh-CN"/>
        </w:rPr>
      </w:pPr>
      <w:r>
        <w:rPr>
          <w:lang w:eastAsia="zh-CN"/>
        </w:rPr>
        <w:t>香港交易所，证监会及金管局于</w:t>
      </w:r>
      <w:r>
        <w:rPr>
          <w:lang w:eastAsia="zh-CN"/>
        </w:rPr>
        <w:t>2022</w:t>
      </w:r>
      <w:r>
        <w:rPr>
          <w:lang w:eastAsia="zh-CN"/>
        </w:rPr>
        <w:t>年</w:t>
      </w:r>
      <w:r>
        <w:rPr>
          <w:lang w:eastAsia="zh-CN"/>
        </w:rPr>
        <w:t>9</w:t>
      </w:r>
      <w:r>
        <w:rPr>
          <w:lang w:eastAsia="zh-CN"/>
        </w:rPr>
        <w:t>月份采取的纪律行动</w:t>
      </w:r>
      <w:bookmarkStart w:id="0" w:name="_GoBack"/>
      <w:bookmarkEnd w:id="0"/>
    </w:p>
    <w:p w:rsidR="00837DD4" w:rsidRDefault="00D74612">
      <w:pPr>
        <w:pStyle w:val="FirstParagraph"/>
        <w:rPr>
          <w:lang w:eastAsia="zh-CN"/>
        </w:rPr>
      </w:pPr>
      <w:r>
        <w:rPr>
          <w:lang w:eastAsia="zh-CN"/>
        </w:rPr>
        <w:t>2022</w:t>
      </w:r>
      <w:r>
        <w:rPr>
          <w:lang w:eastAsia="zh-CN"/>
        </w:rPr>
        <w:t>年</w:t>
      </w:r>
      <w:r>
        <w:rPr>
          <w:lang w:eastAsia="zh-CN"/>
        </w:rPr>
        <w:t>9</w:t>
      </w:r>
      <w:r>
        <w:rPr>
          <w:lang w:eastAsia="zh-CN"/>
        </w:rPr>
        <w:t>月，香港联合交易所有限公司（</w:t>
      </w:r>
      <w:r>
        <w:rPr>
          <w:b/>
          <w:lang w:eastAsia="zh-CN"/>
        </w:rPr>
        <w:t>香港交易所</w:t>
      </w:r>
      <w:r>
        <w:rPr>
          <w:lang w:eastAsia="zh-CN"/>
        </w:rPr>
        <w:t>）刊发了一项针对国盛投资基金有限公司（现已除牌）</w:t>
      </w:r>
      <w:r>
        <w:rPr>
          <w:lang w:eastAsia="zh-CN"/>
        </w:rPr>
        <w:t>4</w:t>
      </w:r>
      <w:r>
        <w:rPr>
          <w:lang w:eastAsia="zh-CN"/>
        </w:rPr>
        <w:t>名董事的纪律行动，原因是该等董事未有配合及响应香港交易所的查询。</w:t>
      </w:r>
    </w:p>
    <w:p w:rsidR="00837DD4" w:rsidRDefault="00D74612">
      <w:pPr>
        <w:pStyle w:val="BodyText"/>
        <w:rPr>
          <w:lang w:eastAsia="zh-CN"/>
        </w:rPr>
      </w:pPr>
      <w:r>
        <w:rPr>
          <w:lang w:eastAsia="zh-CN"/>
        </w:rPr>
        <w:t>2022</w:t>
      </w:r>
      <w:r>
        <w:rPr>
          <w:lang w:eastAsia="zh-CN"/>
        </w:rPr>
        <w:t>年</w:t>
      </w:r>
      <w:r>
        <w:rPr>
          <w:lang w:eastAsia="zh-CN"/>
        </w:rPr>
        <w:t>9</w:t>
      </w:r>
      <w:r>
        <w:rPr>
          <w:lang w:eastAsia="zh-CN"/>
        </w:rPr>
        <w:t>月，证券及期货事务监察委员会（</w:t>
      </w:r>
      <w:r>
        <w:rPr>
          <w:b/>
          <w:lang w:eastAsia="zh-CN"/>
        </w:rPr>
        <w:t>证监会</w:t>
      </w:r>
      <w:r>
        <w:rPr>
          <w:lang w:eastAsia="zh-CN"/>
        </w:rPr>
        <w:t>）刊发了两项纪律行动。第一宗纪律行动是关于暂时吊销一名负责人员的牌照，原因是其违反认识你的客户规定、打击洗钱及恐怖分子资金筹集规定和其他监管规定。第二宗证监会纪律行动是关于暂时吊销</w:t>
      </w:r>
      <w:r>
        <w:rPr>
          <w:lang w:eastAsia="zh-CN"/>
        </w:rPr>
        <w:t>Trafalgar Capital Management (HK) Ltd.</w:t>
      </w:r>
      <w:r>
        <w:rPr>
          <w:lang w:eastAsia="zh-CN"/>
        </w:rPr>
        <w:t>的负责人员兼行政总裁</w:t>
      </w:r>
      <w:r>
        <w:rPr>
          <w:lang w:eastAsia="zh-CN"/>
        </w:rPr>
        <w:t>Christopher James Aarons</w:t>
      </w:r>
      <w:r>
        <w:rPr>
          <w:lang w:eastAsia="zh-CN"/>
        </w:rPr>
        <w:t>（男）的牌照，为期</w:t>
      </w:r>
      <w:r>
        <w:rPr>
          <w:lang w:eastAsia="zh-CN"/>
        </w:rPr>
        <w:t>2</w:t>
      </w:r>
      <w:r>
        <w:rPr>
          <w:lang w:eastAsia="zh-CN"/>
        </w:rPr>
        <w:t>年，</w:t>
      </w:r>
      <w:r>
        <w:rPr>
          <w:lang w:eastAsia="zh-CN"/>
        </w:rPr>
        <w:t>原因是其违反证监会《操守准则》。</w:t>
      </w:r>
    </w:p>
    <w:p w:rsidR="00837DD4" w:rsidRDefault="00D74612">
      <w:pPr>
        <w:pStyle w:val="BodyText"/>
        <w:rPr>
          <w:lang w:eastAsia="zh-CN"/>
        </w:rPr>
      </w:pPr>
      <w:r>
        <w:rPr>
          <w:lang w:eastAsia="zh-CN"/>
        </w:rPr>
        <w:t>香港金融管理局（</w:t>
      </w:r>
      <w:r>
        <w:rPr>
          <w:b/>
          <w:lang w:eastAsia="zh-CN"/>
        </w:rPr>
        <w:t>金管局</w:t>
      </w:r>
      <w:r>
        <w:rPr>
          <w:lang w:eastAsia="zh-CN"/>
        </w:rPr>
        <w:t>）刊发了其对国泰世华商业银行股份有限公司违反《打击洗钱及恐怖分子资金筹集条例》采取纪律处分行动的结果，该项纪律行动中金管局对国泰世华商业银行股份有限公司处以</w:t>
      </w:r>
      <w:r>
        <w:rPr>
          <w:lang w:eastAsia="zh-CN"/>
        </w:rPr>
        <w:t>11,000,000</w:t>
      </w:r>
      <w:r>
        <w:rPr>
          <w:lang w:eastAsia="zh-CN"/>
        </w:rPr>
        <w:t>港元罚款。</w:t>
      </w:r>
    </w:p>
    <w:p w:rsidR="00837DD4" w:rsidRDefault="00D74612">
      <w:pPr>
        <w:pStyle w:val="BodyText"/>
        <w:rPr>
          <w:lang w:eastAsia="zh-CN"/>
        </w:rPr>
      </w:pPr>
      <w:r>
        <w:rPr>
          <w:lang w:eastAsia="zh-CN"/>
        </w:rPr>
        <w:t>香港交易所对国盛投资基金有限公司（已除牌）</w:t>
      </w:r>
      <w:r>
        <w:rPr>
          <w:lang w:eastAsia="zh-CN"/>
        </w:rPr>
        <w:t>4</w:t>
      </w:r>
      <w:r>
        <w:rPr>
          <w:lang w:eastAsia="zh-CN"/>
        </w:rPr>
        <w:t>名现任及前任董事发出董事不适合性声明</w:t>
      </w:r>
    </w:p>
    <w:p w:rsidR="00837DD4" w:rsidRDefault="00D74612">
      <w:pPr>
        <w:pStyle w:val="BodyText"/>
        <w:rPr>
          <w:lang w:eastAsia="zh-CN"/>
        </w:rPr>
      </w:pPr>
      <w:r>
        <w:rPr>
          <w:lang w:eastAsia="zh-CN"/>
        </w:rPr>
        <w:t>2022</w:t>
      </w:r>
      <w:r>
        <w:rPr>
          <w:lang w:eastAsia="zh-CN"/>
        </w:rPr>
        <w:t>年</w:t>
      </w:r>
      <w:r>
        <w:rPr>
          <w:lang w:eastAsia="zh-CN"/>
        </w:rPr>
        <w:t>9</w:t>
      </w:r>
      <w:r>
        <w:rPr>
          <w:lang w:eastAsia="zh-CN"/>
        </w:rPr>
        <w:t>月</w:t>
      </w:r>
      <w:r>
        <w:rPr>
          <w:lang w:eastAsia="zh-CN"/>
        </w:rPr>
        <w:t>26</w:t>
      </w:r>
      <w:r>
        <w:rPr>
          <w:lang w:eastAsia="zh-CN"/>
        </w:rPr>
        <w:t>日，香港交易所刊发了一份纪律行动声明，公开谴责国盛投资基金有限公司（已除牌）四名前任及现任董事并对其发出董事不适合性声明，原因是该等董事未有配合香港交易所上市科展开的一</w:t>
      </w:r>
      <w:r>
        <w:rPr>
          <w:lang w:eastAsia="zh-CN"/>
        </w:rPr>
        <w:t>项调查。香港交易所的纪律行动声明载列于香港交易所网站</w:t>
      </w:r>
      <w:hyperlink r:id="rId8">
        <w:r>
          <w:rPr>
            <w:lang w:eastAsia="zh-CN"/>
          </w:rPr>
          <w:t>此处</w:t>
        </w:r>
      </w:hyperlink>
      <w:r>
        <w:rPr>
          <w:lang w:eastAsia="zh-CN"/>
        </w:rPr>
        <w:t>。</w:t>
      </w:r>
    </w:p>
    <w:p w:rsidR="00837DD4" w:rsidRDefault="00D74612">
      <w:pPr>
        <w:pStyle w:val="BodyText"/>
        <w:rPr>
          <w:lang w:eastAsia="zh-CN"/>
        </w:rPr>
      </w:pPr>
      <w:r>
        <w:rPr>
          <w:lang w:eastAsia="zh-CN"/>
        </w:rPr>
        <w:t>董事未有配合香港交易所调查</w:t>
      </w:r>
    </w:p>
    <w:p w:rsidR="00837DD4" w:rsidRDefault="00D74612">
      <w:pPr>
        <w:pStyle w:val="BodyText"/>
        <w:rPr>
          <w:lang w:eastAsia="zh-CN"/>
        </w:rPr>
      </w:pPr>
      <w:r>
        <w:rPr>
          <w:lang w:eastAsia="zh-CN"/>
        </w:rPr>
        <w:t>香港交易所就有关</w:t>
      </w:r>
      <w:r>
        <w:rPr>
          <w:lang w:eastAsia="zh-CN"/>
        </w:rPr>
        <w:t>2019</w:t>
      </w:r>
      <w:r>
        <w:rPr>
          <w:lang w:eastAsia="zh-CN"/>
        </w:rPr>
        <w:t>及</w:t>
      </w:r>
      <w:r>
        <w:rPr>
          <w:lang w:eastAsia="zh-CN"/>
        </w:rPr>
        <w:t>2020</w:t>
      </w:r>
      <w:r>
        <w:rPr>
          <w:lang w:eastAsia="zh-CN"/>
        </w:rPr>
        <w:t>年发生的事件调查该</w:t>
      </w:r>
      <w:r>
        <w:rPr>
          <w:lang w:eastAsia="zh-CN"/>
        </w:rPr>
        <w:t>4</w:t>
      </w:r>
      <w:r>
        <w:rPr>
          <w:lang w:eastAsia="zh-CN"/>
        </w:rPr>
        <w:t>名董事有否违反香港交易所《上市规则》。虽</w:t>
      </w:r>
      <w:r>
        <w:rPr>
          <w:lang w:eastAsia="zh-CN"/>
        </w:rPr>
        <w:t>然香港交易所上市科以信函及电话方式通知了每名董事有关调查，但是该</w:t>
      </w:r>
      <w:r>
        <w:rPr>
          <w:lang w:eastAsia="zh-CN"/>
        </w:rPr>
        <w:t>4</w:t>
      </w:r>
      <w:r>
        <w:rPr>
          <w:lang w:eastAsia="zh-CN"/>
        </w:rPr>
        <w:t>名董事未有响应香港交易所的查询。该</w:t>
      </w:r>
      <w:r>
        <w:rPr>
          <w:lang w:eastAsia="zh-CN"/>
        </w:rPr>
        <w:t>4</w:t>
      </w:r>
      <w:r>
        <w:rPr>
          <w:lang w:eastAsia="zh-CN"/>
        </w:rPr>
        <w:t>名董事中有</w:t>
      </w:r>
      <w:r>
        <w:rPr>
          <w:lang w:eastAsia="zh-CN"/>
        </w:rPr>
        <w:t>2</w:t>
      </w:r>
      <w:r>
        <w:rPr>
          <w:lang w:eastAsia="zh-CN"/>
        </w:rPr>
        <w:t>名董事最终在香港交易所开始有关纪律程序后给予了响应。其提供的关于不予以响应的理由包括：</w:t>
      </w:r>
      <w:r>
        <w:rPr>
          <w:lang w:eastAsia="zh-CN"/>
        </w:rPr>
        <w:t>(i)</w:t>
      </w:r>
      <w:r>
        <w:rPr>
          <w:lang w:eastAsia="zh-CN"/>
        </w:rPr>
        <w:t>不经常使用或查看电子邮件；</w:t>
      </w:r>
      <w:r>
        <w:rPr>
          <w:lang w:eastAsia="zh-CN"/>
        </w:rPr>
        <w:t>(ii)</w:t>
      </w:r>
      <w:r>
        <w:rPr>
          <w:lang w:eastAsia="zh-CN"/>
        </w:rPr>
        <w:t>忘记向香港交易所更新他们已登记的通讯地址；</w:t>
      </w:r>
      <w:r>
        <w:rPr>
          <w:lang w:eastAsia="zh-CN"/>
        </w:rPr>
        <w:t>(iii)</w:t>
      </w:r>
      <w:r>
        <w:rPr>
          <w:lang w:eastAsia="zh-CN"/>
        </w:rPr>
        <w:t>该公司由于已委任清盘人，他们不再参与该公司运作，所以认为不必回复香港交易所的查询；及</w:t>
      </w:r>
      <w:r>
        <w:rPr>
          <w:lang w:eastAsia="zh-CN"/>
        </w:rPr>
        <w:t>(iv)</w:t>
      </w:r>
      <w:r>
        <w:rPr>
          <w:lang w:eastAsia="zh-CN"/>
        </w:rPr>
        <w:t>作为该公司的独立非执行董事，他们对调查中的事项不知情。香港交易所认为以上任何解释均不能显示该等董事未能配合有关调查属合理正当。</w:t>
      </w:r>
    </w:p>
    <w:p w:rsidR="00837DD4" w:rsidRDefault="00D74612">
      <w:pPr>
        <w:pStyle w:val="BodyText"/>
        <w:rPr>
          <w:lang w:eastAsia="zh-CN"/>
        </w:rPr>
      </w:pPr>
      <w:r>
        <w:rPr>
          <w:lang w:eastAsia="zh-CN"/>
        </w:rPr>
        <w:t>4</w:t>
      </w:r>
      <w:r>
        <w:rPr>
          <w:lang w:eastAsia="zh-CN"/>
        </w:rPr>
        <w:t>名董事各自均已按香港交易所《上市规则》附录</w:t>
      </w:r>
      <w:r>
        <w:rPr>
          <w:lang w:eastAsia="zh-CN"/>
        </w:rPr>
        <w:t>5B</w:t>
      </w:r>
      <w:r>
        <w:rPr>
          <w:lang w:eastAsia="zh-CN"/>
        </w:rPr>
        <w:t>所载标准表格形式签署并向香港交易所作出了《董事声明及承诺》（</w:t>
      </w:r>
      <w:r>
        <w:rPr>
          <w:b/>
          <w:lang w:eastAsia="zh-CN"/>
        </w:rPr>
        <w:t>《董事承诺》</w:t>
      </w:r>
      <w:r>
        <w:rPr>
          <w:lang w:eastAsia="zh-CN"/>
        </w:rPr>
        <w:t>）。《董事承诺》包含一份承诺（其中包括），即相关董事均须：</w:t>
      </w:r>
      <w:r>
        <w:rPr>
          <w:lang w:eastAsia="zh-CN"/>
        </w:rPr>
        <w:t>(i)</w:t>
      </w:r>
      <w:r>
        <w:rPr>
          <w:lang w:eastAsia="zh-CN"/>
        </w:rPr>
        <w:t>在香港交易所上市科及</w:t>
      </w:r>
      <w:r>
        <w:rPr>
          <w:lang w:eastAsia="zh-CN"/>
        </w:rPr>
        <w:t>/</w:t>
      </w:r>
      <w:r>
        <w:rPr>
          <w:lang w:eastAsia="zh-CN"/>
        </w:rPr>
        <w:t>或香港交易所上市委员会所进行的任何调查中给予合作；</w:t>
      </w:r>
      <w:r>
        <w:rPr>
          <w:lang w:eastAsia="zh-CN"/>
        </w:rPr>
        <w:t>(ii)</w:t>
      </w:r>
      <w:r>
        <w:rPr>
          <w:lang w:eastAsia="zh-CN"/>
        </w:rPr>
        <w:t>及时及坦白地答复向该董事提出的任何问题；及</w:t>
      </w:r>
      <w:r>
        <w:rPr>
          <w:lang w:eastAsia="zh-CN"/>
        </w:rPr>
        <w:t>(iii)</w:t>
      </w:r>
      <w:r>
        <w:rPr>
          <w:lang w:eastAsia="zh-CN"/>
        </w:rPr>
        <w:t>在不再出任该公司董事的日期起计三年内向香港交易所提供其最新的联络资料，否则香港交易所向其发出的任何文件</w:t>
      </w:r>
      <w:r>
        <w:rPr>
          <w:lang w:eastAsia="zh-CN"/>
        </w:rPr>
        <w:t>/</w:t>
      </w:r>
      <w:r>
        <w:rPr>
          <w:lang w:eastAsia="zh-CN"/>
        </w:rPr>
        <w:t>通知书即被视为已向其送达。</w:t>
      </w:r>
    </w:p>
    <w:p w:rsidR="00837DD4" w:rsidRDefault="00D74612">
      <w:pPr>
        <w:pStyle w:val="BodyText"/>
        <w:rPr>
          <w:lang w:eastAsia="zh-CN"/>
        </w:rPr>
      </w:pPr>
      <w:r>
        <w:rPr>
          <w:lang w:eastAsia="zh-CN"/>
        </w:rPr>
        <w:t>上市委员会裁定的香港交易所《上市规则》下的违规事项</w:t>
      </w:r>
    </w:p>
    <w:p w:rsidR="00837DD4" w:rsidRDefault="00D74612">
      <w:pPr>
        <w:pStyle w:val="BodyText"/>
        <w:rPr>
          <w:lang w:eastAsia="zh-CN"/>
        </w:rPr>
      </w:pPr>
      <w:r>
        <w:rPr>
          <w:lang w:eastAsia="zh-CN"/>
        </w:rPr>
        <w:t>上市委员会裁</w:t>
      </w:r>
      <w:r>
        <w:rPr>
          <w:lang w:eastAsia="zh-CN"/>
        </w:rPr>
        <w:t>定该</w:t>
      </w:r>
      <w:r>
        <w:rPr>
          <w:lang w:eastAsia="zh-CN"/>
        </w:rPr>
        <w:t>4</w:t>
      </w:r>
      <w:r>
        <w:rPr>
          <w:lang w:eastAsia="zh-CN"/>
        </w:rPr>
        <w:t>名董事未有在调查中与香港交易所上市科合作而违反了其《董事承诺》。这被视为严重及</w:t>
      </w:r>
      <w:r>
        <w:rPr>
          <w:lang w:eastAsia="zh-CN"/>
        </w:rPr>
        <w:t>/</w:t>
      </w:r>
      <w:r>
        <w:rPr>
          <w:lang w:eastAsia="zh-CN"/>
        </w:rPr>
        <w:t>或一再违反香港交易所《上市规则》所述的董事职责。</w:t>
      </w:r>
    </w:p>
    <w:p w:rsidR="00837DD4" w:rsidRDefault="00D74612">
      <w:pPr>
        <w:pStyle w:val="BodyText"/>
      </w:pPr>
      <w:r>
        <w:t>香港交易所还指出：</w:t>
      </w:r>
    </w:p>
    <w:p w:rsidR="00837DD4" w:rsidRDefault="00D74612">
      <w:pPr>
        <w:pStyle w:val="Compact"/>
        <w:numPr>
          <w:ilvl w:val="0"/>
          <w:numId w:val="3"/>
        </w:numPr>
        <w:rPr>
          <w:lang w:eastAsia="zh-CN"/>
        </w:rPr>
      </w:pPr>
      <w:r>
        <w:rPr>
          <w:lang w:eastAsia="zh-CN"/>
        </w:rPr>
        <w:t>即使董事已辞任该上市公司董事，该名董事仍然有责任提供香港交易所合理要求的资料；</w:t>
      </w:r>
    </w:p>
    <w:p w:rsidR="00837DD4" w:rsidRDefault="00D74612">
      <w:pPr>
        <w:pStyle w:val="Compact"/>
        <w:numPr>
          <w:ilvl w:val="0"/>
          <w:numId w:val="3"/>
        </w:numPr>
        <w:rPr>
          <w:lang w:eastAsia="zh-CN"/>
        </w:rPr>
      </w:pPr>
      <w:r>
        <w:rPr>
          <w:lang w:eastAsia="zh-CN"/>
        </w:rPr>
        <w:t>上市公司即使被委任清盘人后其董事须配合上市科调查的责任仍然继续存在；</w:t>
      </w:r>
    </w:p>
    <w:p w:rsidR="00837DD4" w:rsidRDefault="00D74612">
      <w:pPr>
        <w:pStyle w:val="Compact"/>
        <w:numPr>
          <w:ilvl w:val="0"/>
          <w:numId w:val="3"/>
        </w:numPr>
        <w:rPr>
          <w:lang w:eastAsia="zh-CN"/>
        </w:rPr>
      </w:pPr>
      <w:r>
        <w:rPr>
          <w:lang w:eastAsia="zh-CN"/>
        </w:rPr>
        <w:lastRenderedPageBreak/>
        <w:t>董事有责任确保香港交易所可以从他们所提供的地址及</w:t>
      </w:r>
      <w:r>
        <w:rPr>
          <w:lang w:eastAsia="zh-CN"/>
        </w:rPr>
        <w:t>/</w:t>
      </w:r>
      <w:r>
        <w:rPr>
          <w:lang w:eastAsia="zh-CN"/>
        </w:rPr>
        <w:t>或电邮地址与他们联络（即便是其辞任董事之后）；及</w:t>
      </w:r>
    </w:p>
    <w:p w:rsidR="00837DD4" w:rsidRDefault="00D74612">
      <w:pPr>
        <w:pStyle w:val="Compact"/>
        <w:numPr>
          <w:ilvl w:val="0"/>
          <w:numId w:val="3"/>
        </w:numPr>
        <w:rPr>
          <w:lang w:eastAsia="zh-CN"/>
        </w:rPr>
      </w:pPr>
      <w:r>
        <w:rPr>
          <w:lang w:eastAsia="zh-CN"/>
        </w:rPr>
        <w:t>即使董事认为自己对调查事项的了解有限，也必须响应香港交易所上市科的查询。未有响应构成不合作行为并导致董事被</w:t>
      </w:r>
      <w:r>
        <w:rPr>
          <w:lang w:eastAsia="zh-CN"/>
        </w:rPr>
        <w:t>施加若干项制裁。</w:t>
      </w:r>
    </w:p>
    <w:p w:rsidR="00837DD4" w:rsidRDefault="00D74612">
      <w:pPr>
        <w:pStyle w:val="FirstParagraph"/>
        <w:rPr>
          <w:lang w:eastAsia="zh-CN"/>
        </w:rPr>
      </w:pPr>
      <w:r>
        <w:rPr>
          <w:lang w:eastAsia="zh-CN"/>
        </w:rPr>
        <w:t>证监会暂时吊销邓启成的牌照</w:t>
      </w:r>
      <w:r>
        <w:rPr>
          <w:lang w:eastAsia="zh-CN"/>
        </w:rPr>
        <w:t>8</w:t>
      </w:r>
      <w:r>
        <w:rPr>
          <w:lang w:eastAsia="zh-CN"/>
        </w:rPr>
        <w:t>个月</w:t>
      </w:r>
    </w:p>
    <w:p w:rsidR="00837DD4" w:rsidRDefault="00D74612">
      <w:pPr>
        <w:pStyle w:val="BodyText"/>
        <w:rPr>
          <w:lang w:eastAsia="zh-CN"/>
        </w:rPr>
      </w:pPr>
      <w:r>
        <w:rPr>
          <w:lang w:eastAsia="zh-CN"/>
        </w:rPr>
        <w:t>2022</w:t>
      </w:r>
      <w:r>
        <w:rPr>
          <w:lang w:eastAsia="zh-CN"/>
        </w:rPr>
        <w:t>年</w:t>
      </w:r>
      <w:r>
        <w:rPr>
          <w:lang w:eastAsia="zh-CN"/>
        </w:rPr>
        <w:t>9</w:t>
      </w:r>
      <w:r>
        <w:rPr>
          <w:lang w:eastAsia="zh-CN"/>
        </w:rPr>
        <w:t>月</w:t>
      </w:r>
      <w:r>
        <w:rPr>
          <w:lang w:eastAsia="zh-CN"/>
        </w:rPr>
        <w:t>5</w:t>
      </w:r>
      <w:r>
        <w:rPr>
          <w:lang w:eastAsia="zh-CN"/>
        </w:rPr>
        <w:t>日，证监会公告其已经暂时吊销日发期货有限公司（</w:t>
      </w:r>
      <w:r>
        <w:rPr>
          <w:b/>
          <w:lang w:eastAsia="zh-CN"/>
        </w:rPr>
        <w:t>日发</w:t>
      </w:r>
      <w:r>
        <w:rPr>
          <w:lang w:eastAsia="zh-CN"/>
        </w:rPr>
        <w:t>）负责人员兼董事总经理邓启成（男）的牌照，为期</w:t>
      </w:r>
      <w:r>
        <w:rPr>
          <w:lang w:eastAsia="zh-CN"/>
        </w:rPr>
        <w:t>8</w:t>
      </w:r>
      <w:r>
        <w:rPr>
          <w:lang w:eastAsia="zh-CN"/>
        </w:rPr>
        <w:t>个月，由</w:t>
      </w:r>
      <w:r>
        <w:rPr>
          <w:lang w:eastAsia="zh-CN"/>
        </w:rPr>
        <w:t>2022</w:t>
      </w:r>
      <w:r>
        <w:rPr>
          <w:lang w:eastAsia="zh-CN"/>
        </w:rPr>
        <w:t>年</w:t>
      </w:r>
      <w:r>
        <w:rPr>
          <w:lang w:eastAsia="zh-CN"/>
        </w:rPr>
        <w:t>9</w:t>
      </w:r>
      <w:r>
        <w:rPr>
          <w:lang w:eastAsia="zh-CN"/>
        </w:rPr>
        <w:t>月</w:t>
      </w:r>
      <w:r>
        <w:rPr>
          <w:lang w:eastAsia="zh-CN"/>
        </w:rPr>
        <w:t>2</w:t>
      </w:r>
      <w:r>
        <w:rPr>
          <w:lang w:eastAsia="zh-CN"/>
        </w:rPr>
        <w:t>日起。证监会针对邓启成采取的纪律行动的声明载列于证监会网站</w:t>
      </w:r>
      <w:hyperlink r:id="rId9">
        <w:r>
          <w:rPr>
            <w:lang w:eastAsia="zh-CN"/>
          </w:rPr>
          <w:t>此处</w:t>
        </w:r>
      </w:hyperlink>
      <w:r>
        <w:rPr>
          <w:lang w:eastAsia="zh-CN"/>
        </w:rPr>
        <w:t>。</w:t>
      </w:r>
    </w:p>
    <w:p w:rsidR="00837DD4" w:rsidRDefault="00D74612">
      <w:pPr>
        <w:pStyle w:val="BodyText"/>
        <w:rPr>
          <w:lang w:eastAsia="zh-CN"/>
        </w:rPr>
      </w:pPr>
      <w:r>
        <w:rPr>
          <w:lang w:eastAsia="zh-CN"/>
        </w:rPr>
        <w:t>证监会之前已发现，在</w:t>
      </w:r>
      <w:r>
        <w:rPr>
          <w:lang w:eastAsia="zh-CN"/>
        </w:rPr>
        <w:t>2016</w:t>
      </w:r>
      <w:r>
        <w:rPr>
          <w:lang w:eastAsia="zh-CN"/>
        </w:rPr>
        <w:t>年</w:t>
      </w:r>
      <w:r>
        <w:rPr>
          <w:lang w:eastAsia="zh-CN"/>
        </w:rPr>
        <w:t>5</w:t>
      </w:r>
      <w:r>
        <w:rPr>
          <w:lang w:eastAsia="zh-CN"/>
        </w:rPr>
        <w:t>月至</w:t>
      </w:r>
      <w:r>
        <w:rPr>
          <w:lang w:eastAsia="zh-CN"/>
        </w:rPr>
        <w:t>2018</w:t>
      </w:r>
      <w:r>
        <w:rPr>
          <w:lang w:eastAsia="zh-CN"/>
        </w:rPr>
        <w:t>年</w:t>
      </w:r>
      <w:r>
        <w:rPr>
          <w:lang w:eastAsia="zh-CN"/>
        </w:rPr>
        <w:t>10</w:t>
      </w:r>
      <w:r>
        <w:rPr>
          <w:lang w:eastAsia="zh-CN"/>
        </w:rPr>
        <w:t>月期间，日发没有：</w:t>
      </w:r>
    </w:p>
    <w:p w:rsidR="00837DD4" w:rsidRDefault="00D74612">
      <w:pPr>
        <w:pStyle w:val="Compact"/>
        <w:numPr>
          <w:ilvl w:val="0"/>
          <w:numId w:val="4"/>
        </w:numPr>
        <w:rPr>
          <w:lang w:eastAsia="zh-CN"/>
        </w:rPr>
      </w:pPr>
      <w:r>
        <w:rPr>
          <w:lang w:eastAsia="zh-CN"/>
        </w:rPr>
        <w:t>对客户用以发出交易指示的客户自设系统进行充分的尽职审查，亦没有评估并管理相关的洗钱及恐怖分子资金筹集风险和其他风险；及</w:t>
      </w:r>
    </w:p>
    <w:p w:rsidR="00837DD4" w:rsidRDefault="00D74612">
      <w:pPr>
        <w:pStyle w:val="Compact"/>
        <w:numPr>
          <w:ilvl w:val="0"/>
          <w:numId w:val="4"/>
        </w:numPr>
        <w:rPr>
          <w:lang w:eastAsia="zh-CN"/>
        </w:rPr>
      </w:pPr>
      <w:r>
        <w:rPr>
          <w:lang w:eastAsia="zh-CN"/>
        </w:rPr>
        <w:t>对客户的资金调动进行充分的持续监察，以确保其与客户的业务性质、风险状况及资金来源相符。</w:t>
      </w:r>
    </w:p>
    <w:p w:rsidR="00837DD4" w:rsidRDefault="00D74612">
      <w:pPr>
        <w:pStyle w:val="FirstParagraph"/>
        <w:rPr>
          <w:lang w:eastAsia="zh-CN"/>
        </w:rPr>
      </w:pPr>
      <w:r>
        <w:rPr>
          <w:lang w:eastAsia="zh-CN"/>
        </w:rPr>
        <w:t>基于上述缺失，证监会于</w:t>
      </w:r>
      <w:r>
        <w:rPr>
          <w:lang w:eastAsia="zh-CN"/>
        </w:rPr>
        <w:t>2022</w:t>
      </w:r>
      <w:r>
        <w:rPr>
          <w:lang w:eastAsia="zh-CN"/>
        </w:rPr>
        <w:t>年</w:t>
      </w:r>
      <w:r>
        <w:rPr>
          <w:lang w:eastAsia="zh-CN"/>
        </w:rPr>
        <w:t>7</w:t>
      </w:r>
      <w:r>
        <w:rPr>
          <w:lang w:eastAsia="zh-CN"/>
        </w:rPr>
        <w:t>月对日发处以罚款</w:t>
      </w:r>
      <w:r>
        <w:rPr>
          <w:lang w:eastAsia="zh-CN"/>
        </w:rPr>
        <w:t>900</w:t>
      </w:r>
      <w:r>
        <w:rPr>
          <w:lang w:eastAsia="zh-CN"/>
        </w:rPr>
        <w:t>万港元。更多关于证监会针对日发采取的纪律行动的资料，请参阅本行</w:t>
      </w:r>
      <w:hyperlink r:id="rId10">
        <w:r>
          <w:rPr>
            <w:lang w:eastAsia="zh-CN"/>
          </w:rPr>
          <w:t>法讯</w:t>
        </w:r>
      </w:hyperlink>
      <w:r>
        <w:rPr>
          <w:lang w:eastAsia="zh-CN"/>
        </w:rPr>
        <w:t>及</w:t>
      </w:r>
      <w:hyperlink r:id="rId11">
        <w:r>
          <w:rPr>
            <w:lang w:eastAsia="zh-CN"/>
          </w:rPr>
          <w:t>证监会针对日发的纪律行动声明</w:t>
        </w:r>
      </w:hyperlink>
      <w:r>
        <w:rPr>
          <w:lang w:eastAsia="zh-CN"/>
        </w:rPr>
        <w:t>。</w:t>
      </w:r>
    </w:p>
    <w:p w:rsidR="00837DD4" w:rsidRDefault="00D74612">
      <w:pPr>
        <w:pStyle w:val="BodyText"/>
        <w:rPr>
          <w:lang w:eastAsia="zh-CN"/>
        </w:rPr>
      </w:pPr>
      <w:r>
        <w:rPr>
          <w:lang w:eastAsia="zh-CN"/>
        </w:rPr>
        <w:t>未获授权的交易</w:t>
      </w:r>
    </w:p>
    <w:p w:rsidR="00837DD4" w:rsidRDefault="00D74612">
      <w:pPr>
        <w:pStyle w:val="BodyText"/>
        <w:rPr>
          <w:lang w:eastAsia="zh-CN"/>
        </w:rPr>
      </w:pPr>
      <w:r>
        <w:rPr>
          <w:lang w:eastAsia="zh-CN"/>
        </w:rPr>
        <w:t>证监会接获若干投诉，指多家持牌法团容许客户透过一款名为信管家的软件，向它</w:t>
      </w:r>
      <w:r>
        <w:rPr>
          <w:lang w:eastAsia="zh-CN"/>
        </w:rPr>
        <w:t>们的经纪自设系统发出交易指示，藉此让该等持牌法团的客户得以招揽中国内地的投资者，在无须与位于香港的该等持牌法团另行开设证券账户的情况下，藉由信管家经于该等客户所开立的账户之下开设的有关子账户进行买卖。日发曾是上述投诉所针对的该等持牌法团之一。在</w:t>
      </w:r>
      <w:r>
        <w:rPr>
          <w:lang w:eastAsia="zh-CN"/>
        </w:rPr>
        <w:t>2016</w:t>
      </w:r>
      <w:r>
        <w:rPr>
          <w:lang w:eastAsia="zh-CN"/>
        </w:rPr>
        <w:t>年</w:t>
      </w:r>
      <w:r>
        <w:rPr>
          <w:lang w:eastAsia="zh-CN"/>
        </w:rPr>
        <w:t>5</w:t>
      </w:r>
      <w:r>
        <w:rPr>
          <w:lang w:eastAsia="zh-CN"/>
        </w:rPr>
        <w:t>月至</w:t>
      </w:r>
      <w:r>
        <w:rPr>
          <w:lang w:eastAsia="zh-CN"/>
        </w:rPr>
        <w:t>2018</w:t>
      </w:r>
      <w:r>
        <w:rPr>
          <w:lang w:eastAsia="zh-CN"/>
        </w:rPr>
        <w:t>年</w:t>
      </w:r>
      <w:r>
        <w:rPr>
          <w:lang w:eastAsia="zh-CN"/>
        </w:rPr>
        <w:t>10</w:t>
      </w:r>
      <w:r>
        <w:rPr>
          <w:lang w:eastAsia="zh-CN"/>
        </w:rPr>
        <w:t>月期间，日发曾允许</w:t>
      </w:r>
      <w:r>
        <w:rPr>
          <w:lang w:eastAsia="zh-CN"/>
        </w:rPr>
        <w:t>310</w:t>
      </w:r>
      <w:r>
        <w:rPr>
          <w:lang w:eastAsia="zh-CN"/>
        </w:rPr>
        <w:t>名客户利用客户自设系统（包括信管家）发出交易指示</w:t>
      </w:r>
      <w:r>
        <w:rPr>
          <w:lang w:eastAsia="zh-CN"/>
        </w:rPr>
        <w:t xml:space="preserve"> </w:t>
      </w:r>
      <w:r>
        <w:rPr>
          <w:lang w:eastAsia="zh-CN"/>
        </w:rPr>
        <w:t>。</w:t>
      </w:r>
    </w:p>
    <w:p w:rsidR="00837DD4" w:rsidRDefault="00D74612">
      <w:pPr>
        <w:pStyle w:val="BodyText"/>
        <w:rPr>
          <w:lang w:eastAsia="zh-CN"/>
        </w:rPr>
      </w:pPr>
      <w:r>
        <w:rPr>
          <w:lang w:eastAsia="zh-CN"/>
        </w:rPr>
        <w:t>没有对客户自设系统进行充分的尽职审查</w:t>
      </w:r>
    </w:p>
    <w:p w:rsidR="00837DD4" w:rsidRDefault="00D74612">
      <w:pPr>
        <w:pStyle w:val="BodyText"/>
        <w:rPr>
          <w:lang w:eastAsia="zh-CN"/>
        </w:rPr>
      </w:pPr>
      <w:r>
        <w:rPr>
          <w:lang w:eastAsia="zh-CN"/>
        </w:rPr>
        <w:t>日发在容许客户自设系统连接至其经纪自设系统前，会先要求客户：</w:t>
      </w:r>
    </w:p>
    <w:p w:rsidR="00837DD4" w:rsidRDefault="00D74612">
      <w:pPr>
        <w:pStyle w:val="Compact"/>
        <w:numPr>
          <w:ilvl w:val="0"/>
          <w:numId w:val="5"/>
        </w:numPr>
        <w:rPr>
          <w:lang w:eastAsia="zh-CN"/>
        </w:rPr>
      </w:pPr>
      <w:r>
        <w:rPr>
          <w:lang w:eastAsia="zh-CN"/>
        </w:rPr>
        <w:t>向有关经纪自设系统的供货商（</w:t>
      </w:r>
      <w:r>
        <w:rPr>
          <w:lang w:eastAsia="zh-CN"/>
        </w:rPr>
        <w:t xml:space="preserve"> </w:t>
      </w:r>
      <w:r>
        <w:rPr>
          <w:lang w:eastAsia="zh-CN"/>
        </w:rPr>
        <w:t>经纪自设系统供货商）申请证书；及</w:t>
      </w:r>
    </w:p>
    <w:p w:rsidR="00837DD4" w:rsidRDefault="00D74612">
      <w:pPr>
        <w:pStyle w:val="Compact"/>
        <w:numPr>
          <w:ilvl w:val="0"/>
          <w:numId w:val="5"/>
        </w:numPr>
        <w:rPr>
          <w:lang w:eastAsia="zh-CN"/>
        </w:rPr>
      </w:pPr>
      <w:r>
        <w:rPr>
          <w:lang w:eastAsia="zh-CN"/>
        </w:rPr>
        <w:t>向日发请求作出最终批准，让他们使用客户自设系统。</w:t>
      </w:r>
    </w:p>
    <w:p w:rsidR="00837DD4" w:rsidRDefault="00D74612">
      <w:pPr>
        <w:pStyle w:val="FirstParagraph"/>
        <w:rPr>
          <w:lang w:eastAsia="zh-CN"/>
        </w:rPr>
      </w:pPr>
      <w:r>
        <w:rPr>
          <w:lang w:eastAsia="zh-CN"/>
        </w:rPr>
        <w:t>然而，日发并无对其客户使用的客户自设系统进行任何尽职审查或测试，而只是就客户自设系统与其经纪自设系统之间的连接进行穿行测试。虽然日发声称其依赖经纪自设系统供货商对客户自设系统进行尽职审查，但经纪自设系统供货商却表示日发从未指示它对客户自设系统进行任何尽职审查或测试，以查验有关系统的设计及功能，而它亦没有进行任何该等尽职审查或测试。</w:t>
      </w:r>
    </w:p>
    <w:p w:rsidR="00837DD4" w:rsidRDefault="00D74612">
      <w:pPr>
        <w:pStyle w:val="BodyText"/>
        <w:rPr>
          <w:lang w:eastAsia="zh-CN"/>
        </w:rPr>
      </w:pPr>
      <w:r>
        <w:rPr>
          <w:lang w:eastAsia="zh-CN"/>
        </w:rPr>
        <w:t>证监会认为，日发没有对客户自设系统的特点及功能进行尽职审查意味着</w:t>
      </w:r>
      <w:r>
        <w:rPr>
          <w:lang w:eastAsia="zh-CN"/>
        </w:rPr>
        <w:t>日发未能妥善评估因使用客户自设系统而产生的洗钱及恐怖分子资金筹集风险和其他风险，亦没有执行适当的监控程序来管理有关风险。由于日发没有该等妥善监控程序，证监会认为日发已承受与无牌活动、洗钱、代名人账户安排及未经授权而使用客户账户相关的风险。</w:t>
      </w:r>
    </w:p>
    <w:p w:rsidR="00837DD4" w:rsidRDefault="00D74612">
      <w:pPr>
        <w:pStyle w:val="BodyText"/>
        <w:rPr>
          <w:lang w:eastAsia="zh-CN"/>
        </w:rPr>
      </w:pPr>
      <w:r>
        <w:rPr>
          <w:lang w:eastAsia="zh-CN"/>
        </w:rPr>
        <w:t>没有对客户的资金调动进行充分的持续监察</w:t>
      </w:r>
    </w:p>
    <w:p w:rsidR="00837DD4" w:rsidRDefault="00D74612">
      <w:pPr>
        <w:pStyle w:val="BodyText"/>
        <w:rPr>
          <w:lang w:eastAsia="zh-CN"/>
        </w:rPr>
      </w:pPr>
      <w:r>
        <w:rPr>
          <w:lang w:eastAsia="zh-CN"/>
        </w:rPr>
        <w:t>存入</w:t>
      </w:r>
      <w:r>
        <w:rPr>
          <w:lang w:eastAsia="zh-CN"/>
        </w:rPr>
        <w:t>5</w:t>
      </w:r>
      <w:r>
        <w:rPr>
          <w:lang w:eastAsia="zh-CN"/>
        </w:rPr>
        <w:t>名客户的账户内的款额与他们的财政状况不相称，因此并不寻常及／或令人生疑。日发曾就交易量最高的</w:t>
      </w:r>
      <w:r>
        <w:rPr>
          <w:lang w:eastAsia="zh-CN"/>
        </w:rPr>
        <w:t>50</w:t>
      </w:r>
      <w:r>
        <w:rPr>
          <w:lang w:eastAsia="zh-CN"/>
        </w:rPr>
        <w:t>名客户的资金调动进行季度复核。就收到异常大额款额的</w:t>
      </w:r>
      <w:r>
        <w:rPr>
          <w:lang w:eastAsia="zh-CN"/>
        </w:rPr>
        <w:t>5</w:t>
      </w:r>
      <w:r>
        <w:rPr>
          <w:lang w:eastAsia="zh-CN"/>
        </w:rPr>
        <w:t>名客户，日发曾致电该</w:t>
      </w:r>
      <w:r>
        <w:rPr>
          <w:lang w:eastAsia="zh-CN"/>
        </w:rPr>
        <w:t>5</w:t>
      </w:r>
      <w:r>
        <w:rPr>
          <w:lang w:eastAsia="zh-CN"/>
        </w:rPr>
        <w:t>名客户，通知他们存入其账户内的款项超过所申报的资产净值，</w:t>
      </w:r>
      <w:r>
        <w:rPr>
          <w:lang w:eastAsia="zh-CN"/>
        </w:rPr>
        <w:t>但是日发只向该</w:t>
      </w:r>
      <w:r>
        <w:rPr>
          <w:lang w:eastAsia="zh-CN"/>
        </w:rPr>
        <w:t>5</w:t>
      </w:r>
      <w:r>
        <w:rPr>
          <w:lang w:eastAsia="zh-CN"/>
        </w:rPr>
        <w:t>名客户中的</w:t>
      </w:r>
      <w:r>
        <w:rPr>
          <w:lang w:eastAsia="zh-CN"/>
        </w:rPr>
        <w:t>4</w:t>
      </w:r>
      <w:r>
        <w:rPr>
          <w:lang w:eastAsia="zh-CN"/>
        </w:rPr>
        <w:t>人查询存款的理由。该等客户响应道，他们的存款超过资产净值是因其收入增加所致。日发接纳了该等客户的解释而没有进一步作出任何查询。证监会认为日发未有充分监察其客户的资金调动，以确保它们与客户的业务性质、风险状况及资金来源相符。</w:t>
      </w:r>
    </w:p>
    <w:p w:rsidR="00837DD4" w:rsidRDefault="00D74612">
      <w:pPr>
        <w:pStyle w:val="BodyText"/>
        <w:rPr>
          <w:lang w:eastAsia="zh-CN"/>
        </w:rPr>
      </w:pPr>
      <w:r>
        <w:rPr>
          <w:lang w:eastAsia="zh-CN"/>
        </w:rPr>
        <w:lastRenderedPageBreak/>
        <w:t>对证监会《操守准则》的违规之处</w:t>
      </w:r>
    </w:p>
    <w:p w:rsidR="00837DD4" w:rsidRDefault="00D74612">
      <w:pPr>
        <w:pStyle w:val="BodyText"/>
        <w:rPr>
          <w:lang w:eastAsia="zh-CN"/>
        </w:rPr>
      </w:pPr>
      <w:r>
        <w:rPr>
          <w:lang w:eastAsia="zh-CN"/>
        </w:rPr>
        <w:t>证监会裁定：日发的多项缺失构成违反证监会的</w:t>
      </w:r>
      <w:hyperlink r:id="rId12">
        <w:r>
          <w:rPr>
            <w:lang w:eastAsia="zh-CN"/>
          </w:rPr>
          <w:t>《证券及期货事务监察委员会持牌人或注册人操守准则》</w:t>
        </w:r>
      </w:hyperlink>
      <w:r>
        <w:rPr>
          <w:lang w:eastAsia="zh-CN"/>
        </w:rPr>
        <w:t>（</w:t>
      </w:r>
      <w:r>
        <w:rPr>
          <w:b/>
          <w:lang w:eastAsia="zh-CN"/>
        </w:rPr>
        <w:t>《操守准则》</w:t>
      </w:r>
      <w:r>
        <w:rPr>
          <w:lang w:eastAsia="zh-CN"/>
        </w:rPr>
        <w:t>）若干条文规定，包括第</w:t>
      </w:r>
      <w:r>
        <w:rPr>
          <w:lang w:eastAsia="zh-CN"/>
        </w:rPr>
        <w:t>2</w:t>
      </w:r>
      <w:r>
        <w:rPr>
          <w:lang w:eastAsia="zh-CN"/>
        </w:rPr>
        <w:t>项一般原则及第</w:t>
      </w:r>
      <w:r>
        <w:rPr>
          <w:lang w:eastAsia="zh-CN"/>
        </w:rPr>
        <w:t>3</w:t>
      </w:r>
      <w:r>
        <w:rPr>
          <w:lang w:eastAsia="zh-CN"/>
        </w:rPr>
        <w:t>项一般原则以及：</w:t>
      </w:r>
    </w:p>
    <w:p w:rsidR="00837DD4" w:rsidRDefault="00D74612">
      <w:pPr>
        <w:pStyle w:val="Compact"/>
        <w:numPr>
          <w:ilvl w:val="0"/>
          <w:numId w:val="6"/>
        </w:numPr>
        <w:rPr>
          <w:lang w:eastAsia="zh-CN"/>
        </w:rPr>
      </w:pPr>
      <w:r>
        <w:rPr>
          <w:lang w:eastAsia="zh-CN"/>
        </w:rPr>
        <w:t>第</w:t>
      </w:r>
      <w:r>
        <w:rPr>
          <w:lang w:eastAsia="zh-CN"/>
        </w:rPr>
        <w:t>4.3</w:t>
      </w:r>
      <w:r>
        <w:rPr>
          <w:lang w:eastAsia="zh-CN"/>
        </w:rPr>
        <w:t>段</w:t>
      </w:r>
      <w:r>
        <w:rPr>
          <w:lang w:eastAsia="zh-CN"/>
        </w:rPr>
        <w:t>–</w:t>
      </w:r>
      <w:r>
        <w:rPr>
          <w:lang w:eastAsia="zh-CN"/>
        </w:rPr>
        <w:t>设有妥善的内部监控程序、财政资源及操作能力，而按照合理的预期，这些程</w:t>
      </w:r>
      <w:r>
        <w:rPr>
          <w:lang w:eastAsia="zh-CN"/>
        </w:rPr>
        <w:t>序和能力足以保障持牌法团或注册机构的运作、客户或其他持牌人或注册人，以免其受偷窃、欺诈或其他不诚实的行为、专业上的失当行为或不作为而招致财政损失的责任；及</w:t>
      </w:r>
    </w:p>
    <w:p w:rsidR="00837DD4" w:rsidRDefault="00D74612">
      <w:pPr>
        <w:pStyle w:val="Compact"/>
        <w:numPr>
          <w:ilvl w:val="0"/>
          <w:numId w:val="6"/>
        </w:numPr>
        <w:rPr>
          <w:lang w:eastAsia="zh-CN"/>
        </w:rPr>
      </w:pPr>
      <w:r>
        <w:rPr>
          <w:lang w:eastAsia="zh-CN"/>
        </w:rPr>
        <w:t>第</w:t>
      </w:r>
      <w:r>
        <w:rPr>
          <w:lang w:eastAsia="zh-CN"/>
        </w:rPr>
        <w:t>5.1</w:t>
      </w:r>
      <w:r>
        <w:rPr>
          <w:lang w:eastAsia="zh-CN"/>
        </w:rPr>
        <w:t>段</w:t>
      </w:r>
      <w:r>
        <w:rPr>
          <w:lang w:eastAsia="zh-CN"/>
        </w:rPr>
        <w:t>–</w:t>
      </w:r>
      <w:r>
        <w:rPr>
          <w:lang w:eastAsia="zh-CN"/>
        </w:rPr>
        <w:t>采取一切合理步骤，以确立其每位客户的身分、每位客户的财政状况、投资经验及投资目标的责任。</w:t>
      </w:r>
    </w:p>
    <w:p w:rsidR="00837DD4" w:rsidRDefault="00D74612">
      <w:pPr>
        <w:pStyle w:val="FirstParagraph"/>
        <w:rPr>
          <w:lang w:eastAsia="zh-CN"/>
        </w:rPr>
      </w:pPr>
      <w:r>
        <w:rPr>
          <w:lang w:eastAsia="zh-CN"/>
        </w:rPr>
        <w:t>日发亦违反了《打击洗钱及恐怖分子资金筹集条例》（</w:t>
      </w:r>
      <w:r>
        <w:rPr>
          <w:b/>
          <w:lang w:eastAsia="zh-CN"/>
        </w:rPr>
        <w:t>《打击洗钱条例》</w:t>
      </w:r>
      <w:r>
        <w:rPr>
          <w:lang w:eastAsia="zh-CN"/>
        </w:rPr>
        <w:t>）及《打击洗钱及恐怖分子资金筹集指引》（</w:t>
      </w:r>
      <w:r>
        <w:rPr>
          <w:b/>
          <w:lang w:eastAsia="zh-CN"/>
        </w:rPr>
        <w:t>《打击洗钱指引》</w:t>
      </w:r>
      <w:r>
        <w:rPr>
          <w:lang w:eastAsia="zh-CN"/>
        </w:rPr>
        <w:t>）下若干条文规定，其中包括：</w:t>
      </w:r>
    </w:p>
    <w:p w:rsidR="00837DD4" w:rsidRDefault="00D74612">
      <w:pPr>
        <w:pStyle w:val="Compact"/>
        <w:numPr>
          <w:ilvl w:val="0"/>
          <w:numId w:val="7"/>
        </w:numPr>
        <w:rPr>
          <w:lang w:eastAsia="zh-CN"/>
        </w:rPr>
      </w:pPr>
      <w:r>
        <w:rPr>
          <w:lang w:eastAsia="zh-CN"/>
        </w:rPr>
        <w:t>《打击洗钱条例》附表</w:t>
      </w:r>
      <w:r>
        <w:rPr>
          <w:lang w:eastAsia="zh-CN"/>
        </w:rPr>
        <w:t>2</w:t>
      </w:r>
      <w:r>
        <w:rPr>
          <w:lang w:eastAsia="zh-CN"/>
        </w:rPr>
        <w:t>第</w:t>
      </w:r>
      <w:r>
        <w:rPr>
          <w:lang w:eastAsia="zh-CN"/>
        </w:rPr>
        <w:t>23</w:t>
      </w:r>
      <w:r>
        <w:rPr>
          <w:lang w:eastAsia="zh-CN"/>
        </w:rPr>
        <w:t>条及《打击洗钱指引》第</w:t>
      </w:r>
      <w:r>
        <w:rPr>
          <w:lang w:eastAsia="zh-CN"/>
        </w:rPr>
        <w:t>2.1</w:t>
      </w:r>
      <w:r>
        <w:rPr>
          <w:lang w:eastAsia="zh-CN"/>
        </w:rPr>
        <w:t>段，当中规定持牌法团须：</w:t>
      </w:r>
      <w:r>
        <w:rPr>
          <w:lang w:eastAsia="zh-CN"/>
        </w:rPr>
        <w:t>(a)</w:t>
      </w:r>
      <w:r>
        <w:rPr>
          <w:lang w:eastAsia="zh-CN"/>
        </w:rPr>
        <w:t>执行充分的打击洗钱</w:t>
      </w:r>
      <w:r>
        <w:rPr>
          <w:lang w:eastAsia="zh-CN"/>
        </w:rPr>
        <w:t>及恐怖分子资金筹集政策、程序及管控措施；及</w:t>
      </w:r>
      <w:r>
        <w:rPr>
          <w:lang w:eastAsia="zh-CN"/>
        </w:rPr>
        <w:t>(b)</w:t>
      </w:r>
      <w:r>
        <w:rPr>
          <w:lang w:eastAsia="zh-CN"/>
        </w:rPr>
        <w:t>在推出任何新产品及服务前评估该产品及服务的风险以及确保执行适当的额外措施及管控程序，以管理相关的洗钱及恐怖分子资金筹集的风险；</w:t>
      </w:r>
    </w:p>
    <w:p w:rsidR="00837DD4" w:rsidRDefault="00D74612">
      <w:pPr>
        <w:pStyle w:val="Compact"/>
        <w:numPr>
          <w:ilvl w:val="0"/>
          <w:numId w:val="7"/>
        </w:numPr>
        <w:rPr>
          <w:lang w:eastAsia="zh-CN"/>
        </w:rPr>
      </w:pPr>
      <w:r>
        <w:rPr>
          <w:lang w:eastAsia="zh-CN"/>
        </w:rPr>
        <w:t>《打击洗钱条例》附表</w:t>
      </w:r>
      <w:r>
        <w:rPr>
          <w:lang w:eastAsia="zh-CN"/>
        </w:rPr>
        <w:t>2</w:t>
      </w:r>
      <w:r>
        <w:rPr>
          <w:lang w:eastAsia="zh-CN"/>
        </w:rPr>
        <w:t>第</w:t>
      </w:r>
      <w:r>
        <w:rPr>
          <w:lang w:eastAsia="zh-CN"/>
        </w:rPr>
        <w:t>5(1)(a)</w:t>
      </w:r>
      <w:r>
        <w:rPr>
          <w:lang w:eastAsia="zh-CN"/>
        </w:rPr>
        <w:t>条及《打击洗钱指引》第</w:t>
      </w:r>
      <w:r>
        <w:rPr>
          <w:lang w:eastAsia="zh-CN"/>
        </w:rPr>
        <w:t>4.7.12</w:t>
      </w:r>
      <w:r>
        <w:rPr>
          <w:lang w:eastAsia="zh-CN"/>
        </w:rPr>
        <w:t>和</w:t>
      </w:r>
      <w:r>
        <w:rPr>
          <w:lang w:eastAsia="zh-CN"/>
        </w:rPr>
        <w:t>5.1(a)</w:t>
      </w:r>
      <w:r>
        <w:rPr>
          <w:lang w:eastAsia="zh-CN"/>
        </w:rPr>
        <w:t>段，当中规定持牌法团须不时复核客户数据，以确保该等资料反映现况；</w:t>
      </w:r>
    </w:p>
    <w:p w:rsidR="00837DD4" w:rsidRDefault="00D74612">
      <w:pPr>
        <w:pStyle w:val="Compact"/>
        <w:numPr>
          <w:ilvl w:val="0"/>
          <w:numId w:val="7"/>
        </w:numPr>
        <w:rPr>
          <w:lang w:eastAsia="zh-CN"/>
        </w:rPr>
      </w:pPr>
      <w:r>
        <w:rPr>
          <w:lang w:eastAsia="zh-CN"/>
        </w:rPr>
        <w:t>《打击洗钱条例》附表</w:t>
      </w:r>
      <w:r>
        <w:rPr>
          <w:lang w:eastAsia="zh-CN"/>
        </w:rPr>
        <w:t>2</w:t>
      </w:r>
      <w:r>
        <w:rPr>
          <w:lang w:eastAsia="zh-CN"/>
        </w:rPr>
        <w:t>第</w:t>
      </w:r>
      <w:r>
        <w:rPr>
          <w:lang w:eastAsia="zh-CN"/>
        </w:rPr>
        <w:t>5(1)(b)</w:t>
      </w:r>
      <w:r>
        <w:rPr>
          <w:lang w:eastAsia="zh-CN"/>
        </w:rPr>
        <w:t>条及《打击洗钱指引》第</w:t>
      </w:r>
      <w:r>
        <w:rPr>
          <w:lang w:eastAsia="zh-CN"/>
        </w:rPr>
        <w:t>5.1(b)</w:t>
      </w:r>
      <w:r>
        <w:rPr>
          <w:lang w:eastAsia="zh-CN"/>
        </w:rPr>
        <w:t>段，当中规定持牌法团须藉监察客户的活动，以确保它们与持牌法团对客户的认知，以及客户的业务性质、风险状况及资金来源</w:t>
      </w:r>
      <w:r>
        <w:rPr>
          <w:lang w:eastAsia="zh-CN"/>
        </w:rPr>
        <w:t>相符，从而持续监察与客户的业务关系；</w:t>
      </w:r>
    </w:p>
    <w:p w:rsidR="00837DD4" w:rsidRDefault="00D74612">
      <w:pPr>
        <w:pStyle w:val="Compact"/>
        <w:numPr>
          <w:ilvl w:val="0"/>
          <w:numId w:val="7"/>
        </w:numPr>
        <w:rPr>
          <w:lang w:eastAsia="zh-CN"/>
        </w:rPr>
      </w:pPr>
      <w:r>
        <w:rPr>
          <w:lang w:eastAsia="zh-CN"/>
        </w:rPr>
        <w:t>《打击洗钱条例》附表</w:t>
      </w:r>
      <w:r>
        <w:rPr>
          <w:lang w:eastAsia="zh-CN"/>
        </w:rPr>
        <w:t>2</w:t>
      </w:r>
      <w:r>
        <w:rPr>
          <w:lang w:eastAsia="zh-CN"/>
        </w:rPr>
        <w:t>第</w:t>
      </w:r>
      <w:r>
        <w:rPr>
          <w:lang w:eastAsia="zh-CN"/>
        </w:rPr>
        <w:t>5(1)(c)</w:t>
      </w:r>
      <w:r>
        <w:rPr>
          <w:lang w:eastAsia="zh-CN"/>
        </w:rPr>
        <w:t>条及《打击洗钱指引》第</w:t>
      </w:r>
      <w:r>
        <w:rPr>
          <w:lang w:eastAsia="zh-CN"/>
        </w:rPr>
        <w:t>5.1(c)</w:t>
      </w:r>
      <w:r>
        <w:rPr>
          <w:lang w:eastAsia="zh-CN"/>
        </w:rPr>
        <w:t>、</w:t>
      </w:r>
      <w:r>
        <w:rPr>
          <w:lang w:eastAsia="zh-CN"/>
        </w:rPr>
        <w:t>5.10</w:t>
      </w:r>
      <w:r>
        <w:rPr>
          <w:lang w:eastAsia="zh-CN"/>
        </w:rPr>
        <w:t>及</w:t>
      </w:r>
      <w:r>
        <w:rPr>
          <w:lang w:eastAsia="zh-CN"/>
        </w:rPr>
        <w:t>5.11</w:t>
      </w:r>
      <w:r>
        <w:rPr>
          <w:lang w:eastAsia="zh-CN"/>
        </w:rPr>
        <w:t>段，当中规定持牌法团须识辨复杂、大额或异乎寻常的交易，并作出相关查询以查验该等交易的背景和目的，将有关查询及其结果记录在案，以及在怀疑有任何洗钱及恐怖分子资金筹集的情况时，向联合财富情报组报告所发现的情况。依据《打击洗钱指引》第</w:t>
      </w:r>
      <w:r>
        <w:rPr>
          <w:lang w:eastAsia="zh-CN"/>
        </w:rPr>
        <w:t>7.11</w:t>
      </w:r>
      <w:r>
        <w:rPr>
          <w:lang w:eastAsia="zh-CN"/>
        </w:rPr>
        <w:t>段，如某项交易在金额、来源、目的地或类别方面与客户已知的合法业务或其个人活动不一致，该项交易应视为异常，持牌法团便应提高警觉。</w:t>
      </w:r>
    </w:p>
    <w:p w:rsidR="00837DD4" w:rsidRDefault="00D74612">
      <w:pPr>
        <w:pStyle w:val="FirstParagraph"/>
      </w:pPr>
      <w:r>
        <w:rPr>
          <w:lang w:eastAsia="zh-CN"/>
        </w:rPr>
        <w:t>鉴于邓自</w:t>
      </w:r>
      <w:r>
        <w:rPr>
          <w:lang w:eastAsia="zh-CN"/>
        </w:rPr>
        <w:t>2015</w:t>
      </w:r>
      <w:r>
        <w:rPr>
          <w:lang w:eastAsia="zh-CN"/>
        </w:rPr>
        <w:t>年</w:t>
      </w:r>
      <w:r>
        <w:rPr>
          <w:lang w:eastAsia="zh-CN"/>
        </w:rPr>
        <w:t>2</w:t>
      </w:r>
      <w:r>
        <w:rPr>
          <w:lang w:eastAsia="zh-CN"/>
        </w:rPr>
        <w:t>月起担任日发的董事总经理，而在发生若干违规之时亦是日发的最高级管理人员，因此他须就日发的整体营运负上最终责任。日发的违规行为由此乃归因于邓没有履行其作为日发的负责人员及高级管理人员的职责。</w:t>
      </w:r>
      <w:r>
        <w:t>邓被发现没有：</w:t>
      </w:r>
    </w:p>
    <w:p w:rsidR="00837DD4" w:rsidRDefault="00D74612">
      <w:pPr>
        <w:pStyle w:val="Compact"/>
        <w:numPr>
          <w:ilvl w:val="0"/>
          <w:numId w:val="8"/>
        </w:numPr>
        <w:rPr>
          <w:lang w:eastAsia="zh-CN"/>
        </w:rPr>
      </w:pPr>
      <w:r>
        <w:rPr>
          <w:lang w:eastAsia="zh-CN"/>
        </w:rPr>
        <w:t>确保日发能够维持适当的操守标准及遵守恰当的程序，违反了证监会《操守准则》第</w:t>
      </w:r>
      <w:r>
        <w:rPr>
          <w:lang w:eastAsia="zh-CN"/>
        </w:rPr>
        <w:t>9</w:t>
      </w:r>
      <w:r>
        <w:rPr>
          <w:lang w:eastAsia="zh-CN"/>
        </w:rPr>
        <w:t>项一般原则；及</w:t>
      </w:r>
    </w:p>
    <w:p w:rsidR="00837DD4" w:rsidRDefault="00D74612">
      <w:pPr>
        <w:pStyle w:val="Compact"/>
        <w:numPr>
          <w:ilvl w:val="0"/>
          <w:numId w:val="8"/>
        </w:numPr>
        <w:rPr>
          <w:lang w:eastAsia="zh-CN"/>
        </w:rPr>
      </w:pPr>
      <w:r>
        <w:rPr>
          <w:lang w:eastAsia="zh-CN"/>
        </w:rPr>
        <w:t>适当地管理与日发的业务有关的风险，违反了证监会《操守准则》第</w:t>
      </w:r>
      <w:r>
        <w:rPr>
          <w:lang w:eastAsia="zh-CN"/>
        </w:rPr>
        <w:t>14.1</w:t>
      </w:r>
      <w:r>
        <w:rPr>
          <w:lang w:eastAsia="zh-CN"/>
        </w:rPr>
        <w:t>段。</w:t>
      </w:r>
    </w:p>
    <w:p w:rsidR="00837DD4" w:rsidRDefault="00D74612">
      <w:pPr>
        <w:pStyle w:val="FirstParagraph"/>
        <w:rPr>
          <w:lang w:eastAsia="zh-CN"/>
        </w:rPr>
      </w:pPr>
      <w:r>
        <w:rPr>
          <w:lang w:eastAsia="zh-CN"/>
        </w:rPr>
        <w:t>证监会认为邓行为失当，而其进行受规管活动的适当人选资格亦受到质疑。因此，证监会暂时吊销邓的牌照，为期</w:t>
      </w:r>
      <w:r>
        <w:rPr>
          <w:lang w:eastAsia="zh-CN"/>
        </w:rPr>
        <w:t>8</w:t>
      </w:r>
      <w:r>
        <w:rPr>
          <w:lang w:eastAsia="zh-CN"/>
        </w:rPr>
        <w:t>个月，由</w:t>
      </w:r>
      <w:r>
        <w:rPr>
          <w:lang w:eastAsia="zh-CN"/>
        </w:rPr>
        <w:t>2022</w:t>
      </w:r>
      <w:r>
        <w:rPr>
          <w:lang w:eastAsia="zh-CN"/>
        </w:rPr>
        <w:t>年</w:t>
      </w:r>
      <w:r>
        <w:rPr>
          <w:lang w:eastAsia="zh-CN"/>
        </w:rPr>
        <w:t>9</w:t>
      </w:r>
      <w:r>
        <w:rPr>
          <w:lang w:eastAsia="zh-CN"/>
        </w:rPr>
        <w:t>月</w:t>
      </w:r>
      <w:r>
        <w:rPr>
          <w:lang w:eastAsia="zh-CN"/>
        </w:rPr>
        <w:t>2</w:t>
      </w:r>
      <w:r>
        <w:rPr>
          <w:lang w:eastAsia="zh-CN"/>
        </w:rPr>
        <w:t>日起至</w:t>
      </w:r>
      <w:r>
        <w:rPr>
          <w:lang w:eastAsia="zh-CN"/>
        </w:rPr>
        <w:t>2023</w:t>
      </w:r>
      <w:r>
        <w:rPr>
          <w:lang w:eastAsia="zh-CN"/>
        </w:rPr>
        <w:t>年</w:t>
      </w:r>
      <w:r>
        <w:rPr>
          <w:lang w:eastAsia="zh-CN"/>
        </w:rPr>
        <w:t>5</w:t>
      </w:r>
      <w:r>
        <w:rPr>
          <w:lang w:eastAsia="zh-CN"/>
        </w:rPr>
        <w:t>月</w:t>
      </w:r>
      <w:r>
        <w:rPr>
          <w:lang w:eastAsia="zh-CN"/>
        </w:rPr>
        <w:t>1</w:t>
      </w:r>
      <w:r>
        <w:rPr>
          <w:lang w:eastAsia="zh-CN"/>
        </w:rPr>
        <w:t>日止。</w:t>
      </w:r>
    </w:p>
    <w:p w:rsidR="00837DD4" w:rsidRDefault="00D74612">
      <w:pPr>
        <w:pStyle w:val="BodyText"/>
      </w:pPr>
      <w:r>
        <w:t>证监会因</w:t>
      </w:r>
      <w:r>
        <w:t>Christopher James Aarons</w:t>
      </w:r>
      <w:r>
        <w:t>违反证监会《操守准则》暂时吊销其牌照为期</w:t>
      </w:r>
      <w:r>
        <w:t>2</w:t>
      </w:r>
      <w:r>
        <w:t>年</w:t>
      </w:r>
    </w:p>
    <w:p w:rsidR="00837DD4" w:rsidRDefault="00D74612">
      <w:pPr>
        <w:pStyle w:val="BodyText"/>
        <w:rPr>
          <w:lang w:eastAsia="zh-CN"/>
        </w:rPr>
      </w:pPr>
      <w:r>
        <w:t>2022</w:t>
      </w:r>
      <w:r>
        <w:t>年</w:t>
      </w:r>
      <w:r>
        <w:t>9</w:t>
      </w:r>
      <w:r>
        <w:t>月</w:t>
      </w:r>
      <w:r>
        <w:t>29</w:t>
      </w:r>
      <w:r>
        <w:t>日，证监会公布其已暂时吊销</w:t>
      </w:r>
      <w:r>
        <w:t>Trafalgar Capital Management (HK) Ltd.</w:t>
      </w:r>
      <w:r>
        <w:t>（</w:t>
      </w:r>
      <w:r>
        <w:rPr>
          <w:b/>
        </w:rPr>
        <w:t>Trafalgar</w:t>
      </w:r>
      <w:r>
        <w:t>）的行政总裁</w:t>
      </w:r>
      <w:r>
        <w:t>Christopher James Aarons</w:t>
      </w:r>
      <w:r>
        <w:t>（男）的牌照，为期</w:t>
      </w:r>
      <w:r>
        <w:t>2</w:t>
      </w:r>
      <w:r>
        <w:t>年，由</w:t>
      </w:r>
      <w:r>
        <w:t>2022</w:t>
      </w:r>
      <w:r>
        <w:t>年</w:t>
      </w:r>
      <w:r>
        <w:t>9</w:t>
      </w:r>
      <w:r>
        <w:t>月</w:t>
      </w:r>
      <w:r>
        <w:t>27</w:t>
      </w:r>
      <w:r>
        <w:t>日起至</w:t>
      </w:r>
      <w:r>
        <w:t>2024</w:t>
      </w:r>
      <w:r>
        <w:t>年</w:t>
      </w:r>
      <w:r>
        <w:t>9</w:t>
      </w:r>
      <w:r>
        <w:t>月</w:t>
      </w:r>
      <w:r>
        <w:t>26</w:t>
      </w:r>
      <w:r>
        <w:t>日止。</w:t>
      </w:r>
      <w:r>
        <w:rPr>
          <w:lang w:eastAsia="zh-CN"/>
        </w:rPr>
        <w:t>证监会早前因</w:t>
      </w:r>
      <w:r>
        <w:rPr>
          <w:lang w:eastAsia="zh-CN"/>
        </w:rPr>
        <w:t>Aarons</w:t>
      </w:r>
      <w:r>
        <w:rPr>
          <w:lang w:eastAsia="zh-CN"/>
        </w:rPr>
        <w:t>违反其《操守准则》而对他采取纪律行动，而这决定已获证券及期货事务上诉审裁处（</w:t>
      </w:r>
      <w:r>
        <w:rPr>
          <w:b/>
          <w:lang w:eastAsia="zh-CN"/>
        </w:rPr>
        <w:t>上诉审裁处</w:t>
      </w:r>
      <w:r>
        <w:rPr>
          <w:lang w:eastAsia="zh-CN"/>
        </w:rPr>
        <w:t>）予以维持</w:t>
      </w:r>
      <w:r>
        <w:rPr>
          <w:lang w:eastAsia="zh-CN"/>
        </w:rPr>
        <w:t>。</w:t>
      </w:r>
    </w:p>
    <w:p w:rsidR="00837DD4" w:rsidRDefault="00D74612">
      <w:pPr>
        <w:pStyle w:val="BodyText"/>
        <w:rPr>
          <w:lang w:eastAsia="zh-CN"/>
        </w:rPr>
      </w:pPr>
      <w:r>
        <w:rPr>
          <w:lang w:eastAsia="zh-CN"/>
        </w:rPr>
        <w:lastRenderedPageBreak/>
        <w:t>证券及期货事务上诉审裁处（</w:t>
      </w:r>
      <w:r>
        <w:rPr>
          <w:b/>
          <w:lang w:eastAsia="zh-CN"/>
        </w:rPr>
        <w:t>上诉审裁处</w:t>
      </w:r>
      <w:r>
        <w:rPr>
          <w:lang w:eastAsia="zh-CN"/>
        </w:rPr>
        <w:t>）作出的裁定（证券及期货事务上诉审裁处申请编号</w:t>
      </w:r>
      <w:r>
        <w:rPr>
          <w:lang w:eastAsia="zh-CN"/>
        </w:rPr>
        <w:t>2021</w:t>
      </w:r>
      <w:r>
        <w:rPr>
          <w:lang w:eastAsia="zh-CN"/>
        </w:rPr>
        <w:t>年第</w:t>
      </w:r>
      <w:r>
        <w:rPr>
          <w:lang w:eastAsia="zh-CN"/>
        </w:rPr>
        <w:t>1</w:t>
      </w:r>
      <w:r>
        <w:rPr>
          <w:lang w:eastAsia="zh-CN"/>
        </w:rPr>
        <w:t>号）载列于上诉审裁处网站</w:t>
      </w:r>
      <w:hyperlink r:id="rId13">
        <w:r>
          <w:rPr>
            <w:lang w:eastAsia="zh-CN"/>
          </w:rPr>
          <w:t>此处</w:t>
        </w:r>
      </w:hyperlink>
      <w:r>
        <w:rPr>
          <w:lang w:eastAsia="zh-CN"/>
        </w:rPr>
        <w:t>。</w:t>
      </w:r>
    </w:p>
    <w:p w:rsidR="00837DD4" w:rsidRDefault="00D74612">
      <w:pPr>
        <w:pStyle w:val="BodyText"/>
        <w:rPr>
          <w:lang w:eastAsia="zh-CN"/>
        </w:rPr>
      </w:pPr>
      <w:r>
        <w:rPr>
          <w:lang w:eastAsia="zh-CN"/>
        </w:rPr>
        <w:t>依据重要非公开资料买卖在韩国交易所上市的股份</w:t>
      </w:r>
    </w:p>
    <w:p w:rsidR="00837DD4" w:rsidRDefault="00D74612">
      <w:pPr>
        <w:pStyle w:val="BodyText"/>
        <w:rPr>
          <w:lang w:eastAsia="zh-CN"/>
        </w:rPr>
      </w:pPr>
      <w:r>
        <w:rPr>
          <w:lang w:eastAsia="zh-CN"/>
        </w:rPr>
        <w:t>证监会是在韩国针对</w:t>
      </w:r>
      <w:r>
        <w:rPr>
          <w:lang w:eastAsia="zh-CN"/>
        </w:rPr>
        <w:t>Aarons</w:t>
      </w:r>
      <w:r>
        <w:rPr>
          <w:lang w:eastAsia="zh-CN"/>
        </w:rPr>
        <w:t>提起的行政法律程序完成后，采取上述纪律行动。此前，南韩的监管机构裁定</w:t>
      </w:r>
      <w:r>
        <w:rPr>
          <w:lang w:eastAsia="zh-CN"/>
        </w:rPr>
        <w:t>Aarons</w:t>
      </w:r>
      <w:r>
        <w:rPr>
          <w:lang w:eastAsia="zh-CN"/>
        </w:rPr>
        <w:t>违反了当地法例，原因是他曾依据重要非公开资料就一家在韩国交</w:t>
      </w:r>
      <w:r>
        <w:rPr>
          <w:lang w:eastAsia="zh-CN"/>
        </w:rPr>
        <w:t>易所上市的证券公司</w:t>
      </w:r>
      <w:hyperlink w:anchor="footnote-598-1">
        <w:r>
          <w:rPr>
            <w:vertAlign w:val="superscript"/>
            <w:lang w:eastAsia="zh-CN"/>
          </w:rPr>
          <w:t>1</w:t>
        </w:r>
      </w:hyperlink>
      <w:r>
        <w:rPr>
          <w:lang w:eastAsia="zh-CN"/>
        </w:rPr>
        <w:t>股份进行交易，而有关交易在当时的情况下是被禁止进行的。</w:t>
      </w:r>
    </w:p>
    <w:p w:rsidR="00837DD4" w:rsidRDefault="00D74612">
      <w:pPr>
        <w:pStyle w:val="BodyText"/>
        <w:rPr>
          <w:lang w:eastAsia="zh-CN"/>
        </w:rPr>
      </w:pPr>
      <w:r>
        <w:rPr>
          <w:lang w:eastAsia="zh-CN"/>
        </w:rPr>
        <w:t>上述非公开数据与该家在韩国交易所上市的证券公司的股份的大手交易有关，而</w:t>
      </w:r>
      <w:r>
        <w:rPr>
          <w:lang w:eastAsia="zh-CN"/>
        </w:rPr>
        <w:t>Aarons</w:t>
      </w:r>
      <w:r>
        <w:rPr>
          <w:lang w:eastAsia="zh-CN"/>
        </w:rPr>
        <w:t>是在一次于</w:t>
      </w:r>
      <w:r>
        <w:rPr>
          <w:lang w:eastAsia="zh-CN"/>
        </w:rPr>
        <w:t>2016</w:t>
      </w:r>
      <w:r>
        <w:rPr>
          <w:lang w:eastAsia="zh-CN"/>
        </w:rPr>
        <w:t>年</w:t>
      </w:r>
      <w:r>
        <w:rPr>
          <w:lang w:eastAsia="zh-CN"/>
        </w:rPr>
        <w:t>1</w:t>
      </w:r>
      <w:r>
        <w:rPr>
          <w:lang w:eastAsia="zh-CN"/>
        </w:rPr>
        <w:t>月进行的</w:t>
      </w:r>
      <w:r>
        <w:rPr>
          <w:lang w:eastAsia="zh-CN"/>
        </w:rPr>
        <w:t>“</w:t>
      </w:r>
      <w:r>
        <w:rPr>
          <w:lang w:eastAsia="zh-CN"/>
        </w:rPr>
        <w:t>市场探盘</w:t>
      </w:r>
      <w:r>
        <w:rPr>
          <w:lang w:eastAsia="zh-CN"/>
        </w:rPr>
        <w:t>”</w:t>
      </w:r>
      <w:hyperlink w:anchor="footnote-598-2">
        <w:r>
          <w:rPr>
            <w:vertAlign w:val="superscript"/>
            <w:lang w:eastAsia="zh-CN"/>
          </w:rPr>
          <w:t>2</w:t>
        </w:r>
      </w:hyperlink>
      <w:r>
        <w:rPr>
          <w:lang w:eastAsia="zh-CN"/>
        </w:rPr>
        <w:t>（</w:t>
      </w:r>
      <w:r>
        <w:rPr>
          <w:lang w:eastAsia="zh-CN"/>
        </w:rPr>
        <w:t>market sounding</w:t>
      </w:r>
      <w:r>
        <w:rPr>
          <w:lang w:eastAsia="zh-CN"/>
        </w:rPr>
        <w:t>）电话会议期间（即在大手交易公告发出前）从一名卖方经纪获得有关资料。尽管在与有关经纪的通话中并无提及任何特定证券公司的名称，但韩国</w:t>
      </w:r>
      <w:r>
        <w:rPr>
          <w:lang w:eastAsia="zh-CN"/>
        </w:rPr>
        <w:t>的法律程序裁定，通话中所提供予</w:t>
      </w:r>
      <w:r>
        <w:rPr>
          <w:lang w:eastAsia="zh-CN"/>
        </w:rPr>
        <w:t>Aarons</w:t>
      </w:r>
      <w:r>
        <w:rPr>
          <w:lang w:eastAsia="zh-CN"/>
        </w:rPr>
        <w:t>的数据具有足够的细节，使</w:t>
      </w:r>
      <w:r>
        <w:rPr>
          <w:lang w:eastAsia="zh-CN"/>
        </w:rPr>
        <w:t>Aarons</w:t>
      </w:r>
      <w:r>
        <w:rPr>
          <w:lang w:eastAsia="zh-CN"/>
        </w:rPr>
        <w:t>能够得出断定这些资料必定与韩国现代证券公司（</w:t>
      </w:r>
      <w:r>
        <w:rPr>
          <w:b/>
          <w:lang w:eastAsia="zh-CN"/>
        </w:rPr>
        <w:t>现代</w:t>
      </w:r>
      <w:r>
        <w:rPr>
          <w:lang w:eastAsia="zh-CN"/>
        </w:rPr>
        <w:t>）有关。</w:t>
      </w:r>
      <w:r>
        <w:rPr>
          <w:lang w:eastAsia="zh-CN"/>
        </w:rPr>
        <w:t>Aarons</w:t>
      </w:r>
      <w:r>
        <w:rPr>
          <w:lang w:eastAsia="zh-CN"/>
        </w:rPr>
        <w:t>在与该经纪的通话中没有接受跨墙</w:t>
      </w:r>
      <w:hyperlink w:anchor="footnote-598-3">
        <w:r>
          <w:rPr>
            <w:vertAlign w:val="superscript"/>
            <w:lang w:eastAsia="zh-CN"/>
          </w:rPr>
          <w:t>3</w:t>
        </w:r>
      </w:hyperlink>
      <w:r>
        <w:rPr>
          <w:lang w:eastAsia="zh-CN"/>
        </w:rPr>
        <w:t>（</w:t>
      </w:r>
      <w:r>
        <w:rPr>
          <w:lang w:eastAsia="zh-CN"/>
        </w:rPr>
        <w:t>wall-crossed</w:t>
      </w:r>
      <w:r>
        <w:rPr>
          <w:lang w:eastAsia="zh-CN"/>
        </w:rPr>
        <w:t>），但他提前结束与该经纪的通话，并在从该经纪获得有关资料后约</w:t>
      </w:r>
      <w:r>
        <w:rPr>
          <w:lang w:eastAsia="zh-CN"/>
        </w:rPr>
        <w:t>20</w:t>
      </w:r>
      <w:r>
        <w:rPr>
          <w:lang w:eastAsia="zh-CN"/>
        </w:rPr>
        <w:t>至</w:t>
      </w:r>
      <w:r>
        <w:rPr>
          <w:lang w:eastAsia="zh-CN"/>
        </w:rPr>
        <w:t>25</w:t>
      </w:r>
      <w:r>
        <w:rPr>
          <w:lang w:eastAsia="zh-CN"/>
        </w:rPr>
        <w:t>分钟就该公司股份作出淡仓掉期</w:t>
      </w:r>
      <w:hyperlink w:anchor="footnote-598-4">
        <w:r>
          <w:rPr>
            <w:vertAlign w:val="superscript"/>
            <w:lang w:eastAsia="zh-CN"/>
          </w:rPr>
          <w:t>4</w:t>
        </w:r>
      </w:hyperlink>
      <w:r>
        <w:rPr>
          <w:lang w:eastAsia="zh-CN"/>
        </w:rPr>
        <w:t>（</w:t>
      </w:r>
      <w:r>
        <w:rPr>
          <w:lang w:eastAsia="zh-CN"/>
        </w:rPr>
        <w:t>short swap</w:t>
      </w:r>
      <w:r>
        <w:rPr>
          <w:lang w:eastAsia="zh-CN"/>
        </w:rPr>
        <w:t>）的安排。</w:t>
      </w:r>
    </w:p>
    <w:p w:rsidR="00837DD4" w:rsidRDefault="00D74612">
      <w:pPr>
        <w:pStyle w:val="BodyText"/>
        <w:rPr>
          <w:lang w:eastAsia="zh-CN"/>
        </w:rPr>
      </w:pPr>
      <w:r>
        <w:rPr>
          <w:lang w:eastAsia="zh-CN"/>
        </w:rPr>
        <w:t>2021</w:t>
      </w:r>
      <w:r>
        <w:rPr>
          <w:lang w:eastAsia="zh-CN"/>
        </w:rPr>
        <w:t>年</w:t>
      </w:r>
      <w:r>
        <w:rPr>
          <w:lang w:eastAsia="zh-CN"/>
        </w:rPr>
        <w:t>1</w:t>
      </w:r>
      <w:r>
        <w:rPr>
          <w:lang w:eastAsia="zh-CN"/>
        </w:rPr>
        <w:t>月，依据对韩国法例的违反情况，证监会认为鉴于</w:t>
      </w:r>
      <w:r>
        <w:rPr>
          <w:lang w:eastAsia="zh-CN"/>
        </w:rPr>
        <w:t>Aarons</w:t>
      </w:r>
      <w:r>
        <w:rPr>
          <w:lang w:eastAsia="zh-CN"/>
        </w:rPr>
        <w:t>的行为已违反《操守准则》第</w:t>
      </w:r>
      <w:r>
        <w:rPr>
          <w:lang w:eastAsia="zh-CN"/>
        </w:rPr>
        <w:t>1</w:t>
      </w:r>
      <w:r>
        <w:rPr>
          <w:lang w:eastAsia="zh-CN"/>
        </w:rPr>
        <w:t>项（诚实及公平）及第</w:t>
      </w:r>
      <w:r>
        <w:rPr>
          <w:lang w:eastAsia="zh-CN"/>
        </w:rPr>
        <w:t>7</w:t>
      </w:r>
      <w:r>
        <w:rPr>
          <w:lang w:eastAsia="zh-CN"/>
        </w:rPr>
        <w:t>项（遵守法规）一般原则后，他并非继续作为持牌代表或</w:t>
      </w:r>
      <w:r>
        <w:rPr>
          <w:lang w:eastAsia="zh-CN"/>
        </w:rPr>
        <w:t>Trafalgar</w:t>
      </w:r>
      <w:r>
        <w:rPr>
          <w:lang w:eastAsia="zh-CN"/>
        </w:rPr>
        <w:t>的负责人员的适当人选。在证监会的法律程序中，</w:t>
      </w:r>
      <w:r>
        <w:rPr>
          <w:lang w:eastAsia="zh-CN"/>
        </w:rPr>
        <w:t>Aarons</w:t>
      </w:r>
      <w:r>
        <w:rPr>
          <w:lang w:eastAsia="zh-CN"/>
        </w:rPr>
        <w:t>否认了其买卖现代公司股份的行为违反了证监会《操守准则》并向上诉审裁处上诉。而上诉审裁处亦维持证监会暂时吊销</w:t>
      </w:r>
      <w:r>
        <w:rPr>
          <w:lang w:eastAsia="zh-CN"/>
        </w:rPr>
        <w:t>Aarons</w:t>
      </w:r>
      <w:r>
        <w:rPr>
          <w:lang w:eastAsia="zh-CN"/>
        </w:rPr>
        <w:t>担任代表的牌照及其作为负责人员的核准的决定，但将暂时吊销牌照和核准的期间由</w:t>
      </w:r>
      <w:r>
        <w:rPr>
          <w:lang w:eastAsia="zh-CN"/>
        </w:rPr>
        <w:t>3</w:t>
      </w:r>
      <w:r>
        <w:rPr>
          <w:lang w:eastAsia="zh-CN"/>
        </w:rPr>
        <w:t>年改为</w:t>
      </w:r>
      <w:r>
        <w:rPr>
          <w:lang w:eastAsia="zh-CN"/>
        </w:rPr>
        <w:t>2</w:t>
      </w:r>
      <w:r>
        <w:rPr>
          <w:lang w:eastAsia="zh-CN"/>
        </w:rPr>
        <w:t>年。</w:t>
      </w:r>
    </w:p>
    <w:p w:rsidR="00837DD4" w:rsidRDefault="00D74612">
      <w:pPr>
        <w:pStyle w:val="BodyText"/>
        <w:rPr>
          <w:lang w:eastAsia="zh-CN"/>
        </w:rPr>
      </w:pPr>
      <w:r>
        <w:rPr>
          <w:lang w:eastAsia="zh-CN"/>
        </w:rPr>
        <w:t>金管局对国泰世华商业银行股份有限公司香港分行处以罚款</w:t>
      </w:r>
      <w:r>
        <w:rPr>
          <w:lang w:eastAsia="zh-CN"/>
        </w:rPr>
        <w:t>1100</w:t>
      </w:r>
      <w:r>
        <w:rPr>
          <w:lang w:eastAsia="zh-CN"/>
        </w:rPr>
        <w:t>万</w:t>
      </w:r>
      <w:r>
        <w:rPr>
          <w:lang w:eastAsia="zh-CN"/>
        </w:rPr>
        <w:t>港元</w:t>
      </w:r>
    </w:p>
    <w:p w:rsidR="00837DD4" w:rsidRDefault="00D74612">
      <w:pPr>
        <w:pStyle w:val="BodyText"/>
        <w:rPr>
          <w:lang w:eastAsia="zh-CN"/>
        </w:rPr>
      </w:pPr>
      <w:r>
        <w:rPr>
          <w:lang w:eastAsia="zh-CN"/>
        </w:rPr>
        <w:t>2022</w:t>
      </w:r>
      <w:r>
        <w:rPr>
          <w:lang w:eastAsia="zh-CN"/>
        </w:rPr>
        <w:t>年</w:t>
      </w:r>
      <w:r>
        <w:rPr>
          <w:lang w:eastAsia="zh-CN"/>
        </w:rPr>
        <w:t>9</w:t>
      </w:r>
      <w:r>
        <w:rPr>
          <w:lang w:eastAsia="zh-CN"/>
        </w:rPr>
        <w:t>月</w:t>
      </w:r>
      <w:r>
        <w:rPr>
          <w:lang w:eastAsia="zh-CN"/>
        </w:rPr>
        <w:t>23</w:t>
      </w:r>
      <w:r>
        <w:rPr>
          <w:lang w:eastAsia="zh-CN"/>
        </w:rPr>
        <w:t>日，金管局宣布已完成对国泰世华商业银行股份有限公司香港分行（</w:t>
      </w:r>
      <w:r>
        <w:rPr>
          <w:b/>
          <w:lang w:eastAsia="zh-CN"/>
        </w:rPr>
        <w:t>「国泰世华」</w:t>
      </w:r>
      <w:r>
        <w:rPr>
          <w:lang w:eastAsia="zh-CN"/>
        </w:rPr>
        <w:t>）的调查及采取纪律处分行动，就国泰世华在</w:t>
      </w:r>
      <w:r>
        <w:rPr>
          <w:lang w:eastAsia="zh-CN"/>
        </w:rPr>
        <w:t>2012</w:t>
      </w:r>
      <w:r>
        <w:rPr>
          <w:lang w:eastAsia="zh-CN"/>
        </w:rPr>
        <w:t>年</w:t>
      </w:r>
      <w:r>
        <w:rPr>
          <w:lang w:eastAsia="zh-CN"/>
        </w:rPr>
        <w:t>4</w:t>
      </w:r>
      <w:r>
        <w:rPr>
          <w:lang w:eastAsia="zh-CN"/>
        </w:rPr>
        <w:t>月至</w:t>
      </w:r>
      <w:r>
        <w:rPr>
          <w:lang w:eastAsia="zh-CN"/>
        </w:rPr>
        <w:t>2016</w:t>
      </w:r>
      <w:r>
        <w:rPr>
          <w:lang w:eastAsia="zh-CN"/>
        </w:rPr>
        <w:t>年</w:t>
      </w:r>
      <w:r>
        <w:rPr>
          <w:lang w:eastAsia="zh-CN"/>
        </w:rPr>
        <w:t>2</w:t>
      </w:r>
      <w:r>
        <w:rPr>
          <w:lang w:eastAsia="zh-CN"/>
        </w:rPr>
        <w:t>月期间（</w:t>
      </w:r>
      <w:r>
        <w:rPr>
          <w:b/>
          <w:lang w:eastAsia="zh-CN"/>
        </w:rPr>
        <w:t>有关期间</w:t>
      </w:r>
      <w:r>
        <w:rPr>
          <w:lang w:eastAsia="zh-CN"/>
        </w:rPr>
        <w:t>）就进行持续客户尽职审查及对高风险情况进行严格客户尽职审查方面的缺失对其处以</w:t>
      </w:r>
      <w:r>
        <w:rPr>
          <w:lang w:eastAsia="zh-CN"/>
        </w:rPr>
        <w:t>1100</w:t>
      </w:r>
      <w:r>
        <w:rPr>
          <w:lang w:eastAsia="zh-CN"/>
        </w:rPr>
        <w:t>万港元罚款。有关纪律处分行动声明载列于金管局网站</w:t>
      </w:r>
      <w:hyperlink r:id="rId14">
        <w:r>
          <w:rPr>
            <w:lang w:eastAsia="zh-CN"/>
          </w:rPr>
          <w:t>此处</w:t>
        </w:r>
      </w:hyperlink>
      <w:r>
        <w:rPr>
          <w:lang w:eastAsia="zh-CN"/>
        </w:rPr>
        <w:t>。</w:t>
      </w:r>
    </w:p>
    <w:p w:rsidR="00837DD4" w:rsidRDefault="00D74612">
      <w:pPr>
        <w:pStyle w:val="BodyText"/>
        <w:rPr>
          <w:lang w:eastAsia="zh-CN"/>
        </w:rPr>
      </w:pPr>
      <w:r>
        <w:rPr>
          <w:lang w:eastAsia="zh-CN"/>
        </w:rPr>
        <w:t>违反《打击洗钱及恐怖分子资金筹集条例》</w:t>
      </w:r>
    </w:p>
    <w:p w:rsidR="00837DD4" w:rsidRDefault="00D74612">
      <w:pPr>
        <w:pStyle w:val="BodyText"/>
        <w:rPr>
          <w:lang w:eastAsia="zh-CN"/>
        </w:rPr>
      </w:pPr>
      <w:r>
        <w:rPr>
          <w:b/>
          <w:i/>
          <w:lang w:eastAsia="zh-CN"/>
        </w:rPr>
        <w:t>未有进行持续客户尽职审查</w:t>
      </w:r>
    </w:p>
    <w:p w:rsidR="00837DD4" w:rsidRDefault="00D74612">
      <w:pPr>
        <w:pStyle w:val="BodyText"/>
        <w:rPr>
          <w:lang w:eastAsia="zh-CN"/>
        </w:rPr>
      </w:pPr>
      <w:r>
        <w:rPr>
          <w:lang w:eastAsia="zh-CN"/>
        </w:rPr>
        <w:t>金管局裁定：国泰世华没有就</w:t>
      </w:r>
      <w:r>
        <w:rPr>
          <w:lang w:eastAsia="zh-CN"/>
        </w:rPr>
        <w:t>249</w:t>
      </w:r>
      <w:r>
        <w:rPr>
          <w:lang w:eastAsia="zh-CN"/>
        </w:rPr>
        <w:t>名客户进行定期复核，以确保所取得的客户尽职审查资料反映现况及仍属相关。具体原因在于，国泰世华香港：</w:t>
      </w:r>
      <w:r>
        <w:rPr>
          <w:lang w:eastAsia="zh-CN"/>
        </w:rPr>
        <w:t>(i)</w:t>
      </w:r>
      <w:r>
        <w:rPr>
          <w:lang w:eastAsia="zh-CN"/>
        </w:rPr>
        <w:t>因应</w:t>
      </w:r>
      <w:r>
        <w:rPr>
          <w:lang w:eastAsia="zh-CN"/>
        </w:rPr>
        <w:t>246</w:t>
      </w:r>
      <w:r>
        <w:rPr>
          <w:lang w:eastAsia="zh-CN"/>
        </w:rPr>
        <w:t>名客户发生触发事件时所作的定期复核，仅透过电话核实范围非常有限的资料；及</w:t>
      </w:r>
      <w:r>
        <w:rPr>
          <w:lang w:eastAsia="zh-CN"/>
        </w:rPr>
        <w:t xml:space="preserve"> (ii)</w:t>
      </w:r>
      <w:r>
        <w:rPr>
          <w:lang w:eastAsia="zh-CN"/>
        </w:rPr>
        <w:t>并未就三名高风险客户进行年度定期复核。国泰世华亦没有就</w:t>
      </w:r>
      <w:r>
        <w:rPr>
          <w:lang w:eastAsia="zh-CN"/>
        </w:rPr>
        <w:t>17</w:t>
      </w:r>
      <w:r>
        <w:rPr>
          <w:lang w:eastAsia="zh-CN"/>
        </w:rPr>
        <w:t>名高风险客户采取额外措施，以应对该等客户所引致的洗钱及恐怖分子资金筹集风险。</w:t>
      </w:r>
    </w:p>
    <w:p w:rsidR="00837DD4" w:rsidRDefault="00D74612">
      <w:pPr>
        <w:pStyle w:val="BodyText"/>
        <w:rPr>
          <w:lang w:eastAsia="zh-CN"/>
        </w:rPr>
      </w:pPr>
      <w:r>
        <w:rPr>
          <w:b/>
          <w:i/>
          <w:lang w:eastAsia="zh-CN"/>
        </w:rPr>
        <w:t>未有在高风险情况下进行严格客户尽职审查</w:t>
      </w:r>
    </w:p>
    <w:p w:rsidR="00837DD4" w:rsidRDefault="00D74612">
      <w:pPr>
        <w:pStyle w:val="BodyText"/>
        <w:rPr>
          <w:lang w:eastAsia="zh-CN"/>
        </w:rPr>
      </w:pPr>
      <w:r>
        <w:rPr>
          <w:lang w:eastAsia="zh-CN"/>
        </w:rPr>
        <w:t>就严格的客户尽职审查而言，国泰世华没有就</w:t>
      </w:r>
      <w:r>
        <w:rPr>
          <w:lang w:eastAsia="zh-CN"/>
        </w:rPr>
        <w:t>17</w:t>
      </w:r>
      <w:r>
        <w:rPr>
          <w:lang w:eastAsia="zh-CN"/>
        </w:rPr>
        <w:t>名高风险客户采取措施。具体而言，国泰世华没有取得高级管理层的批准以继续有关业务关系及</w:t>
      </w:r>
      <w:r>
        <w:rPr>
          <w:lang w:eastAsia="zh-CN"/>
        </w:rPr>
        <w:t>/</w:t>
      </w:r>
      <w:r>
        <w:rPr>
          <w:lang w:eastAsia="zh-CN"/>
        </w:rPr>
        <w:t>或采取合理措施以确立有关客户的财富来源及资金来源，或采取额外措施以减低所涉的洗钱及恐怖分子资金筹集风险。</w:t>
      </w:r>
    </w:p>
    <w:p w:rsidR="00837DD4" w:rsidRDefault="00D74612">
      <w:pPr>
        <w:pStyle w:val="BodyText"/>
        <w:rPr>
          <w:lang w:eastAsia="zh-CN"/>
        </w:rPr>
      </w:pPr>
      <w:r>
        <w:rPr>
          <w:lang w:eastAsia="zh-CN"/>
        </w:rPr>
        <w:t>由此，国泰世华被裁定已经违反了《打击洗钱及恐怖分子资金筹集条例》（</w:t>
      </w:r>
      <w:r>
        <w:rPr>
          <w:b/>
          <w:lang w:eastAsia="zh-CN"/>
        </w:rPr>
        <w:t>《打击洗钱条例》</w:t>
      </w:r>
      <w:r>
        <w:rPr>
          <w:lang w:eastAsia="zh-CN"/>
        </w:rPr>
        <w:t>）附表</w:t>
      </w:r>
      <w:r>
        <w:rPr>
          <w:lang w:eastAsia="zh-CN"/>
        </w:rPr>
        <w:t xml:space="preserve"> 2</w:t>
      </w:r>
      <w:r>
        <w:rPr>
          <w:lang w:eastAsia="zh-CN"/>
        </w:rPr>
        <w:t>第</w:t>
      </w:r>
      <w:r>
        <w:rPr>
          <w:lang w:eastAsia="zh-CN"/>
        </w:rPr>
        <w:t xml:space="preserve"> 5(1)(a)</w:t>
      </w:r>
      <w:r>
        <w:rPr>
          <w:lang w:eastAsia="zh-CN"/>
        </w:rPr>
        <w:t>、</w:t>
      </w:r>
      <w:r>
        <w:rPr>
          <w:lang w:eastAsia="zh-CN"/>
        </w:rPr>
        <w:t>5(3)(c)</w:t>
      </w:r>
      <w:r>
        <w:rPr>
          <w:lang w:eastAsia="zh-CN"/>
        </w:rPr>
        <w:t>及</w:t>
      </w:r>
      <w:r>
        <w:rPr>
          <w:lang w:eastAsia="zh-CN"/>
        </w:rPr>
        <w:t xml:space="preserve"> 15(b)</w:t>
      </w:r>
      <w:r>
        <w:rPr>
          <w:lang w:eastAsia="zh-CN"/>
        </w:rPr>
        <w:t>条的规定。</w:t>
      </w:r>
    </w:p>
    <w:p w:rsidR="00837DD4" w:rsidRDefault="00D74612">
      <w:pPr>
        <w:pStyle w:val="BodyText"/>
        <w:rPr>
          <w:lang w:eastAsia="zh-CN"/>
        </w:rPr>
      </w:pPr>
      <w:r>
        <w:rPr>
          <w:i/>
          <w:lang w:eastAsia="zh-CN"/>
        </w:rPr>
        <w:t>未有设立及维持有效程序</w:t>
      </w:r>
    </w:p>
    <w:p w:rsidR="00837DD4" w:rsidRDefault="00D74612">
      <w:pPr>
        <w:pStyle w:val="BodyText"/>
        <w:rPr>
          <w:lang w:eastAsia="zh-CN"/>
        </w:rPr>
      </w:pPr>
      <w:r>
        <w:rPr>
          <w:lang w:eastAsia="zh-CN"/>
        </w:rPr>
        <w:t>国泰世华被裁定已违反《打击洗钱条例》附表</w:t>
      </w:r>
      <w:r>
        <w:rPr>
          <w:lang w:eastAsia="zh-CN"/>
        </w:rPr>
        <w:t>2</w:t>
      </w:r>
      <w:r>
        <w:rPr>
          <w:lang w:eastAsia="zh-CN"/>
        </w:rPr>
        <w:t>第</w:t>
      </w:r>
      <w:r>
        <w:rPr>
          <w:lang w:eastAsia="zh-CN"/>
        </w:rPr>
        <w:t>19(3)</w:t>
      </w:r>
      <w:r>
        <w:rPr>
          <w:lang w:eastAsia="zh-CN"/>
        </w:rPr>
        <w:t>条，在有关期间内没有为履行其在《打击洗钱条例》</w:t>
      </w:r>
      <w:r>
        <w:rPr>
          <w:lang w:eastAsia="zh-CN"/>
        </w:rPr>
        <w:t>下关于持续及严格的客户尽职审查的责任目的设立及维持有效程序。</w:t>
      </w:r>
    </w:p>
    <w:p w:rsidR="00837DD4" w:rsidRDefault="00D74612">
      <w:pPr>
        <w:pStyle w:val="BodyText"/>
        <w:rPr>
          <w:lang w:eastAsia="zh-CN"/>
        </w:rPr>
      </w:pPr>
      <w:r>
        <w:rPr>
          <w:lang w:eastAsia="zh-CN"/>
        </w:rPr>
        <w:lastRenderedPageBreak/>
        <w:t>国泰世华的客户风险评估架构被发现在设计上存在缺陷。此外，国泰世华将所有在</w:t>
      </w:r>
      <w:r>
        <w:rPr>
          <w:lang w:eastAsia="zh-CN"/>
        </w:rPr>
        <w:t>2009</w:t>
      </w:r>
      <w:r>
        <w:rPr>
          <w:lang w:eastAsia="zh-CN"/>
        </w:rPr>
        <w:t>年</w:t>
      </w:r>
      <w:r>
        <w:rPr>
          <w:lang w:eastAsia="zh-CN"/>
        </w:rPr>
        <w:t>9</w:t>
      </w:r>
      <w:r>
        <w:rPr>
          <w:lang w:eastAsia="zh-CN"/>
        </w:rPr>
        <w:t>月之前已建立业务关系的客户都自动归类为属于低风险。而且，不论客户本身的风险级别，国泰世华香港在</w:t>
      </w:r>
      <w:r>
        <w:rPr>
          <w:lang w:eastAsia="zh-CN"/>
        </w:rPr>
        <w:t xml:space="preserve"> 2015</w:t>
      </w:r>
      <w:r>
        <w:rPr>
          <w:lang w:eastAsia="zh-CN"/>
        </w:rPr>
        <w:t>年</w:t>
      </w:r>
      <w:r>
        <w:rPr>
          <w:lang w:eastAsia="zh-CN"/>
        </w:rPr>
        <w:t>4</w:t>
      </w:r>
      <w:r>
        <w:rPr>
          <w:lang w:eastAsia="zh-CN"/>
        </w:rPr>
        <w:t>月之后仅为客户的风险级别进行覆检。国泰世华香港在</w:t>
      </w:r>
      <w:r>
        <w:rPr>
          <w:lang w:eastAsia="zh-CN"/>
        </w:rPr>
        <w:t>2015</w:t>
      </w:r>
      <w:r>
        <w:rPr>
          <w:lang w:eastAsia="zh-CN"/>
        </w:rPr>
        <w:t>年</w:t>
      </w:r>
      <w:r>
        <w:rPr>
          <w:lang w:eastAsia="zh-CN"/>
        </w:rPr>
        <w:t>7</w:t>
      </w:r>
      <w:r>
        <w:rPr>
          <w:lang w:eastAsia="zh-CN"/>
        </w:rPr>
        <w:t>月以前并没有就进行定期复核的规定设立及维持清晰、充分及详细的政策与程序。国泰世华的政策与程序中没有列明适用于高风险客户的额外措施，且国泰世华并没有就高风险客户应采取哪些严格客户尽职审查措施设立及维持</w:t>
      </w:r>
      <w:r>
        <w:rPr>
          <w:lang w:eastAsia="zh-CN"/>
        </w:rPr>
        <w:t>清晰的政策与程序。</w:t>
      </w:r>
    </w:p>
    <w:p w:rsidR="00837DD4" w:rsidRDefault="00D74612">
      <w:pPr>
        <w:pStyle w:val="BodyText"/>
        <w:rPr>
          <w:lang w:eastAsia="zh-CN"/>
        </w:rPr>
      </w:pPr>
      <w:r>
        <w:rPr>
          <w:lang w:eastAsia="zh-CN"/>
        </w:rPr>
        <w:t>国泰世华亦违反了《打击洗钱条例》附表</w:t>
      </w:r>
      <w:r>
        <w:rPr>
          <w:lang w:eastAsia="zh-CN"/>
        </w:rPr>
        <w:t>2</w:t>
      </w:r>
      <w:r>
        <w:rPr>
          <w:lang w:eastAsia="zh-CN"/>
        </w:rPr>
        <w:t>第</w:t>
      </w:r>
      <w:r>
        <w:rPr>
          <w:lang w:eastAsia="zh-CN"/>
        </w:rPr>
        <w:t>23</w:t>
      </w:r>
      <w:r>
        <w:rPr>
          <w:lang w:eastAsia="zh-CN"/>
        </w:rPr>
        <w:t>条，没有采取所有合理措施，以确保设有适当的预防措施，以防止上文所述的违反情况及减低洗钱及恐怖分子资金筹集风险。国泰世华的高级管理层没有检视反洗钱监控措施的成效，或者作出必要的改进。高级管理层亦接收了不足以让国泰世华履行其反洗钱责任的数据。相关委员会议中并未对基本反洗钱事宜作出应对。最后，高级管理层没有调拨充足资源以应对反洗钱事宜。</w:t>
      </w:r>
    </w:p>
    <w:p w:rsidR="00837DD4" w:rsidRDefault="00D74612">
      <w:pPr>
        <w:pStyle w:val="BodyText"/>
        <w:rPr>
          <w:lang w:eastAsia="zh-CN"/>
        </w:rPr>
      </w:pPr>
      <w:hyperlink w:anchor="footnote-598-1-backlink">
        <w:r>
          <w:rPr>
            <w:lang w:eastAsia="zh-CN"/>
          </w:rPr>
          <w:t>1</w:t>
        </w:r>
      </w:hyperlink>
      <w:r>
        <w:rPr>
          <w:lang w:eastAsia="zh-CN"/>
        </w:rPr>
        <w:t xml:space="preserve"> </w:t>
      </w:r>
      <w:r>
        <w:rPr>
          <w:lang w:eastAsia="zh-CN"/>
        </w:rPr>
        <w:t>韩国现代证券公司</w:t>
      </w:r>
    </w:p>
    <w:p w:rsidR="00837DD4" w:rsidRDefault="00D74612">
      <w:pPr>
        <w:pStyle w:val="BodyText"/>
        <w:rPr>
          <w:lang w:eastAsia="zh-CN"/>
        </w:rPr>
      </w:pPr>
      <w:hyperlink w:anchor="footnote-598-2-backlink">
        <w:r>
          <w:rPr>
            <w:lang w:eastAsia="zh-CN"/>
          </w:rPr>
          <w:t>2</w:t>
        </w:r>
      </w:hyperlink>
      <w:r>
        <w:rPr>
          <w:lang w:eastAsia="zh-CN"/>
        </w:rPr>
        <w:t xml:space="preserve"> “</w:t>
      </w:r>
      <w:r>
        <w:rPr>
          <w:lang w:eastAsia="zh-CN"/>
        </w:rPr>
        <w:t>市场探盘</w:t>
      </w:r>
      <w:r>
        <w:rPr>
          <w:lang w:eastAsia="zh-CN"/>
        </w:rPr>
        <w:t>”</w:t>
      </w:r>
      <w:r>
        <w:rPr>
          <w:lang w:eastAsia="zh-CN"/>
        </w:rPr>
        <w:t>活动指的是在交易公布前向一名或多名潜在投资者传达信息，藉以评估潜在投资者对潜在交易的意向以及与交易相关的条件，例如潜在规模或定价。这个程序一般是为私人配售安排及大手交易而进行。</w:t>
      </w:r>
    </w:p>
    <w:p w:rsidR="00837DD4" w:rsidRDefault="00D74612">
      <w:pPr>
        <w:pStyle w:val="BodyText"/>
        <w:rPr>
          <w:lang w:eastAsia="zh-CN"/>
        </w:rPr>
      </w:pPr>
      <w:hyperlink w:anchor="footnote-598-3-backlink">
        <w:r>
          <w:rPr>
            <w:lang w:eastAsia="zh-CN"/>
          </w:rPr>
          <w:t>3</w:t>
        </w:r>
      </w:hyperlink>
      <w:r>
        <w:rPr>
          <w:lang w:eastAsia="zh-CN"/>
        </w:rPr>
        <w:t xml:space="preserve"> “</w:t>
      </w:r>
      <w:r>
        <w:rPr>
          <w:lang w:eastAsia="zh-CN"/>
        </w:rPr>
        <w:t>跨墙</w:t>
      </w:r>
      <w:r>
        <w:rPr>
          <w:lang w:eastAsia="zh-CN"/>
        </w:rPr>
        <w:t>”</w:t>
      </w:r>
      <w:r>
        <w:rPr>
          <w:lang w:eastAsia="zh-CN"/>
        </w:rPr>
        <w:t>指某一方向第三方提供事先或潜在的内幕消息的过程，而后者之后会被限制使用有关消息来进行交易，直至其公开为止。就大手交易接受跨</w:t>
      </w:r>
      <w:r>
        <w:rPr>
          <w:lang w:eastAsia="zh-CN"/>
        </w:rPr>
        <w:t>墙，即是正式作出保密承诺，包括承诺不会买卖有关大手交易所涉及的股份，直至有关交易在市场上公开为止。</w:t>
      </w:r>
    </w:p>
    <w:p w:rsidR="00837DD4" w:rsidRDefault="00D74612">
      <w:pPr>
        <w:pStyle w:val="BodyText"/>
        <w:rPr>
          <w:lang w:eastAsia="zh-CN"/>
        </w:rPr>
      </w:pPr>
      <w:hyperlink w:anchor="footnote-598-4-backlink">
        <w:r>
          <w:rPr>
            <w:lang w:eastAsia="zh-CN"/>
          </w:rPr>
          <w:t>4</w:t>
        </w:r>
      </w:hyperlink>
      <w:r>
        <w:rPr>
          <w:lang w:eastAsia="zh-CN"/>
        </w:rPr>
        <w:t xml:space="preserve"> “</w:t>
      </w:r>
      <w:r>
        <w:rPr>
          <w:lang w:eastAsia="zh-CN"/>
        </w:rPr>
        <w:t>淡仓掉期</w:t>
      </w:r>
      <w:r>
        <w:rPr>
          <w:lang w:eastAsia="zh-CN"/>
        </w:rPr>
        <w:t>”</w:t>
      </w:r>
      <w:r>
        <w:rPr>
          <w:lang w:eastAsia="zh-CN"/>
        </w:rPr>
        <w:t>可让投资者取得实物股票的合成投资回报及风险承担，藉以就有关股份建立淡仓。此举让投资者在股价下跌时获利。</w:t>
      </w:r>
    </w:p>
    <w:p w:rsidR="00837DD4" w:rsidRDefault="00D74612">
      <w:pPr>
        <w:pStyle w:val="DisclaimerBold"/>
        <w:rPr>
          <w:lang w:eastAsia="zh-CN"/>
        </w:rPr>
      </w:pPr>
      <w:r>
        <w:rPr>
          <w:lang w:eastAsia="zh-CN"/>
        </w:rPr>
        <w:t>此法讯仅为提供相关资料信息之用，其内容并</w:t>
      </w:r>
    </w:p>
    <w:p w:rsidR="00837DD4" w:rsidRDefault="00D74612">
      <w:pPr>
        <w:pStyle w:val="Disclaimer"/>
        <w:rPr>
          <w:lang w:eastAsia="zh-CN"/>
        </w:rPr>
      </w:pPr>
      <w:r>
        <w:rPr>
          <w:lang w:eastAsia="zh-CN"/>
        </w:rPr>
        <w:t>不构成法律建议及个案的法律分析。</w:t>
      </w:r>
    </w:p>
    <w:p w:rsidR="00837DD4" w:rsidRDefault="00D74612">
      <w:pPr>
        <w:pStyle w:val="Disclaimer"/>
        <w:rPr>
          <w:lang w:eastAsia="zh-CN"/>
        </w:rPr>
      </w:pPr>
      <w:r>
        <w:rPr>
          <w:lang w:eastAsia="zh-CN"/>
        </w:rPr>
        <w:t>此法讯的发送并不是为了在易周律师行与用户或浏览者之间建立一种律师与客户之关系。</w:t>
      </w:r>
    </w:p>
    <w:p w:rsidR="00837DD4" w:rsidRDefault="00D74612">
      <w:pPr>
        <w:pStyle w:val="Disclaimer"/>
        <w:rPr>
          <w:lang w:eastAsia="zh-CN"/>
        </w:rPr>
      </w:pPr>
      <w:r>
        <w:rPr>
          <w:lang w:eastAsia="zh-CN"/>
        </w:rPr>
        <w:t>易周律师行并不对可从互联网获得的任何第三方内</w:t>
      </w:r>
      <w:r>
        <w:rPr>
          <w:lang w:eastAsia="zh-CN"/>
        </w:rPr>
        <w:t>容负责。</w:t>
      </w:r>
    </w:p>
    <w:p w:rsidR="00837DD4" w:rsidRDefault="00D74612">
      <w:pPr>
        <w:pStyle w:val="Disclaimer"/>
        <w:rPr>
          <w:lang w:eastAsia="zh-CN"/>
        </w:rPr>
      </w:pPr>
      <w:r>
        <w:rPr>
          <w:lang w:eastAsia="zh-CN"/>
        </w:rPr>
        <w:t>如你不希望再收到易周法讯，请发送电邮至</w:t>
      </w:r>
      <w:r>
        <w:rPr>
          <w:lang w:eastAsia="zh-CN"/>
        </w:rPr>
        <w:t xml:space="preserve">  </w:t>
      </w:r>
      <w:hyperlink r:id="rId15">
        <w:r>
          <w:rPr>
            <w:lang w:eastAsia="zh-CN"/>
          </w:rPr>
          <w:t>unsubscribe@charltonslaw.com</w:t>
        </w:r>
      </w:hyperlink>
    </w:p>
    <w:p w:rsidR="00837DD4" w:rsidRDefault="00D74612">
      <w:pPr>
        <w:pStyle w:val="BlackStrips"/>
      </w:pPr>
      <w:r>
        <w:t xml:space="preserve">Charltons - </w:t>
      </w:r>
      <w:r>
        <w:t>香港法律</w:t>
      </w:r>
      <w:r>
        <w:t xml:space="preserve"> - 2023</w:t>
      </w:r>
      <w:r>
        <w:t>年</w:t>
      </w:r>
      <w:r>
        <w:t>9</w:t>
      </w:r>
      <w:r>
        <w:t>月11</w:t>
      </w:r>
      <w:r>
        <w:t>日</w:t>
      </w:r>
    </w:p>
    <w:sectPr w:rsidR="00837DD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74612">
      <w:pPr>
        <w:spacing w:after="0"/>
      </w:pPr>
      <w:r>
        <w:separator/>
      </w:r>
    </w:p>
  </w:endnote>
  <w:endnote w:type="continuationSeparator" w:id="0">
    <w:p w:rsidR="00000000" w:rsidRDefault="00D746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DD4" w:rsidRDefault="00D74612">
      <w:r>
        <w:separator/>
      </w:r>
    </w:p>
  </w:footnote>
  <w:footnote w:type="continuationSeparator" w:id="0">
    <w:p w:rsidR="00837DD4" w:rsidRDefault="00D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A78FD4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8B1068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506239B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887C69D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37DD4"/>
    <w:rsid w:val="008D6863"/>
    <w:rsid w:val="00B86B75"/>
    <w:rsid w:val="00BC48D5"/>
    <w:rsid w:val="00C36279"/>
    <w:rsid w:val="00D74612"/>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E5C2D"/>
  <w15:docId w15:val="{EB32CDA5-3082-4686-B550-D79DA6F3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Listing/Rules-and-Guidance/Disciplinary-and-Enforcement/Disciplinary-Sanctions/2022/220926_SoDA_c.pdf" TargetMode="External"/><Relationship Id="rId13" Type="http://schemas.openxmlformats.org/officeDocument/2006/relationships/hyperlink" Target="https://www.sfat.gov.hk/files/SFAT%202021-1%20determination.pdf" TargetMode="External"/><Relationship Id="rId3" Type="http://schemas.openxmlformats.org/officeDocument/2006/relationships/settings" Target="settings.xml"/><Relationship Id="rId7" Type="http://schemas.openxmlformats.org/officeDocument/2006/relationships/hyperlink" Target="http://www.charltonslaw.com.cn/xiang-gang-jiao-yi-suo-zheng-jian-hui-ji-jin-guan-ju-yu-2022nian-9yue-fen-cai-qu-de-ji-lu-xing-dong" TargetMode="External"/><Relationship Id="rId12" Type="http://schemas.openxmlformats.org/officeDocument/2006/relationships/hyperlink" Target="https://www.sfc.hk/-/media/TC/assets/components/codes/files-current/Code_of_conduct_05082022_Chi.pdf?rev=1567434272a04523b7e9c6343aebb57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api/news/openAppendix?lang=TC&amp;refNo=22PR55&amp;appendix=0" TargetMode="External"/><Relationship Id="rId5" Type="http://schemas.openxmlformats.org/officeDocument/2006/relationships/footnotes" Target="footnote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www.charltonslaw.com.cn/xiang-gang-jiao-yi-suo-ji-zheng-jian-hui-yu-2022-nian-6-yue-fen-ji-7-yue-fen-cai-qu-de-ji-lv-xing-dong-jpg/" TargetMode="External"/><Relationship Id="rId4" Type="http://schemas.openxmlformats.org/officeDocument/2006/relationships/webSettings" Target="webSettings.xml"/><Relationship Id="rId9" Type="http://schemas.openxmlformats.org/officeDocument/2006/relationships/hyperlink" Target="https://apps.sfc.hk/edistributionWeb/api/news/openAppendix?lang=TC&amp;refNo=22PR69&amp;appendix=0" TargetMode="External"/><Relationship Id="rId14" Type="http://schemas.openxmlformats.org/officeDocument/2006/relationships/hyperlink" Target="https://www.hkma.gov.hk/media/chi/doc/key-information/press-release/2022/20220923c3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1188</Words>
  <Characters>6776</Characters>
  <Application>Microsoft Office Word</Application>
  <DocSecurity>0</DocSecurity>
  <Lines>56</Lines>
  <Paragraphs>15</Paragraphs>
  <ScaleCrop>false</ScaleCrop>
  <Company>Charltons</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2023-09-09T04:23:00Z</dcterms:created>
  <dcterms:modified xsi:type="dcterms:W3CDTF">2023-09-11T02:54:00Z</dcterms:modified>
</cp:coreProperties>
</file>