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- 2023年9月18日</w:t>
      </w:r>
    </w:p>
    <w:p>
      <w:pPr>
        <w:pStyle w:val="ReadOnline"/>
      </w:pPr>
      <w:hyperlink r:id="rId9">
        <w:r>
          <w:rPr/>
          <w:t>online version</w:t>
        </w:r>
      </w:hyperlink>
    </w:p>
    <w:p>
      <w:pPr>
        <w:pStyle w:val="Title"/>
      </w:pPr>
      <w:r>
        <w:t>香港政府发表《有关香港虚拟资产发展的政策宣言》</w:t>
      </w:r>
    </w:p>
    <w:p>
      <w:pPr>
        <w:pStyle w:val="FirstParagraph"/>
      </w:pPr>
      <w:r>
        <w:t xml:space="preserve">2022年10月31日，财经事务及库务局发表了</w:t>
      </w:r>
      <w:hyperlink r:id="rId20">
        <w:r>
          <w:rPr>
            <w:rStyle w:val="Hyperlink"/>
          </w:rPr>
          <w:t xml:space="preserve">《有关香港虚拟资产发展的政策宣言》</w:t>
        </w:r>
      </w:hyperlink>
      <w:r>
        <w:t xml:space="preserve">。</w:t>
      </w:r>
    </w:p>
    <w:p>
      <w:pPr>
        <w:pStyle w:val="TextBody"/>
      </w:pPr>
      <w:r>
        <w:t xml:space="preserve">关于该政策宣言</w:t>
      </w:r>
    </w:p>
    <w:p>
      <w:pPr>
        <w:pStyle w:val="TextBody"/>
      </w:pPr>
      <w:r>
        <w:t xml:space="preserve">香港政府连同香港金融管理局（</w:t>
      </w:r>
      <w:r>
        <w:rPr>
          <w:b/>
        </w:rPr>
        <w:t xml:space="preserve">金管局</w:t>
      </w:r>
      <w:r>
        <w:t xml:space="preserve">）及香港证券及期货事务监察委员会（</w:t>
      </w:r>
      <w:r>
        <w:rPr>
          <w:b/>
        </w:rPr>
        <w:t xml:space="preserve">证监会</w:t>
      </w:r>
      <w:r>
        <w:t xml:space="preserve">）共同致力于「缔造便利的环境，促进香港虚拟资产行业得以可持续和负责任地发展」</w:t>
      </w:r>
      <w:hyperlink w:anchor="footnote-598-1">
        <w:r>
          <w:rPr>
            <w:vertAlign w:val="superscript"/>
            <w:rStyle w:val="Hyperlink"/>
          </w:rPr>
          <w:t xml:space="preserve">1</w:t>
        </w:r>
      </w:hyperlink>
      <w:r>
        <w:t xml:space="preserve">。其表示「考虑到虚拟资产不断演变的性质和创新模式」，准备在香港的虚拟资产法律和监管制度上「配合」，以提供前述便利的环境。香港政府将密切监察国际监管发展并会在制定香港的虚拟资产监管制度时将该等国际监管发展纳入考虑。其还指出香港政府「也乐意联系全球虚拟资产业界，邀请有关交易所在香港开拓商机」。</w:t>
      </w:r>
    </w:p>
    <w:p>
      <w:pPr>
        <w:pStyle w:val="TextBody"/>
      </w:pPr>
      <w:r>
        <w:rPr>
          <w:i/>
        </w:rPr>
        <w:t xml:space="preserve">零售投资者接触虚拟资产的情况</w:t>
      </w:r>
    </w:p>
    <w:p>
      <w:pPr>
        <w:pStyle w:val="TextBody"/>
      </w:pPr>
      <w:r>
        <w:t xml:space="preserve">香港政府留意到环球投资者（无论是机构投资者还是零售投资者）愈趋接受「虚拟资产是一种可作投资配置用途的资产」。因此，证监会将会为虚拟资产服务提供商就「新发牌制度下零售投资者可买卖虚拟资产的适当程度展开公众咨询」。鉴于这使得零售投资者可于其他市场接触虚拟资产，香港政府还表达了其对于可否在香港引入虚拟资产交易所买卖基金抱持开放态度。证监会将就此发出通函。</w:t>
      </w:r>
    </w:p>
    <w:p>
      <w:pPr>
        <w:pStyle w:val="TextBody"/>
      </w:pPr>
      <w:r>
        <w:rPr>
          <w:i/>
        </w:rPr>
        <w:t xml:space="preserve">代币化资产的产权</w:t>
      </w:r>
    </w:p>
    <w:p>
      <w:pPr>
        <w:pStyle w:val="TextBody"/>
      </w:pPr>
      <w:r>
        <w:t xml:space="preserve">鉴于虚拟资产的特质未必能够完全适用于香港现行的私人产权法例类别或定义，香港政府亦提出对于「代币化资产的产权和智能合约的合法性」进行检讨。</w:t>
      </w:r>
    </w:p>
    <w:p>
      <w:pPr>
        <w:pStyle w:val="TextBody"/>
      </w:pPr>
      <w:r>
        <w:rPr>
          <w:i/>
        </w:rPr>
        <w:t xml:space="preserve">稳定币</w:t>
      </w:r>
    </w:p>
    <w:p>
      <w:pPr>
        <w:pStyle w:val="TextBody"/>
      </w:pPr>
      <w:r>
        <w:t xml:space="preserve">金管局将刊发</w:t>
      </w:r>
      <w:hyperlink r:id="rId21">
        <w:r>
          <w:rPr>
            <w:rStyle w:val="Hyperlink"/>
          </w:rPr>
          <w:t xml:space="preserve">《金管局的加密资产和稳定币的讨论文件》</w:t>
        </w:r>
      </w:hyperlink>
      <w:r>
        <w:t xml:space="preserve">（于2022年1月份发布）的咨询结果及下一步工作，并力图稍后就「规管涉及支付用途的稳定币的活动制订风险为本、合乎比例和灵活的监管制度」。</w:t>
      </w:r>
    </w:p>
    <w:p>
      <w:pPr>
        <w:pStyle w:val="TextBody"/>
      </w:pPr>
      <w:r>
        <w:t xml:space="preserve">试验计划</w:t>
      </w:r>
    </w:p>
    <w:p>
      <w:pPr>
        <w:pStyle w:val="TextBody"/>
      </w:pPr>
      <w:r>
        <w:t xml:space="preserve">在此份政策宣言中，香港政府亦公布了若干试验计划。</w:t>
      </w:r>
    </w:p>
    <w:p>
      <w:pPr>
        <w:numPr>
          <w:numId w:val="1001"/>
          <w:ilvl w:val="0"/>
        </w:numPr>
      </w:pPr>
      <w:r>
        <w:t xml:space="preserve">绿色债券代币化</w:t>
      </w:r>
    </w:p>
    <w:p>
      <w:pPr>
        <w:numPr>
          <w:numId w:val="1000"/>
          <w:ilvl w:val="0"/>
        </w:numPr>
      </w:pPr>
      <w:r>
        <w:t xml:space="preserve">金管局的新项目将致力于「让政府绿色债券发行代币化，供机构投资者认购」。其目的旨在测试香港现有的金融基建及法律和监管环境是否适合以分布式分类账技术处理整个发债周期（包括发行、结算、资产服务、二手市场买卖和赎回）。此项试验计划将「为市场参与者日后发行同类债券提供指引」。</w:t>
      </w:r>
    </w:p>
    <w:p>
      <w:pPr>
        <w:numPr>
          <w:numId w:val="1001"/>
          <w:ilvl w:val="0"/>
        </w:numPr>
      </w:pPr>
      <w:r>
        <w:t xml:space="preserve">数码港元</w:t>
      </w:r>
    </w:p>
    <w:p>
      <w:pPr>
        <w:numPr>
          <w:numId w:val="1000"/>
          <w:ilvl w:val="0"/>
        </w:numPr>
      </w:pPr>
      <w:r>
        <w:t xml:space="preserve">为与世界上许多其他司法权区保持一致，香港政府正在探讨推出一种中央银行数码货币-即数码港元。金管局将采用「三轨道方式」，分阶段探讨「数码港元」涉及的以下事项：（第一阶段）技术和法律基础，（第二阶段）使用情况和设计以及（第三阶段及最后阶段）发表推出「数码港元」的时间表。</w:t>
      </w:r>
    </w:p>
    <w:p>
      <w:pPr>
        <w:pStyle w:val="FirstParagraph"/>
      </w:pPr>
      <w:hyperlink w:anchor="footnote-598-1-backlink">
        <w:r>
          <w:rPr>
            <w:rStyle w:val="Hyperlink"/>
          </w:rPr>
          <w:t xml:space="preserve">1</w:t>
        </w:r>
      </w:hyperlink>
      <w:r>
        <w:t xml:space="preserve"> </w:t>
      </w:r>
      <w:r>
        <w:t xml:space="preserve">所有援引内容均摘自《有关香港虚拟资产发展的政策宣言》（2022）</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- 2023年9月18日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0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0">
    <w:abstractNumId w:val="990"/>
  </w:num>
  <w:num w:numId="100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gia.info.gov.hk/general/202210/31/P2022103000455_404825_1_1667173459238.pdf" TargetMode="External"/><Relationship Id="rId21" Type="http://schemas.openxmlformats.org/officeDocument/2006/relationships/hyperlink" Target="https://www.hkma.gov.hk/media/eng/doc/key-information/press-release/2022/20220112e3a1.pdf" TargetMode="External"/><Relationship Id="rId9" Type="http://schemas.openxmlformats.org/officeDocument/2006/relationships/hyperlink" Target="http://www.charltonslaw.com.cn/xiang-gang-zheng-fu-fa-biao-you-guan-xiang-gang-xu-ni-zi-chan-fa-zhan-de-zheng-ce-xuan-y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gia.info.gov.hk/general/202210/31/P2022103000455_404825_1_1667173459238.pdf" TargetMode="External"/><Relationship Id="rId21" Type="http://schemas.openxmlformats.org/officeDocument/2006/relationships/hyperlink" Target="https://www.hkma.gov.hk/media/eng/doc/key-information/press-release/2022/20220112e3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2023-09-18T07:38:24Z</dcterms:created>
  <dcterms:modified xsi:type="dcterms:W3CDTF">2023-09-18T07:38:24Z</dcterms:modified>
</cp:coreProperties>
</file>

<file path=docProps/custom.xml><?xml version="1.0" encoding="utf-8"?>
<Properties xmlns="http://schemas.openxmlformats.org/officeDocument/2006/custom-properties" xmlns:vt="http://schemas.openxmlformats.org/officeDocument/2006/docPropsVTypes"/>
</file>