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123" w:rsidRDefault="005F6BF1">
      <w:pPr>
        <w:pStyle w:val="BlackStrips"/>
      </w:pPr>
      <w:r>
        <w:t xml:space="preserve">Charltons - </w:t>
      </w:r>
      <w:r>
        <w:t>香港法律</w:t>
      </w:r>
      <w:r>
        <w:t xml:space="preserve"> - 2023</w:t>
      </w:r>
      <w:r>
        <w:t>年</w:t>
      </w:r>
      <w:r>
        <w:t>10</w:t>
      </w:r>
      <w:r>
        <w:t>月</w:t>
      </w:r>
      <w:r>
        <w:t>18</w:t>
      </w:r>
      <w:r>
        <w:t>日</w:t>
      </w:r>
    </w:p>
    <w:p w:rsidR="00C60123" w:rsidRDefault="005F6BF1">
      <w:pPr>
        <w:pStyle w:val="ReadOnline"/>
        <w:rPr>
          <w:lang w:eastAsia="zh-CN"/>
        </w:rPr>
      </w:pPr>
      <w:hyperlink r:id="rId7">
        <w:r>
          <w:rPr>
            <w:lang w:eastAsia="zh-CN"/>
          </w:rPr>
          <w:t>online version</w:t>
        </w:r>
      </w:hyperlink>
    </w:p>
    <w:p w:rsidR="00C60123" w:rsidRDefault="005F6BF1">
      <w:pPr>
        <w:pStyle w:val="Title"/>
        <w:rPr>
          <w:lang w:eastAsia="zh-CN"/>
        </w:rPr>
      </w:pPr>
      <w:r>
        <w:rPr>
          <w:lang w:eastAsia="zh-CN"/>
        </w:rPr>
        <w:t>香港与内地扩大互联互通机制</w:t>
      </w:r>
    </w:p>
    <w:p w:rsidR="00C60123" w:rsidRDefault="005F6BF1">
      <w:pPr>
        <w:pStyle w:val="FirstParagraph"/>
        <w:rPr>
          <w:lang w:eastAsia="zh-CN"/>
        </w:rPr>
      </w:pPr>
      <w:r>
        <w:rPr>
          <w:lang w:eastAsia="zh-CN"/>
        </w:rPr>
        <w:t>香港与内地的中国证券监管机构202</w:t>
      </w:r>
      <w:bookmarkStart w:id="0" w:name="_GoBack"/>
      <w:bookmarkEnd w:id="0"/>
      <w:r>
        <w:rPr>
          <w:lang w:eastAsia="zh-CN"/>
        </w:rPr>
        <w:t>年</w:t>
      </w:r>
      <w:r>
        <w:rPr>
          <w:lang w:eastAsia="zh-CN"/>
        </w:rPr>
        <w:t>12</w:t>
      </w:r>
      <w:r>
        <w:rPr>
          <w:lang w:eastAsia="zh-CN"/>
        </w:rPr>
        <w:t>月</w:t>
      </w:r>
      <w:r>
        <w:rPr>
          <w:lang w:eastAsia="zh-CN"/>
        </w:rPr>
        <w:t>19</w:t>
      </w:r>
      <w:r>
        <w:rPr>
          <w:lang w:eastAsia="zh-CN"/>
        </w:rPr>
        <w:t>日</w:t>
      </w:r>
      <w:hyperlink r:id="rId8">
        <w:r>
          <w:rPr>
            <w:lang w:eastAsia="zh-CN"/>
          </w:rPr>
          <w:t>宣布</w:t>
        </w:r>
      </w:hyperlink>
      <w:hyperlink w:anchor="footnote-598-1">
        <w:r>
          <w:rPr>
            <w:vertAlign w:val="superscript"/>
            <w:lang w:eastAsia="zh-CN"/>
          </w:rPr>
          <w:t>1</w:t>
        </w:r>
      </w:hyperlink>
      <w:r>
        <w:rPr>
          <w:lang w:eastAsia="zh-CN"/>
        </w:rPr>
        <w:t>他们同意扩大沪港通和深港通（合为</w:t>
      </w:r>
      <w:r>
        <w:rPr>
          <w:b/>
          <w:lang w:eastAsia="zh-CN"/>
        </w:rPr>
        <w:t>内地</w:t>
      </w:r>
      <w:r w:rsidR="00930416">
        <w:rPr>
          <w:rFonts w:asciiTheme="minorEastAsia" w:eastAsiaTheme="minorEastAsia" w:hAnsiTheme="minorEastAsia" w:hint="eastAsia"/>
          <w:b/>
          <w:lang w:eastAsia="zh-CN"/>
        </w:rPr>
        <w:t>-</w:t>
      </w:r>
      <w:r>
        <w:rPr>
          <w:b/>
          <w:lang w:eastAsia="zh-CN"/>
        </w:rPr>
        <w:t>香港互联互通</w:t>
      </w:r>
      <w:r>
        <w:rPr>
          <w:lang w:eastAsia="zh-CN"/>
        </w:rPr>
        <w:t>）的股票标的范围，此举旨在</w:t>
      </w:r>
      <w:r>
        <w:rPr>
          <w:lang w:eastAsia="zh-CN"/>
        </w:rPr>
        <w:t>“</w:t>
      </w:r>
      <w:r>
        <w:rPr>
          <w:lang w:eastAsia="zh-CN"/>
        </w:rPr>
        <w:t>进一步深化内地与香港股票市场交易互联互通机制</w:t>
      </w:r>
      <w:r>
        <w:rPr>
          <w:lang w:eastAsia="zh-CN"/>
        </w:rPr>
        <w:t>……</w:t>
      </w:r>
      <w:r>
        <w:rPr>
          <w:lang w:eastAsia="zh-CN"/>
        </w:rPr>
        <w:t>促进两地资本市</w:t>
      </w:r>
      <w:r>
        <w:rPr>
          <w:lang w:eastAsia="zh-CN"/>
        </w:rPr>
        <w:t>场的发展</w:t>
      </w:r>
      <w:r>
        <w:rPr>
          <w:lang w:eastAsia="zh-CN"/>
        </w:rPr>
        <w:t>”</w:t>
      </w:r>
      <w:r>
        <w:rPr>
          <w:lang w:eastAsia="zh-CN"/>
        </w:rPr>
        <w:t>。香港交易及结算所有限公司在同一天的</w:t>
      </w:r>
      <w:hyperlink r:id="rId9">
        <w:r>
          <w:rPr>
            <w:lang w:eastAsia="zh-CN"/>
          </w:rPr>
          <w:t>新闻稿</w:t>
        </w:r>
      </w:hyperlink>
      <w:hyperlink w:anchor="footnote-598-2">
        <w:r>
          <w:rPr>
            <w:vertAlign w:val="superscript"/>
            <w:lang w:eastAsia="zh-CN"/>
          </w:rPr>
          <w:t>2</w:t>
        </w:r>
      </w:hyperlink>
      <w:r>
        <w:rPr>
          <w:lang w:eastAsia="zh-CN"/>
        </w:rPr>
        <w:t>中表示欢迎进一步扩容计划。</w:t>
      </w:r>
    </w:p>
    <w:p w:rsidR="00C60123" w:rsidRDefault="005F6BF1">
      <w:pPr>
        <w:pStyle w:val="BodyText"/>
        <w:rPr>
          <w:lang w:eastAsia="zh-CN"/>
        </w:rPr>
      </w:pPr>
      <w:r>
        <w:rPr>
          <w:lang w:eastAsia="zh-CN"/>
        </w:rPr>
        <w:t>扩大内地</w:t>
      </w:r>
      <w:r>
        <w:rPr>
          <w:lang w:eastAsia="zh-CN"/>
        </w:rPr>
        <w:t>-</w:t>
      </w:r>
      <w:r>
        <w:rPr>
          <w:lang w:eastAsia="zh-CN"/>
        </w:rPr>
        <w:t>香港互联互通下的港股通的标的范围</w:t>
      </w:r>
    </w:p>
    <w:p w:rsidR="00C60123" w:rsidRDefault="005F6BF1">
      <w:pPr>
        <w:pStyle w:val="BodyText"/>
        <w:rPr>
          <w:lang w:eastAsia="zh-CN"/>
        </w:rPr>
      </w:pPr>
      <w:r>
        <w:rPr>
          <w:lang w:eastAsia="zh-CN"/>
        </w:rPr>
        <w:t>港股通的标的范围将扩大至包括在香港主要上市的国际公司的股票，并且是：</w:t>
      </w:r>
    </w:p>
    <w:p w:rsidR="00C60123" w:rsidRDefault="005F6BF1">
      <w:pPr>
        <w:pStyle w:val="Compact"/>
        <w:numPr>
          <w:ilvl w:val="0"/>
          <w:numId w:val="3"/>
        </w:numPr>
        <w:rPr>
          <w:lang w:eastAsia="zh-CN"/>
        </w:rPr>
      </w:pPr>
      <w:r>
        <w:rPr>
          <w:lang w:eastAsia="zh-CN"/>
        </w:rPr>
        <w:t>恒生综合大型股指数或恒生综合中型股指数的成份股；或</w:t>
      </w:r>
    </w:p>
    <w:p w:rsidR="00C60123" w:rsidRDefault="005F6BF1">
      <w:pPr>
        <w:pStyle w:val="Compact"/>
        <w:numPr>
          <w:ilvl w:val="0"/>
          <w:numId w:val="3"/>
        </w:numPr>
        <w:rPr>
          <w:lang w:eastAsia="zh-CN"/>
        </w:rPr>
      </w:pPr>
      <w:r>
        <w:rPr>
          <w:lang w:eastAsia="zh-CN"/>
        </w:rPr>
        <w:t>市值</w:t>
      </w:r>
      <w:r>
        <w:rPr>
          <w:lang w:eastAsia="zh-CN"/>
        </w:rPr>
        <w:t>5</w:t>
      </w:r>
      <w:r>
        <w:rPr>
          <w:lang w:eastAsia="zh-CN"/>
        </w:rPr>
        <w:t>0</w:t>
      </w:r>
      <w:r>
        <w:rPr>
          <w:lang w:eastAsia="zh-CN"/>
        </w:rPr>
        <w:t>亿元港币及以上的恒生综合小型股指数成份股。</w:t>
      </w:r>
    </w:p>
    <w:p w:rsidR="00C60123" w:rsidRDefault="005F6BF1">
      <w:pPr>
        <w:pStyle w:val="FirstParagraph"/>
        <w:rPr>
          <w:lang w:eastAsia="zh-CN"/>
        </w:rPr>
      </w:pPr>
      <w:r>
        <w:rPr>
          <w:lang w:eastAsia="zh-CN"/>
        </w:rPr>
        <w:t>沪港通下的港股通南向交易合资格的范围亦将扩大至纳入市值</w:t>
      </w:r>
      <w:r>
        <w:rPr>
          <w:lang w:eastAsia="zh-CN"/>
        </w:rPr>
        <w:t>50</w:t>
      </w:r>
      <w:r>
        <w:rPr>
          <w:lang w:eastAsia="zh-CN"/>
        </w:rPr>
        <w:t>亿元港币及以上的恒生综合小型股指数成份股，与现时深港通下港股通标的范围一致。</w:t>
      </w:r>
    </w:p>
    <w:p w:rsidR="00C60123" w:rsidRDefault="005F6BF1">
      <w:pPr>
        <w:pStyle w:val="BodyText"/>
        <w:rPr>
          <w:lang w:eastAsia="zh-CN"/>
        </w:rPr>
      </w:pPr>
      <w:r>
        <w:rPr>
          <w:lang w:eastAsia="zh-CN"/>
        </w:rPr>
        <w:t>此扩容将首次允许合资格的内地投资者透过</w:t>
      </w:r>
      <w:r>
        <w:rPr>
          <w:lang w:eastAsia="zh-CN"/>
        </w:rPr>
        <w:t>“</w:t>
      </w:r>
      <w:r>
        <w:rPr>
          <w:lang w:eastAsia="zh-CN"/>
        </w:rPr>
        <w:t>内地</w:t>
      </w:r>
      <w:r>
        <w:rPr>
          <w:lang w:eastAsia="zh-CN"/>
        </w:rPr>
        <w:t>-</w:t>
      </w:r>
      <w:r>
        <w:rPr>
          <w:lang w:eastAsia="zh-CN"/>
        </w:rPr>
        <w:t>香港互联互通</w:t>
      </w:r>
      <w:r>
        <w:rPr>
          <w:lang w:eastAsia="zh-CN"/>
        </w:rPr>
        <w:t>”</w:t>
      </w:r>
      <w:r>
        <w:rPr>
          <w:lang w:eastAsia="zh-CN"/>
        </w:rPr>
        <w:t>的港股通投资于在联交所上市的国际公司，这可能会激励更多的国际公司在香港上市。</w:t>
      </w:r>
    </w:p>
    <w:p w:rsidR="00C60123" w:rsidRDefault="005F6BF1">
      <w:pPr>
        <w:pStyle w:val="BodyText"/>
        <w:rPr>
          <w:lang w:eastAsia="zh-CN"/>
        </w:rPr>
      </w:pPr>
      <w:r>
        <w:rPr>
          <w:lang w:eastAsia="zh-CN"/>
        </w:rPr>
        <w:t>扩大内地</w:t>
      </w:r>
      <w:r>
        <w:rPr>
          <w:lang w:eastAsia="zh-CN"/>
        </w:rPr>
        <w:t>-</w:t>
      </w:r>
      <w:r>
        <w:rPr>
          <w:lang w:eastAsia="zh-CN"/>
        </w:rPr>
        <w:t>香港互联互通下的沪深股通的标的范围</w:t>
      </w:r>
    </w:p>
    <w:p w:rsidR="00C60123" w:rsidRDefault="005F6BF1">
      <w:pPr>
        <w:pStyle w:val="BodyText"/>
        <w:rPr>
          <w:lang w:eastAsia="zh-CN"/>
        </w:rPr>
      </w:pPr>
      <w:r>
        <w:rPr>
          <w:lang w:eastAsia="zh-CN"/>
        </w:rPr>
        <w:t>沪深股通的标的范围将扩大至包括：</w:t>
      </w:r>
    </w:p>
    <w:p w:rsidR="00C60123" w:rsidRDefault="005F6BF1">
      <w:pPr>
        <w:pStyle w:val="Compact"/>
        <w:numPr>
          <w:ilvl w:val="0"/>
          <w:numId w:val="4"/>
        </w:numPr>
        <w:rPr>
          <w:lang w:eastAsia="zh-CN"/>
        </w:rPr>
      </w:pPr>
      <w:r>
        <w:rPr>
          <w:lang w:eastAsia="zh-CN"/>
        </w:rPr>
        <w:t>市值</w:t>
      </w:r>
      <w:r>
        <w:rPr>
          <w:lang w:eastAsia="zh-CN"/>
        </w:rPr>
        <w:t>50</w:t>
      </w:r>
      <w:r>
        <w:rPr>
          <w:lang w:eastAsia="zh-CN"/>
        </w:rPr>
        <w:t>亿人民币及以上且符合一定流动性标准等条件的上证</w:t>
      </w:r>
      <w:r>
        <w:rPr>
          <w:lang w:eastAsia="zh-CN"/>
        </w:rPr>
        <w:t>A</w:t>
      </w:r>
      <w:r>
        <w:rPr>
          <w:lang w:eastAsia="zh-CN"/>
        </w:rPr>
        <w:t>股指数及深证综合指数成份股；</w:t>
      </w:r>
    </w:p>
    <w:p w:rsidR="00C60123" w:rsidRDefault="005F6BF1">
      <w:pPr>
        <w:pStyle w:val="Compact"/>
        <w:numPr>
          <w:ilvl w:val="0"/>
          <w:numId w:val="4"/>
        </w:numPr>
        <w:rPr>
          <w:lang w:eastAsia="zh-CN"/>
        </w:rPr>
      </w:pPr>
      <w:r>
        <w:rPr>
          <w:lang w:eastAsia="zh-CN"/>
        </w:rPr>
        <w:t>以及上海证券交易所／深圳证</w:t>
      </w:r>
      <w:r>
        <w:rPr>
          <w:lang w:eastAsia="zh-CN"/>
        </w:rPr>
        <w:t>券交易所上市的</w:t>
      </w:r>
      <w:r>
        <w:rPr>
          <w:lang w:eastAsia="zh-CN"/>
        </w:rPr>
        <w:t>A + H</w:t>
      </w:r>
      <w:r>
        <w:rPr>
          <w:lang w:eastAsia="zh-CN"/>
        </w:rPr>
        <w:t>股公司的</w:t>
      </w:r>
      <w:r>
        <w:rPr>
          <w:lang w:eastAsia="zh-CN"/>
        </w:rPr>
        <w:t>A</w:t>
      </w:r>
      <w:r>
        <w:rPr>
          <w:lang w:eastAsia="zh-CN"/>
        </w:rPr>
        <w:t>股</w:t>
      </w:r>
    </w:p>
    <w:p w:rsidR="00C60123" w:rsidRDefault="005F6BF1">
      <w:pPr>
        <w:pStyle w:val="FirstParagraph"/>
        <w:rPr>
          <w:lang w:eastAsia="zh-CN"/>
        </w:rPr>
      </w:pPr>
      <w:r>
        <w:rPr>
          <w:lang w:eastAsia="zh-CN"/>
        </w:rPr>
        <w:t>扩大内地</w:t>
      </w:r>
      <w:r>
        <w:rPr>
          <w:lang w:eastAsia="zh-CN"/>
        </w:rPr>
        <w:t>-</w:t>
      </w:r>
      <w:r>
        <w:rPr>
          <w:lang w:eastAsia="zh-CN"/>
        </w:rPr>
        <w:t>香港互联互通的实施时间</w:t>
      </w:r>
    </w:p>
    <w:p w:rsidR="00C60123" w:rsidRDefault="005F6BF1">
      <w:pPr>
        <w:pStyle w:val="BodyText"/>
        <w:rPr>
          <w:lang w:eastAsia="zh-CN"/>
        </w:rPr>
      </w:pPr>
      <w:r>
        <w:rPr>
          <w:lang w:eastAsia="zh-CN"/>
        </w:rPr>
        <w:t>中国证监会和香港证监会发布公告之日起三个月，即预计将于</w:t>
      </w:r>
      <w:r>
        <w:rPr>
          <w:lang w:eastAsia="zh-CN"/>
        </w:rPr>
        <w:t>2023</w:t>
      </w:r>
      <w:r>
        <w:rPr>
          <w:lang w:eastAsia="zh-CN"/>
        </w:rPr>
        <w:t>年</w:t>
      </w:r>
      <w:r>
        <w:rPr>
          <w:lang w:eastAsia="zh-CN"/>
        </w:rPr>
        <w:t>3</w:t>
      </w:r>
      <w:r>
        <w:rPr>
          <w:lang w:eastAsia="zh-CN"/>
        </w:rPr>
        <w:t>月</w:t>
      </w:r>
      <w:r>
        <w:rPr>
          <w:lang w:eastAsia="zh-CN"/>
        </w:rPr>
        <w:t>19</w:t>
      </w:r>
      <w:r>
        <w:rPr>
          <w:lang w:eastAsia="zh-CN"/>
        </w:rPr>
        <w:t>日左右完成扩大</w:t>
      </w:r>
      <w:r>
        <w:rPr>
          <w:lang w:eastAsia="zh-CN"/>
        </w:rPr>
        <w:t>“</w:t>
      </w:r>
      <w:r>
        <w:rPr>
          <w:lang w:eastAsia="zh-CN"/>
        </w:rPr>
        <w:t>互联互通</w:t>
      </w:r>
      <w:r>
        <w:rPr>
          <w:lang w:eastAsia="zh-CN"/>
        </w:rPr>
        <w:t>”</w:t>
      </w:r>
      <w:r>
        <w:rPr>
          <w:lang w:eastAsia="zh-CN"/>
        </w:rPr>
        <w:t>股票标的的准备工作。官方发布日期将适时公布。</w:t>
      </w:r>
    </w:p>
    <w:p w:rsidR="00C60123" w:rsidRDefault="005F6BF1">
      <w:pPr>
        <w:pStyle w:val="BodyText"/>
        <w:rPr>
          <w:lang w:eastAsia="zh-CN"/>
        </w:rPr>
      </w:pPr>
      <w:hyperlink w:anchor="footnote-598-1-backlink">
        <w:r>
          <w:rPr>
            <w:lang w:eastAsia="zh-CN"/>
          </w:rPr>
          <w:t>1</w:t>
        </w:r>
      </w:hyperlink>
      <w:r>
        <w:rPr>
          <w:lang w:eastAsia="zh-CN"/>
        </w:rPr>
        <w:t xml:space="preserve"> </w:t>
      </w:r>
      <w:r>
        <w:rPr>
          <w:lang w:eastAsia="zh-CN"/>
        </w:rPr>
        <w:t>中国证监会与香港证监会的联合公告（</w:t>
      </w:r>
      <w:r>
        <w:rPr>
          <w:lang w:eastAsia="zh-CN"/>
        </w:rPr>
        <w:t>2022</w:t>
      </w:r>
      <w:r>
        <w:rPr>
          <w:lang w:eastAsia="zh-CN"/>
        </w:rPr>
        <w:t>年</w:t>
      </w:r>
      <w:r>
        <w:rPr>
          <w:lang w:eastAsia="zh-CN"/>
        </w:rPr>
        <w:t>12</w:t>
      </w:r>
      <w:r>
        <w:rPr>
          <w:lang w:eastAsia="zh-CN"/>
        </w:rPr>
        <w:t>月</w:t>
      </w:r>
      <w:r>
        <w:rPr>
          <w:lang w:eastAsia="zh-CN"/>
        </w:rPr>
        <w:t>19</w:t>
      </w:r>
      <w:r>
        <w:rPr>
          <w:lang w:eastAsia="zh-CN"/>
        </w:rPr>
        <w:t>日）</w:t>
      </w:r>
    </w:p>
    <w:p w:rsidR="00C60123" w:rsidRDefault="005F6BF1">
      <w:pPr>
        <w:pStyle w:val="BodyText"/>
        <w:rPr>
          <w:lang w:eastAsia="zh-CN"/>
        </w:rPr>
      </w:pPr>
      <w:hyperlink w:anchor="footnote-598-2-backlink">
        <w:r>
          <w:rPr>
            <w:lang w:eastAsia="zh-CN"/>
          </w:rPr>
          <w:t>2</w:t>
        </w:r>
      </w:hyperlink>
      <w:r>
        <w:rPr>
          <w:lang w:eastAsia="zh-CN"/>
        </w:rPr>
        <w:t xml:space="preserve"> </w:t>
      </w:r>
      <w:r>
        <w:rPr>
          <w:lang w:eastAsia="zh-CN"/>
        </w:rPr>
        <w:t>联交所欢迎互联互通的进一步扩容计划（</w:t>
      </w:r>
      <w:r>
        <w:rPr>
          <w:lang w:eastAsia="zh-CN"/>
        </w:rPr>
        <w:t>2022</w:t>
      </w:r>
      <w:r>
        <w:rPr>
          <w:lang w:eastAsia="zh-CN"/>
        </w:rPr>
        <w:t>年</w:t>
      </w:r>
      <w:r>
        <w:rPr>
          <w:lang w:eastAsia="zh-CN"/>
        </w:rPr>
        <w:t>12</w:t>
      </w:r>
      <w:r>
        <w:rPr>
          <w:lang w:eastAsia="zh-CN"/>
        </w:rPr>
        <w:t>月</w:t>
      </w:r>
      <w:r>
        <w:rPr>
          <w:lang w:eastAsia="zh-CN"/>
        </w:rPr>
        <w:t>19</w:t>
      </w:r>
      <w:r>
        <w:rPr>
          <w:lang w:eastAsia="zh-CN"/>
        </w:rPr>
        <w:t>日）</w:t>
      </w:r>
    </w:p>
    <w:p w:rsidR="00C60123" w:rsidRDefault="005F6BF1">
      <w:pPr>
        <w:pStyle w:val="DisclaimerBold"/>
        <w:rPr>
          <w:lang w:eastAsia="zh-CN"/>
        </w:rPr>
      </w:pPr>
      <w:r>
        <w:rPr>
          <w:lang w:eastAsia="zh-CN"/>
        </w:rPr>
        <w:t>此法讯仅为提供相关资料信息之用，其内容并</w:t>
      </w:r>
    </w:p>
    <w:p w:rsidR="00C60123" w:rsidRDefault="005F6BF1">
      <w:pPr>
        <w:pStyle w:val="Disclaimer"/>
        <w:rPr>
          <w:lang w:eastAsia="zh-CN"/>
        </w:rPr>
      </w:pPr>
      <w:r>
        <w:rPr>
          <w:lang w:eastAsia="zh-CN"/>
        </w:rPr>
        <w:t>不构成法律建议及个案的法律分析。</w:t>
      </w:r>
    </w:p>
    <w:p w:rsidR="00C60123" w:rsidRDefault="005F6BF1">
      <w:pPr>
        <w:pStyle w:val="Disclaimer"/>
        <w:rPr>
          <w:lang w:eastAsia="zh-CN"/>
        </w:rPr>
      </w:pPr>
      <w:r>
        <w:rPr>
          <w:lang w:eastAsia="zh-CN"/>
        </w:rPr>
        <w:t>此法讯的发送并不是为了在易周律师行与用户或浏览者之间建立一种律师与客户之关系。</w:t>
      </w:r>
    </w:p>
    <w:p w:rsidR="00C60123" w:rsidRDefault="005F6BF1">
      <w:pPr>
        <w:pStyle w:val="Disclaimer"/>
        <w:rPr>
          <w:lang w:eastAsia="zh-CN"/>
        </w:rPr>
      </w:pPr>
      <w:r>
        <w:rPr>
          <w:lang w:eastAsia="zh-CN"/>
        </w:rPr>
        <w:t>易周律师行并不对可从互联网获得的任何第三方内容负责。</w:t>
      </w:r>
    </w:p>
    <w:p w:rsidR="00C60123" w:rsidRDefault="005F6BF1">
      <w:pPr>
        <w:pStyle w:val="Disclaimer"/>
        <w:rPr>
          <w:lang w:eastAsia="zh-CN"/>
        </w:rPr>
      </w:pPr>
      <w:r>
        <w:rPr>
          <w:lang w:eastAsia="zh-CN"/>
        </w:rPr>
        <w:t>如你不希望再收到易周法讯，请发送电邮至</w:t>
      </w:r>
      <w:r>
        <w:rPr>
          <w:lang w:eastAsia="zh-CN"/>
        </w:rPr>
        <w:t xml:space="preserve">  </w:t>
      </w:r>
      <w:hyperlink r:id="rId10">
        <w:r>
          <w:rPr>
            <w:lang w:eastAsia="zh-CN"/>
          </w:rPr>
          <w:t>unsubscribe@charltonslaw.com</w:t>
        </w:r>
      </w:hyperlink>
    </w:p>
    <w:p w:rsidR="00C60123" w:rsidRDefault="005F6BF1">
      <w:pPr>
        <w:pStyle w:val="BlackStrips"/>
      </w:pPr>
      <w:r>
        <w:t>C</w:t>
      </w:r>
      <w:r>
        <w:t xml:space="preserve">harltons - </w:t>
      </w:r>
      <w:r>
        <w:t>香港法律</w:t>
      </w:r>
      <w:r>
        <w:t xml:space="preserve"> - 2023</w:t>
      </w:r>
      <w:r>
        <w:t>年</w:t>
      </w:r>
      <w:r>
        <w:t>10</w:t>
      </w:r>
      <w:r>
        <w:t>月</w:t>
      </w:r>
      <w:r>
        <w:t>18</w:t>
      </w:r>
      <w:r>
        <w:t>日</w:t>
      </w:r>
    </w:p>
    <w:sectPr w:rsidR="00C6012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F6BF1">
      <w:pPr>
        <w:spacing w:after="0"/>
      </w:pPr>
      <w:r>
        <w:separator/>
      </w:r>
    </w:p>
  </w:endnote>
  <w:endnote w:type="continuationSeparator" w:id="0">
    <w:p w:rsidR="00000000" w:rsidRDefault="005F6B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123" w:rsidRDefault="005F6BF1">
      <w:r>
        <w:separator/>
      </w:r>
    </w:p>
  </w:footnote>
  <w:footnote w:type="continuationSeparator" w:id="0">
    <w:p w:rsidR="00C60123" w:rsidRDefault="005F6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425ACD0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3F725A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8AC2D24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5F6BF1"/>
    <w:rsid w:val="00784D58"/>
    <w:rsid w:val="008D6863"/>
    <w:rsid w:val="00930416"/>
    <w:rsid w:val="00B86B75"/>
    <w:rsid w:val="00BC48D5"/>
    <w:rsid w:val="00C36279"/>
    <w:rsid w:val="00C60123"/>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78D3"/>
  <w15:docId w15:val="{A1B94672-80B1-4A82-9F34-C7EBEDED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TC/News-and-announcements/Policy-statements-and-announcements/Joint-announcement-of-the-CSRC-and-SFC-Dec-2022" TargetMode="External"/><Relationship Id="rId3" Type="http://schemas.openxmlformats.org/officeDocument/2006/relationships/settings" Target="settings.xml"/><Relationship Id="rId7" Type="http://schemas.openxmlformats.org/officeDocument/2006/relationships/hyperlink" Target="http://www.charltonslaw.com.cn/xiang-gang-yu-nei-di-kuo-da-hu-lian-hu-tong-ji-zh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hkex.com.hk/News/News-Release/2022/2212192news?sc_lang=zh-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223</Words>
  <Characters>1274</Characters>
  <Application>Microsoft Office Word</Application>
  <DocSecurity>0</DocSecurity>
  <Lines>10</Lines>
  <Paragraphs>2</Paragraphs>
  <ScaleCrop>false</ScaleCrop>
  <Company>Charltons</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5</cp:revision>
  <dcterms:created xsi:type="dcterms:W3CDTF">2023-10-18T07:23:00Z</dcterms:created>
  <dcterms:modified xsi:type="dcterms:W3CDTF">2023-10-18T07:29:00Z</dcterms:modified>
</cp:coreProperties>
</file>