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7F" w:rsidRDefault="0044492D">
      <w:pPr>
        <w:pStyle w:val="BlackStrips"/>
      </w:pPr>
      <w:r>
        <w:t xml:space="preserve">Charltons - </w:t>
      </w:r>
      <w:r>
        <w:t>香港法律</w:t>
      </w:r>
      <w:r>
        <w:t xml:space="preserve"> - 2024</w:t>
      </w:r>
      <w:r>
        <w:t>年</w:t>
      </w:r>
      <w:r>
        <w:t>1</w:t>
      </w:r>
      <w:r>
        <w:t>月</w:t>
      </w:r>
      <w:r>
        <w:t>3</w:t>
      </w:r>
      <w:r>
        <w:t>日</w:t>
      </w:r>
    </w:p>
    <w:p w:rsidR="00B17C7F" w:rsidRDefault="0044492D">
      <w:pPr>
        <w:pStyle w:val="ReadOnline"/>
        <w:rPr>
          <w:lang w:eastAsia="zh-CN"/>
        </w:rPr>
      </w:pPr>
      <w:hyperlink r:id="rId7">
        <w:r>
          <w:rPr>
            <w:lang w:eastAsia="zh-CN"/>
          </w:rPr>
          <w:t>online version</w:t>
        </w:r>
      </w:hyperlink>
    </w:p>
    <w:p w:rsidR="00B17C7F" w:rsidRDefault="0044492D">
      <w:pPr>
        <w:pStyle w:val="Title"/>
        <w:rPr>
          <w:lang w:eastAsia="zh-CN"/>
        </w:rPr>
      </w:pPr>
      <w:r>
        <w:rPr>
          <w:lang w:eastAsia="zh-CN"/>
        </w:rPr>
        <w:t>香港交易所新的特专科技公司上市制度于</w:t>
      </w:r>
      <w:r>
        <w:rPr>
          <w:lang w:eastAsia="zh-CN"/>
        </w:rPr>
        <w:t>2023</w:t>
      </w:r>
      <w:r>
        <w:rPr>
          <w:lang w:eastAsia="zh-CN"/>
        </w:rPr>
        <w:t>年</w:t>
      </w:r>
      <w:r>
        <w:rPr>
          <w:lang w:eastAsia="zh-CN"/>
        </w:rPr>
        <w:t>3</w:t>
      </w:r>
      <w:r>
        <w:rPr>
          <w:lang w:eastAsia="zh-CN"/>
        </w:rPr>
        <w:t>月</w:t>
      </w:r>
      <w:r>
        <w:rPr>
          <w:lang w:eastAsia="zh-CN"/>
        </w:rPr>
        <w:t>31</w:t>
      </w:r>
      <w:r>
        <w:rPr>
          <w:lang w:eastAsia="zh-CN"/>
        </w:rPr>
        <w:t>日推出</w:t>
      </w:r>
    </w:p>
    <w:p w:rsidR="00B17C7F" w:rsidRDefault="0044492D">
      <w:pPr>
        <w:pStyle w:val="FirstParagraph"/>
        <w:rPr>
          <w:lang w:eastAsia="zh-CN"/>
        </w:rPr>
      </w:pPr>
      <w:r>
        <w:rPr>
          <w:lang w:eastAsia="zh-CN"/>
        </w:rPr>
        <w:t>2023</w:t>
      </w:r>
      <w:r>
        <w:rPr>
          <w:lang w:eastAsia="zh-CN"/>
        </w:rPr>
        <w:t>年</w:t>
      </w:r>
      <w:r>
        <w:rPr>
          <w:lang w:eastAsia="zh-CN"/>
        </w:rPr>
        <w:t>3</w:t>
      </w:r>
      <w:r>
        <w:rPr>
          <w:lang w:eastAsia="zh-CN"/>
        </w:rPr>
        <w:t>月</w:t>
      </w:r>
      <w:r>
        <w:rPr>
          <w:lang w:eastAsia="zh-CN"/>
        </w:rPr>
        <w:t>24</w:t>
      </w:r>
      <w:r>
        <w:rPr>
          <w:lang w:eastAsia="zh-CN"/>
        </w:rPr>
        <w:t>日，香港联合交易所有限公司（</w:t>
      </w:r>
      <w:r>
        <w:rPr>
          <w:b/>
          <w:lang w:eastAsia="zh-CN"/>
        </w:rPr>
        <w:t>香港交易所</w:t>
      </w:r>
      <w:r>
        <w:rPr>
          <w:lang w:eastAsia="zh-CN"/>
        </w:rPr>
        <w:t>）刊发了有关其将香港上市框架拓展至准许特专科技公司根据《香港联合交易所有限公司证券上市规则》（</w:t>
      </w:r>
      <w:r>
        <w:rPr>
          <w:b/>
          <w:lang w:eastAsia="zh-CN"/>
        </w:rPr>
        <w:t>香港交易所《上市规则》</w:t>
      </w:r>
      <w:r>
        <w:rPr>
          <w:lang w:eastAsia="zh-CN"/>
        </w:rPr>
        <w:t>）新的第</w:t>
      </w:r>
      <w:r>
        <w:rPr>
          <w:lang w:eastAsia="zh-CN"/>
        </w:rPr>
        <w:t>18C</w:t>
      </w:r>
      <w:r>
        <w:rPr>
          <w:lang w:eastAsia="zh-CN"/>
        </w:rPr>
        <w:t>章规定在其主板市场上市的各项建议之</w:t>
      </w:r>
      <w:hyperlink r:id="rId8">
        <w:r>
          <w:rPr>
            <w:lang w:eastAsia="zh-CN"/>
          </w:rPr>
          <w:t>咨询总结</w:t>
        </w:r>
      </w:hyperlink>
      <w:r>
        <w:rPr>
          <w:lang w:eastAsia="zh-CN"/>
        </w:rPr>
        <w:t>。有关最初《咨询文件》的概述，请参阅易周律师行</w:t>
      </w:r>
      <w:hyperlink r:id="rId9">
        <w:r>
          <w:rPr>
            <w:lang w:eastAsia="zh-CN"/>
          </w:rPr>
          <w:t>2022</w:t>
        </w:r>
        <w:r>
          <w:rPr>
            <w:lang w:eastAsia="zh-CN"/>
          </w:rPr>
          <w:t>年</w:t>
        </w:r>
        <w:r>
          <w:rPr>
            <w:lang w:eastAsia="zh-CN"/>
          </w:rPr>
          <w:t>10</w:t>
        </w:r>
        <w:r>
          <w:rPr>
            <w:lang w:eastAsia="zh-CN"/>
          </w:rPr>
          <w:t>月份法讯</w:t>
        </w:r>
      </w:hyperlink>
      <w:r>
        <w:rPr>
          <w:lang w:eastAsia="zh-CN"/>
        </w:rPr>
        <w:t>。</w:t>
      </w:r>
    </w:p>
    <w:p w:rsidR="00B17C7F" w:rsidRDefault="0044492D">
      <w:pPr>
        <w:pStyle w:val="BodyText"/>
        <w:rPr>
          <w:lang w:eastAsia="zh-CN"/>
        </w:rPr>
      </w:pPr>
      <w:r>
        <w:rPr>
          <w:lang w:eastAsia="zh-CN"/>
        </w:rPr>
        <w:t>在有关咨询期间，香港交易所收到不同持份者提交的</w:t>
      </w:r>
      <w:r>
        <w:rPr>
          <w:lang w:eastAsia="zh-CN"/>
        </w:rPr>
        <w:t>90</w:t>
      </w:r>
      <w:r>
        <w:rPr>
          <w:lang w:eastAsia="zh-CN"/>
        </w:rPr>
        <w:t>份意见，在审阅市场回应之后，香港交易所决定实施该《咨询文件》中载列的若干建议，并作出部分修订及澄清。具体</w:t>
      </w:r>
      <w:r>
        <w:rPr>
          <w:lang w:eastAsia="zh-CN"/>
        </w:rPr>
        <w:t>而言，香港交易所已调低了所有申请人的市值门坎，并降低了某个收益范围内的特定未商业化公司的最低研究及开发（</w:t>
      </w:r>
      <w:r>
        <w:rPr>
          <w:b/>
          <w:lang w:eastAsia="zh-CN"/>
        </w:rPr>
        <w:t>研发</w:t>
      </w:r>
      <w:r>
        <w:rPr>
          <w:lang w:eastAsia="zh-CN"/>
        </w:rPr>
        <w:t>）开支比例要求。</w:t>
      </w:r>
      <w:hyperlink w:anchor="footnote-598-1">
        <w:r>
          <w:rPr>
            <w:vertAlign w:val="superscript"/>
            <w:lang w:eastAsia="zh-CN"/>
          </w:rPr>
          <w:t>1</w:t>
        </w:r>
      </w:hyperlink>
      <w:r>
        <w:rPr>
          <w:lang w:eastAsia="zh-CN"/>
        </w:rPr>
        <w:t xml:space="preserve"> </w:t>
      </w:r>
      <w:r>
        <w:rPr>
          <w:lang w:eastAsia="zh-CN"/>
        </w:rPr>
        <w:t>香港交易所《上市规则》的该等变更于</w:t>
      </w:r>
      <w:r>
        <w:rPr>
          <w:lang w:eastAsia="zh-CN"/>
        </w:rPr>
        <w:t>2023</w:t>
      </w:r>
      <w:r>
        <w:rPr>
          <w:lang w:eastAsia="zh-CN"/>
        </w:rPr>
        <w:t>年</w:t>
      </w:r>
      <w:r>
        <w:rPr>
          <w:lang w:eastAsia="zh-CN"/>
        </w:rPr>
        <w:t>3</w:t>
      </w:r>
      <w:r>
        <w:rPr>
          <w:lang w:eastAsia="zh-CN"/>
        </w:rPr>
        <w:t>月</w:t>
      </w:r>
      <w:r>
        <w:rPr>
          <w:lang w:eastAsia="zh-CN"/>
        </w:rPr>
        <w:t>31</w:t>
      </w:r>
      <w:r>
        <w:rPr>
          <w:lang w:eastAsia="zh-CN"/>
        </w:rPr>
        <w:t>日生效。</w:t>
      </w:r>
    </w:p>
    <w:p w:rsidR="00B17C7F" w:rsidRDefault="0044492D">
      <w:pPr>
        <w:pStyle w:val="BodyText"/>
        <w:rPr>
          <w:lang w:eastAsia="zh-CN"/>
        </w:rPr>
      </w:pPr>
      <w:r>
        <w:rPr>
          <w:lang w:eastAsia="zh-CN"/>
        </w:rPr>
        <w:t>定义特专科技公司</w:t>
      </w:r>
    </w:p>
    <w:p w:rsidR="00B17C7F" w:rsidRDefault="0044492D">
      <w:pPr>
        <w:pStyle w:val="BodyText"/>
        <w:rPr>
          <w:lang w:eastAsia="zh-CN"/>
        </w:rPr>
      </w:pPr>
      <w:r>
        <w:rPr>
          <w:lang w:eastAsia="zh-CN"/>
        </w:rPr>
        <w:t>根据香港交易所《上市规则》，「特专科技公司」指的是主要从事（不论直接或透过其附属公司）「特专科技行业」可接纳领域内的一个或以上的应用科学及／或技术的产品及／或服务的研发，以及其商业化及／或销售（</w:t>
      </w:r>
      <w:r>
        <w:rPr>
          <w:b/>
          <w:lang w:eastAsia="zh-CN"/>
        </w:rPr>
        <w:t>特专科技产品</w:t>
      </w:r>
      <w:r>
        <w:rPr>
          <w:lang w:eastAsia="zh-CN"/>
        </w:rPr>
        <w:t>）的公司。</w:t>
      </w:r>
    </w:p>
    <w:p w:rsidR="00B17C7F" w:rsidRDefault="0044492D">
      <w:pPr>
        <w:pStyle w:val="BodyText"/>
        <w:rPr>
          <w:lang w:eastAsia="zh-CN"/>
        </w:rPr>
      </w:pPr>
      <w:r>
        <w:rPr>
          <w:lang w:eastAsia="zh-CN"/>
        </w:rPr>
        <w:t>特专科技行业</w:t>
      </w:r>
      <w:r>
        <w:rPr>
          <w:lang w:eastAsia="zh-CN"/>
        </w:rPr>
        <w:t>及可接纳领域</w:t>
      </w:r>
    </w:p>
    <w:p w:rsidR="00B17C7F" w:rsidRDefault="0044492D">
      <w:pPr>
        <w:pStyle w:val="BodyText"/>
        <w:rPr>
          <w:lang w:eastAsia="zh-CN"/>
        </w:rPr>
      </w:pPr>
      <w:r>
        <w:rPr>
          <w:lang w:eastAsia="zh-CN"/>
        </w:rPr>
        <w:t>特专科技行业及可接纳领域清单载列于新的有关特专科技公司的指引信</w:t>
      </w:r>
      <w:hyperlink r:id="rId10">
        <w:r>
          <w:rPr>
            <w:lang w:eastAsia="zh-CN"/>
          </w:rPr>
          <w:t>HKEX-GL115-23</w:t>
        </w:r>
      </w:hyperlink>
      <w:r>
        <w:rPr>
          <w:lang w:eastAsia="zh-CN"/>
        </w:rPr>
        <w:t>，包括（但不限于）：</w:t>
      </w:r>
      <w:hyperlink w:anchor="footnote-598-2">
        <w:r>
          <w:rPr>
            <w:vertAlign w:val="superscript"/>
            <w:lang w:eastAsia="zh-CN"/>
          </w:rPr>
          <w:t>2</w:t>
        </w:r>
      </w:hyperlink>
    </w:p>
    <w:p w:rsidR="00B17C7F" w:rsidRDefault="0044492D">
      <w:pPr>
        <w:pStyle w:val="Compact"/>
        <w:numPr>
          <w:ilvl w:val="0"/>
          <w:numId w:val="3"/>
        </w:numPr>
        <w:rPr>
          <w:lang w:eastAsia="zh-CN"/>
        </w:rPr>
      </w:pPr>
      <w:r>
        <w:rPr>
          <w:lang w:eastAsia="zh-CN"/>
        </w:rPr>
        <w:t>新一代信息技术</w:t>
      </w:r>
      <w:r>
        <w:rPr>
          <w:lang w:eastAsia="zh-CN"/>
        </w:rPr>
        <w:t xml:space="preserve"> –</w:t>
      </w:r>
      <w:r>
        <w:rPr>
          <w:lang w:eastAsia="zh-CN"/>
        </w:rPr>
        <w:t>（例如云端服务及人工智能）；</w:t>
      </w:r>
    </w:p>
    <w:p w:rsidR="00B17C7F" w:rsidRDefault="0044492D">
      <w:pPr>
        <w:pStyle w:val="Compact"/>
        <w:numPr>
          <w:ilvl w:val="0"/>
          <w:numId w:val="3"/>
        </w:numPr>
        <w:rPr>
          <w:lang w:eastAsia="zh-CN"/>
        </w:rPr>
      </w:pPr>
      <w:r>
        <w:rPr>
          <w:lang w:eastAsia="zh-CN"/>
        </w:rPr>
        <w:t>先进硬件及软件</w:t>
      </w:r>
      <w:r w:rsidR="00D26565">
        <w:rPr>
          <w:rFonts w:asciiTheme="minorEastAsia" w:eastAsiaTheme="minorEastAsia" w:hAnsiTheme="minorEastAsia" w:hint="eastAsia"/>
          <w:lang w:eastAsia="zh-CN"/>
        </w:rPr>
        <w:t>-</w:t>
      </w:r>
      <w:r>
        <w:rPr>
          <w:lang w:eastAsia="zh-CN"/>
        </w:rPr>
        <w:t>（例如机器人及自动化、</w:t>
      </w:r>
      <w:r>
        <w:rPr>
          <w:lang w:eastAsia="zh-CN"/>
        </w:rPr>
        <w:t>半导体、先进通信及运输技术、航天科技、先进制造业、电动及自动驾驶汽车、量子信息技术及计算、以及元宇宙技术）；</w:t>
      </w:r>
    </w:p>
    <w:p w:rsidR="00B17C7F" w:rsidRDefault="0044492D">
      <w:pPr>
        <w:pStyle w:val="Compact"/>
        <w:numPr>
          <w:ilvl w:val="0"/>
          <w:numId w:val="3"/>
        </w:numPr>
        <w:rPr>
          <w:lang w:eastAsia="zh-CN"/>
        </w:rPr>
      </w:pPr>
      <w:r>
        <w:rPr>
          <w:lang w:eastAsia="zh-CN"/>
        </w:rPr>
        <w:t>先进材料</w:t>
      </w:r>
      <w:r>
        <w:rPr>
          <w:lang w:eastAsia="zh-CN"/>
        </w:rPr>
        <w:t xml:space="preserve"> –</w:t>
      </w:r>
      <w:r>
        <w:rPr>
          <w:lang w:eastAsia="zh-CN"/>
        </w:rPr>
        <w:t>（例如合成生物材料、先进无机材料及纳米材料）；</w:t>
      </w:r>
    </w:p>
    <w:p w:rsidR="00B17C7F" w:rsidRDefault="0044492D">
      <w:pPr>
        <w:pStyle w:val="Compact"/>
        <w:numPr>
          <w:ilvl w:val="0"/>
          <w:numId w:val="3"/>
        </w:numPr>
        <w:rPr>
          <w:lang w:eastAsia="zh-CN"/>
        </w:rPr>
      </w:pPr>
      <w:r>
        <w:rPr>
          <w:lang w:eastAsia="zh-CN"/>
        </w:rPr>
        <w:t>新能源及节能环保</w:t>
      </w:r>
      <w:r>
        <w:rPr>
          <w:lang w:eastAsia="zh-CN"/>
        </w:rPr>
        <w:t xml:space="preserve"> –</w:t>
      </w:r>
      <w:r>
        <w:rPr>
          <w:lang w:eastAsia="zh-CN"/>
        </w:rPr>
        <w:t>（例如新能源生产、储存及传输技术及新绿色技术）；及</w:t>
      </w:r>
    </w:p>
    <w:p w:rsidR="00B17C7F" w:rsidRDefault="0044492D">
      <w:pPr>
        <w:pStyle w:val="Compact"/>
        <w:numPr>
          <w:ilvl w:val="0"/>
          <w:numId w:val="3"/>
        </w:numPr>
        <w:rPr>
          <w:lang w:eastAsia="zh-CN"/>
        </w:rPr>
      </w:pPr>
      <w:r>
        <w:rPr>
          <w:lang w:eastAsia="zh-CN"/>
        </w:rPr>
        <w:t>新食品及农业技术</w:t>
      </w:r>
      <w:r>
        <w:rPr>
          <w:lang w:eastAsia="zh-CN"/>
        </w:rPr>
        <w:t>–</w:t>
      </w:r>
      <w:r>
        <w:rPr>
          <w:lang w:eastAsia="zh-CN"/>
        </w:rPr>
        <w:t>（例如农业合成生物学、农业生物技术及高效农作物技术，以及耕种技术）。</w:t>
      </w:r>
    </w:p>
    <w:p w:rsidR="00B17C7F" w:rsidRDefault="0044492D">
      <w:pPr>
        <w:pStyle w:val="FirstParagraph"/>
        <w:rPr>
          <w:lang w:eastAsia="zh-CN"/>
        </w:rPr>
      </w:pPr>
      <w:r>
        <w:rPr>
          <w:lang w:eastAsia="zh-CN"/>
        </w:rPr>
        <w:t>香港交易所拒绝了对特专科技行业名单的若干建议修订。其拒绝了将「大数据分析」及金融科技列作独立的特专科技行业或可接纳领域的建议，根据是这些业务很多涉及将特专科技（例如云端服务及人工智</w:t>
      </w:r>
      <w:r>
        <w:rPr>
          <w:lang w:eastAsia="zh-CN"/>
        </w:rPr>
        <w:t>能技术）经「下游」应用到其所售特专科技产品（例如大数据分析解决方案或金融科技软件）。因此，「大数据分析」及金融科技已经涵盖在该制度内。香港交易所亦指出，那些主要业务为促进服务供货商／产品供货商与客户之间的交易，而交易带来佣金或交易费收益的公司（包括部分类型的金融科技公司），并不应纳入特专科技制度，因为此类收益不可被视作申请人的特专科技业务分部所得收益（见香港交易所《上市规则》第</w:t>
      </w:r>
      <w:r>
        <w:rPr>
          <w:lang w:eastAsia="zh-CN"/>
        </w:rPr>
        <w:t>18C.03(4)</w:t>
      </w:r>
      <w:r>
        <w:rPr>
          <w:lang w:eastAsia="zh-CN"/>
        </w:rPr>
        <w:t>条的附注），原因在于此类公司的业务模式主要建基于其配对服务，而非销售特专科技产品。</w:t>
      </w:r>
    </w:p>
    <w:p w:rsidR="00B17C7F" w:rsidRDefault="0044492D">
      <w:pPr>
        <w:pStyle w:val="BodyText"/>
        <w:rPr>
          <w:lang w:eastAsia="zh-CN"/>
        </w:rPr>
      </w:pPr>
      <w:r>
        <w:rPr>
          <w:lang w:eastAsia="zh-CN"/>
        </w:rPr>
        <w:t>香港交易所亦拒绝将区块链技术及</w:t>
      </w:r>
      <w:r>
        <w:rPr>
          <w:lang w:eastAsia="zh-CN"/>
        </w:rPr>
        <w:t>数码资产相关业务纳入特专科技行业及可接纳领域名单，原因是其研究发现，许多在美国上市的区块链技术公司并不具备香港交易所特专科技制度预期公司所应具备的特征。举例而言，大量区块链公司从事加密资产采矿，且此类公司的成功大多有赖其采矿能力扩张，而非采用了新技术。此外，研发工作看似并没有为此类公司贡献一大部分的预期价值，亦不似构成该等公司的主要活动及占去大部分开支。相反，它们的销售成本往往十分之高，</w:t>
      </w:r>
      <w:r>
        <w:rPr>
          <w:lang w:eastAsia="zh-CN"/>
        </w:rPr>
        <w:lastRenderedPageBreak/>
        <w:t>当中主要包括</w:t>
      </w:r>
      <w:r>
        <w:rPr>
          <w:lang w:eastAsia="zh-CN"/>
        </w:rPr>
        <w:t xml:space="preserve"> (a)</w:t>
      </w:r>
      <w:r>
        <w:rPr>
          <w:lang w:eastAsia="zh-CN"/>
        </w:rPr>
        <w:t>能源及基础设施成本；</w:t>
      </w:r>
      <w:r>
        <w:rPr>
          <w:lang w:eastAsia="zh-CN"/>
        </w:rPr>
        <w:t xml:space="preserve"> (b)</w:t>
      </w:r>
      <w:r>
        <w:rPr>
          <w:lang w:eastAsia="zh-CN"/>
        </w:rPr>
        <w:t>采矿设施等固定资产的折旧和摊销；及</w:t>
      </w:r>
      <w:r>
        <w:rPr>
          <w:lang w:eastAsia="zh-CN"/>
        </w:rPr>
        <w:t xml:space="preserve"> (c)</w:t>
      </w:r>
      <w:r>
        <w:rPr>
          <w:lang w:eastAsia="zh-CN"/>
        </w:rPr>
        <w:t>销售和营销费用。</w:t>
      </w:r>
    </w:p>
    <w:p w:rsidR="00B17C7F" w:rsidRDefault="0044492D">
      <w:pPr>
        <w:pStyle w:val="BodyText"/>
        <w:rPr>
          <w:lang w:eastAsia="zh-CN"/>
        </w:rPr>
      </w:pPr>
      <w:r>
        <w:rPr>
          <w:lang w:eastAsia="zh-CN"/>
        </w:rPr>
        <w:t>有关特专科技公</w:t>
      </w:r>
      <w:r>
        <w:rPr>
          <w:lang w:eastAsia="zh-CN"/>
        </w:rPr>
        <w:t>司的该封指引信</w:t>
      </w:r>
      <w:hyperlink w:anchor="footnote-598-3">
        <w:r>
          <w:rPr>
            <w:vertAlign w:val="superscript"/>
            <w:lang w:eastAsia="zh-CN"/>
          </w:rPr>
          <w:t>3</w:t>
        </w:r>
      </w:hyperlink>
      <w:r>
        <w:rPr>
          <w:lang w:eastAsia="zh-CN"/>
        </w:rPr>
        <w:t>中规定，在生物科技公司若不以受规管产品（如香港交易所《上市规则》第</w:t>
      </w:r>
      <w:r>
        <w:rPr>
          <w:lang w:eastAsia="zh-CN"/>
        </w:rPr>
        <w:t>18A</w:t>
      </w:r>
      <w:r>
        <w:rPr>
          <w:lang w:eastAsia="zh-CN"/>
        </w:rPr>
        <w:t>章中所界定）为基础作出上市申请，只要其符合特专科技公司的定义，便可以根据第十八</w:t>
      </w:r>
      <w:r>
        <w:rPr>
          <w:lang w:eastAsia="zh-CN"/>
        </w:rPr>
        <w:t>C</w:t>
      </w:r>
      <w:r>
        <w:rPr>
          <w:lang w:eastAsia="zh-CN"/>
        </w:rPr>
        <w:t>章申请上市。</w:t>
      </w:r>
    </w:p>
    <w:p w:rsidR="00B17C7F" w:rsidRDefault="0044492D">
      <w:pPr>
        <w:pStyle w:val="BodyText"/>
        <w:rPr>
          <w:lang w:eastAsia="zh-CN"/>
        </w:rPr>
      </w:pPr>
      <w:r>
        <w:rPr>
          <w:lang w:eastAsia="zh-CN"/>
        </w:rPr>
        <w:t>不在特专科技行业及可接纳领域名单内公司的上市资格</w:t>
      </w:r>
    </w:p>
    <w:p w:rsidR="00B17C7F" w:rsidRDefault="0044492D">
      <w:pPr>
        <w:pStyle w:val="BodyText"/>
        <w:rPr>
          <w:lang w:eastAsia="zh-CN"/>
        </w:rPr>
      </w:pPr>
      <w:r>
        <w:rPr>
          <w:lang w:eastAsia="zh-CN"/>
        </w:rPr>
        <w:t>不在现有特专科技行业或可接纳领域名单内的申请人若能符合下列准则，仍可能有资格上市：</w:t>
      </w:r>
      <w:hyperlink w:anchor="footnote-598-4">
        <w:r>
          <w:rPr>
            <w:vertAlign w:val="superscript"/>
            <w:lang w:eastAsia="zh-CN"/>
          </w:rPr>
          <w:t>4</w:t>
        </w:r>
      </w:hyperlink>
    </w:p>
    <w:p w:rsidR="00B17C7F" w:rsidRDefault="0044492D">
      <w:pPr>
        <w:pStyle w:val="Compact"/>
        <w:numPr>
          <w:ilvl w:val="0"/>
          <w:numId w:val="4"/>
        </w:numPr>
      </w:pPr>
      <w:r>
        <w:t>其具高增长潜力；</w:t>
      </w:r>
    </w:p>
    <w:p w:rsidR="00B17C7F" w:rsidRDefault="0044492D">
      <w:pPr>
        <w:pStyle w:val="Compact"/>
        <w:numPr>
          <w:ilvl w:val="0"/>
          <w:numId w:val="4"/>
        </w:numPr>
        <w:rPr>
          <w:lang w:eastAsia="zh-CN"/>
        </w:rPr>
      </w:pPr>
      <w:r>
        <w:rPr>
          <w:lang w:eastAsia="zh-CN"/>
        </w:rPr>
        <w:t>其成功营运是靠在核心业务中采</w:t>
      </w:r>
      <w:r>
        <w:rPr>
          <w:lang w:eastAsia="zh-CN"/>
        </w:rPr>
        <w:t>用新科技及／或应用业内相关科学及／或技术于新业务模式，亦以此令其有别于传统市场参与者；及</w:t>
      </w:r>
    </w:p>
    <w:p w:rsidR="00B17C7F" w:rsidRDefault="0044492D">
      <w:pPr>
        <w:pStyle w:val="Compact"/>
        <w:numPr>
          <w:ilvl w:val="0"/>
          <w:numId w:val="4"/>
        </w:numPr>
        <w:rPr>
          <w:lang w:eastAsia="zh-CN"/>
        </w:rPr>
      </w:pPr>
      <w:r>
        <w:rPr>
          <w:lang w:eastAsia="zh-CN"/>
        </w:rPr>
        <w:t>研发为其贡献一大部分的预期价值，亦是其主要活动及占去大部分开支（</w:t>
      </w:r>
      <w:r>
        <w:rPr>
          <w:b/>
          <w:lang w:eastAsia="zh-CN"/>
        </w:rPr>
        <w:t>特专科技公司上市原则</w:t>
      </w:r>
      <w:r>
        <w:rPr>
          <w:lang w:eastAsia="zh-CN"/>
        </w:rPr>
        <w:t>）。</w:t>
      </w:r>
    </w:p>
    <w:p w:rsidR="00B17C7F" w:rsidRDefault="0044492D">
      <w:pPr>
        <w:pStyle w:val="FirstParagraph"/>
        <w:rPr>
          <w:lang w:eastAsia="zh-CN"/>
        </w:rPr>
      </w:pPr>
      <w:r>
        <w:rPr>
          <w:lang w:eastAsia="zh-CN"/>
        </w:rPr>
        <w:t>在循香港交易所《上市规则》第十八</w:t>
      </w:r>
      <w:r>
        <w:rPr>
          <w:lang w:eastAsia="zh-CN"/>
        </w:rPr>
        <w:t>C</w:t>
      </w:r>
      <w:r>
        <w:rPr>
          <w:lang w:eastAsia="zh-CN"/>
        </w:rPr>
        <w:t>章提交上市申请之前，该等申请人必须先向香港交易所提交首次公开招股前查询，就其是否可以被视为「属于特专科技行业可接纳领域」寻求保密指导。香港交易所在厘定相关申请人是否可以被视为「属于特专科技行业可接纳领域」而合资格循第十八</w:t>
      </w:r>
      <w:r>
        <w:rPr>
          <w:lang w:eastAsia="zh-CN"/>
        </w:rPr>
        <w:t>C</w:t>
      </w:r>
      <w:r>
        <w:rPr>
          <w:lang w:eastAsia="zh-CN"/>
        </w:rPr>
        <w:t>章申请上市之前，将会咨询证监会并寻求其批准。</w:t>
      </w:r>
    </w:p>
    <w:p w:rsidR="00B17C7F" w:rsidRDefault="0044492D">
      <w:pPr>
        <w:pStyle w:val="BodyText"/>
        <w:rPr>
          <w:lang w:eastAsia="zh-CN"/>
        </w:rPr>
      </w:pPr>
      <w:r>
        <w:rPr>
          <w:lang w:eastAsia="zh-CN"/>
        </w:rPr>
        <w:t>香港交易所获证监会批准后，会不</w:t>
      </w:r>
      <w:r>
        <w:rPr>
          <w:lang w:eastAsia="zh-CN"/>
        </w:rPr>
        <w:t>时更新特专科技行业及可接纳领域名单。例如，香港交易所可能会在来自新行业或领域的申请人成功上市其后或伴随其上市之时更新名单，但若申请人具有的特征一般不适用于同一行业或领域的其他公司，则香港交易所保留不更新的权利。</w:t>
      </w:r>
    </w:p>
    <w:p w:rsidR="00B17C7F" w:rsidRDefault="0044492D">
      <w:pPr>
        <w:pStyle w:val="BodyText"/>
        <w:rPr>
          <w:lang w:eastAsia="zh-CN"/>
        </w:rPr>
      </w:pPr>
      <w:r>
        <w:rPr>
          <w:lang w:eastAsia="zh-CN"/>
        </w:rPr>
        <w:t>拥有多个业务分部的香港交易所上市申请人</w:t>
      </w:r>
    </w:p>
    <w:p w:rsidR="00B17C7F" w:rsidRDefault="0044492D">
      <w:pPr>
        <w:pStyle w:val="BodyText"/>
        <w:rPr>
          <w:lang w:eastAsia="zh-CN"/>
        </w:rPr>
      </w:pPr>
      <w:r>
        <w:rPr>
          <w:lang w:eastAsia="zh-CN"/>
        </w:rPr>
        <w:t>拥有多个业务分部的上市申请人，而其中某些业务分部不属于一个或以上特专科技行业可接纳领域，须证明其主要从事特专科技业务。在厘定主要参与事宜时，香港交易所将考虑以下各项因素：</w:t>
      </w:r>
      <w:hyperlink w:anchor="footnote-598-5">
        <w:r>
          <w:rPr>
            <w:vertAlign w:val="superscript"/>
            <w:lang w:eastAsia="zh-CN"/>
          </w:rPr>
          <w:t>5</w:t>
        </w:r>
      </w:hyperlink>
    </w:p>
    <w:p w:rsidR="00B17C7F" w:rsidRDefault="0044492D">
      <w:pPr>
        <w:pStyle w:val="Compact"/>
        <w:numPr>
          <w:ilvl w:val="0"/>
          <w:numId w:val="5"/>
        </w:numPr>
        <w:rPr>
          <w:lang w:eastAsia="zh-CN"/>
        </w:rPr>
      </w:pPr>
      <w:r>
        <w:rPr>
          <w:lang w:eastAsia="zh-CN"/>
        </w:rPr>
        <w:t>该公司上市前至少三个会计年度的总营运开支及雇员资源（包括其时间及具备相关专业知识及经验的雇员数目）是否大部分用于该公司的特专科技业务分部中特专科技产品的研发，以及其商业化及／或销售；</w:t>
      </w:r>
    </w:p>
    <w:p w:rsidR="00B17C7F" w:rsidRDefault="0044492D">
      <w:pPr>
        <w:pStyle w:val="Compact"/>
        <w:numPr>
          <w:ilvl w:val="0"/>
          <w:numId w:val="5"/>
        </w:numPr>
        <w:rPr>
          <w:lang w:eastAsia="zh-CN"/>
        </w:rPr>
      </w:pPr>
      <w:r>
        <w:rPr>
          <w:lang w:eastAsia="zh-CN"/>
        </w:rPr>
        <w:t>投资者的估值基准及该公司的预期市值是否主要基于该公司的特专科技业务分部；</w:t>
      </w:r>
    </w:p>
    <w:p w:rsidR="00B17C7F" w:rsidRDefault="0044492D">
      <w:pPr>
        <w:pStyle w:val="Compact"/>
        <w:numPr>
          <w:ilvl w:val="0"/>
          <w:numId w:val="5"/>
        </w:numPr>
        <w:rPr>
          <w:lang w:eastAsia="zh-CN"/>
        </w:rPr>
      </w:pPr>
      <w:r>
        <w:rPr>
          <w:lang w:eastAsia="zh-CN"/>
        </w:rPr>
        <w:t>上市所得款项的建议用途是否主要用于其特专科技业务分部；</w:t>
      </w:r>
    </w:p>
    <w:p w:rsidR="00B17C7F" w:rsidRDefault="0044492D">
      <w:pPr>
        <w:pStyle w:val="Compact"/>
        <w:numPr>
          <w:ilvl w:val="0"/>
          <w:numId w:val="5"/>
        </w:numPr>
        <w:rPr>
          <w:lang w:eastAsia="zh-CN"/>
        </w:rPr>
      </w:pPr>
      <w:r>
        <w:rPr>
          <w:lang w:eastAsia="zh-CN"/>
        </w:rPr>
        <w:t>特专科技业务分部产生的收益（如有）占该公司收益总额的比例；及</w:t>
      </w:r>
    </w:p>
    <w:p w:rsidR="00B17C7F" w:rsidRDefault="0044492D">
      <w:pPr>
        <w:pStyle w:val="Compact"/>
        <w:numPr>
          <w:ilvl w:val="0"/>
          <w:numId w:val="5"/>
        </w:numPr>
        <w:rPr>
          <w:lang w:eastAsia="zh-CN"/>
        </w:rPr>
      </w:pPr>
      <w:r>
        <w:rPr>
          <w:lang w:eastAsia="zh-CN"/>
        </w:rPr>
        <w:t>保留非特专科技业务的原因及该公司的经营历史。</w:t>
      </w:r>
    </w:p>
    <w:p w:rsidR="00B17C7F" w:rsidRDefault="0044492D">
      <w:pPr>
        <w:pStyle w:val="FirstParagraph"/>
        <w:rPr>
          <w:lang w:eastAsia="zh-CN"/>
        </w:rPr>
      </w:pPr>
      <w:r>
        <w:rPr>
          <w:lang w:eastAsia="zh-CN"/>
        </w:rPr>
        <w:t>香港交易所拒绝上市申请的权利</w:t>
      </w:r>
    </w:p>
    <w:p w:rsidR="00B17C7F" w:rsidRDefault="0044492D">
      <w:pPr>
        <w:pStyle w:val="BodyText"/>
        <w:rPr>
          <w:lang w:eastAsia="zh-CN"/>
        </w:rPr>
      </w:pPr>
      <w:r>
        <w:rPr>
          <w:lang w:eastAsia="zh-CN"/>
        </w:rPr>
        <w:t>香港交易所有权拒绝有任何不符合特专科技公司上市原则的特征的可</w:t>
      </w:r>
      <w:r>
        <w:rPr>
          <w:lang w:eastAsia="zh-CN"/>
        </w:rPr>
        <w:t>接纳领域内的申请人的上市申请。</w:t>
      </w:r>
    </w:p>
    <w:p w:rsidR="00B17C7F" w:rsidRDefault="0044492D">
      <w:pPr>
        <w:pStyle w:val="BodyText"/>
        <w:rPr>
          <w:lang w:eastAsia="zh-CN"/>
        </w:rPr>
      </w:pPr>
      <w:r>
        <w:rPr>
          <w:lang w:eastAsia="zh-CN"/>
        </w:rPr>
        <w:t>已商业化及未商业化的特专科技公司</w:t>
      </w:r>
    </w:p>
    <w:p w:rsidR="00B17C7F" w:rsidRDefault="0044492D">
      <w:pPr>
        <w:pStyle w:val="BodyText"/>
        <w:rPr>
          <w:lang w:eastAsia="zh-CN"/>
        </w:rPr>
      </w:pPr>
      <w:r>
        <w:rPr>
          <w:lang w:eastAsia="zh-CN"/>
        </w:rPr>
        <w:t>特专科技公司有两种类别，但对未商业化公司的规定更为严格一些（考虑到其风险）。</w:t>
      </w:r>
    </w:p>
    <w:p w:rsidR="00B17C7F" w:rsidRDefault="0044492D">
      <w:pPr>
        <w:pStyle w:val="Compact"/>
        <w:numPr>
          <w:ilvl w:val="0"/>
          <w:numId w:val="6"/>
        </w:numPr>
        <w:rPr>
          <w:lang w:eastAsia="zh-CN"/>
        </w:rPr>
      </w:pPr>
      <w:r>
        <w:rPr>
          <w:lang w:eastAsia="zh-CN"/>
        </w:rPr>
        <w:t>已商业化的公司：在经审计的最近一个会计年度获得的收益至少达</w:t>
      </w:r>
      <w:r>
        <w:rPr>
          <w:lang w:eastAsia="zh-CN"/>
        </w:rPr>
        <w:t>2.5</w:t>
      </w:r>
      <w:r>
        <w:rPr>
          <w:lang w:eastAsia="zh-CN"/>
        </w:rPr>
        <w:t>亿港元（</w:t>
      </w:r>
      <w:r>
        <w:rPr>
          <w:b/>
          <w:lang w:eastAsia="zh-CN"/>
        </w:rPr>
        <w:t>商业化收益门坎</w:t>
      </w:r>
      <w:r>
        <w:rPr>
          <w:lang w:eastAsia="zh-CN"/>
        </w:rPr>
        <w:t>）的特专科技公司；及</w:t>
      </w:r>
    </w:p>
    <w:p w:rsidR="00B17C7F" w:rsidRDefault="0044492D">
      <w:pPr>
        <w:pStyle w:val="Compact"/>
        <w:numPr>
          <w:ilvl w:val="0"/>
          <w:numId w:val="6"/>
        </w:numPr>
        <w:rPr>
          <w:lang w:eastAsia="zh-CN"/>
        </w:rPr>
      </w:pPr>
      <w:r>
        <w:rPr>
          <w:lang w:eastAsia="zh-CN"/>
        </w:rPr>
        <w:t>未商业化的公司：在经审计的最近一个会计年度获得的收益不足</w:t>
      </w:r>
      <w:r>
        <w:rPr>
          <w:lang w:eastAsia="zh-CN"/>
        </w:rPr>
        <w:t>2.5</w:t>
      </w:r>
      <w:r>
        <w:rPr>
          <w:lang w:eastAsia="zh-CN"/>
        </w:rPr>
        <w:t>亿港元的特专科技公司。</w:t>
      </w:r>
    </w:p>
    <w:p w:rsidR="00B17C7F" w:rsidRDefault="0044492D">
      <w:pPr>
        <w:pStyle w:val="FirstParagraph"/>
        <w:rPr>
          <w:lang w:eastAsia="zh-CN"/>
        </w:rPr>
      </w:pPr>
      <w:r>
        <w:rPr>
          <w:lang w:eastAsia="zh-CN"/>
        </w:rPr>
        <w:t>在香港交易所上市的资格</w:t>
      </w:r>
    </w:p>
    <w:p w:rsidR="00B17C7F" w:rsidRDefault="0044492D">
      <w:pPr>
        <w:pStyle w:val="BodyText"/>
        <w:rPr>
          <w:lang w:eastAsia="zh-CN"/>
        </w:rPr>
      </w:pPr>
      <w:r>
        <w:rPr>
          <w:lang w:eastAsia="zh-CN"/>
        </w:rPr>
        <w:lastRenderedPageBreak/>
        <w:t>市值</w:t>
      </w:r>
    </w:p>
    <w:p w:rsidR="00B17C7F" w:rsidRDefault="0044492D">
      <w:pPr>
        <w:pStyle w:val="BodyText"/>
        <w:rPr>
          <w:lang w:eastAsia="zh-CN"/>
        </w:rPr>
      </w:pPr>
      <w:r>
        <w:rPr>
          <w:lang w:eastAsia="zh-CN"/>
        </w:rPr>
        <w:t>于上市时的预期市值须达至少：</w:t>
      </w:r>
    </w:p>
    <w:p w:rsidR="00B17C7F" w:rsidRDefault="0044492D">
      <w:pPr>
        <w:pStyle w:val="Compact"/>
        <w:numPr>
          <w:ilvl w:val="0"/>
          <w:numId w:val="7"/>
        </w:numPr>
        <w:rPr>
          <w:lang w:eastAsia="zh-CN"/>
        </w:rPr>
      </w:pPr>
      <w:r>
        <w:rPr>
          <w:lang w:eastAsia="zh-CN"/>
        </w:rPr>
        <w:t>（已商业化公司）</w:t>
      </w:r>
      <w:r>
        <w:rPr>
          <w:lang w:eastAsia="zh-CN"/>
        </w:rPr>
        <w:t xml:space="preserve">60 </w:t>
      </w:r>
      <w:r>
        <w:rPr>
          <w:lang w:eastAsia="zh-CN"/>
        </w:rPr>
        <w:t>亿港元（从原始建议中的</w:t>
      </w:r>
      <w:r>
        <w:rPr>
          <w:lang w:eastAsia="zh-CN"/>
        </w:rPr>
        <w:t>80</w:t>
      </w:r>
      <w:r>
        <w:rPr>
          <w:lang w:eastAsia="zh-CN"/>
        </w:rPr>
        <w:t>亿港元下调了）；及</w:t>
      </w:r>
    </w:p>
    <w:p w:rsidR="00B17C7F" w:rsidRDefault="0044492D">
      <w:pPr>
        <w:pStyle w:val="Compact"/>
        <w:numPr>
          <w:ilvl w:val="0"/>
          <w:numId w:val="7"/>
        </w:numPr>
        <w:rPr>
          <w:lang w:eastAsia="zh-CN"/>
        </w:rPr>
      </w:pPr>
      <w:r>
        <w:rPr>
          <w:lang w:eastAsia="zh-CN"/>
        </w:rPr>
        <w:t>（未商业化公司）</w:t>
      </w:r>
      <w:r>
        <w:rPr>
          <w:lang w:eastAsia="zh-CN"/>
        </w:rPr>
        <w:t>100</w:t>
      </w:r>
      <w:r>
        <w:rPr>
          <w:lang w:eastAsia="zh-CN"/>
        </w:rPr>
        <w:t>亿港元（从原始建议中的</w:t>
      </w:r>
      <w:r>
        <w:rPr>
          <w:lang w:eastAsia="zh-CN"/>
        </w:rPr>
        <w:t>1</w:t>
      </w:r>
      <w:r>
        <w:rPr>
          <w:lang w:eastAsia="zh-CN"/>
        </w:rPr>
        <w:t>50</w:t>
      </w:r>
      <w:r>
        <w:rPr>
          <w:lang w:eastAsia="zh-CN"/>
        </w:rPr>
        <w:t>亿港元下调了）</w:t>
      </w:r>
      <w:r>
        <w:rPr>
          <w:lang w:eastAsia="zh-CN"/>
        </w:rPr>
        <w:t>.</w:t>
      </w:r>
    </w:p>
    <w:p w:rsidR="00B17C7F" w:rsidRDefault="0044492D">
      <w:pPr>
        <w:pStyle w:val="FirstParagraph"/>
        <w:rPr>
          <w:lang w:eastAsia="zh-CN"/>
        </w:rPr>
      </w:pPr>
      <w:r>
        <w:rPr>
          <w:lang w:eastAsia="zh-CN"/>
        </w:rPr>
        <w:t>收益规定</w:t>
      </w:r>
    </w:p>
    <w:p w:rsidR="00B17C7F" w:rsidRDefault="0044492D">
      <w:pPr>
        <w:pStyle w:val="BodyText"/>
        <w:rPr>
          <w:lang w:eastAsia="zh-CN"/>
        </w:rPr>
      </w:pPr>
      <w:r>
        <w:rPr>
          <w:lang w:eastAsia="zh-CN"/>
        </w:rPr>
        <w:t>已商业化公司在经审计的最近一个会计年度获得的收益须至少达</w:t>
      </w:r>
      <w:r>
        <w:rPr>
          <w:lang w:eastAsia="zh-CN"/>
        </w:rPr>
        <w:t>2.5</w:t>
      </w:r>
      <w:r>
        <w:rPr>
          <w:lang w:eastAsia="zh-CN"/>
        </w:rPr>
        <w:t>亿港元。未商业化公司则无收益要求。</w:t>
      </w:r>
    </w:p>
    <w:p w:rsidR="00B17C7F" w:rsidRDefault="0044492D">
      <w:pPr>
        <w:pStyle w:val="BodyText"/>
        <w:rPr>
          <w:lang w:eastAsia="zh-CN"/>
        </w:rPr>
      </w:pPr>
      <w:r>
        <w:rPr>
          <w:lang w:eastAsia="zh-CN"/>
        </w:rPr>
        <w:t>在厘定一家公司是否达到最低收益门坎时，只计算该公司特专科技业务分部所得收益（而不含该公司其他业务分部之间的收益）。由「账面」交易（例如以物易物的虚晃交易、拨回会计上的拨备，及其他纯粹因入账而产生的类似活动）所产生的收益亦不得计算在内。</w:t>
      </w:r>
      <w:hyperlink w:anchor="footnote-598-6">
        <w:r>
          <w:rPr>
            <w:vertAlign w:val="superscript"/>
            <w:lang w:eastAsia="zh-CN"/>
          </w:rPr>
          <w:t>6</w:t>
        </w:r>
      </w:hyperlink>
    </w:p>
    <w:p w:rsidR="00B17C7F" w:rsidRDefault="0044492D">
      <w:pPr>
        <w:pStyle w:val="BodyText"/>
        <w:rPr>
          <w:lang w:eastAsia="zh-CN"/>
        </w:rPr>
      </w:pPr>
      <w:r>
        <w:rPr>
          <w:lang w:eastAsia="zh-CN"/>
        </w:rPr>
        <w:t>香港交易所亦要求已商业化公司证明其收益在整个营业纪录期间有按年增长，但</w:t>
      </w:r>
      <w:r>
        <w:rPr>
          <w:lang w:eastAsia="zh-CN"/>
        </w:rPr>
        <w:t>因超出该申请人控制以外的因素（例如经济、市场或整个行业状况）而导致收益暂时下降的情况可另作考虑。若在该期间的年收益出现任何下跌趋势，已商业化公司申请人将须向香港交易所说明及／或在其上市文件中提供让香港交易所信纳的相关理由及已采取或将采取的应对补救措施，并在上市文件中披露。</w:t>
      </w:r>
      <w:hyperlink w:anchor="footnote-598-7">
        <w:r>
          <w:rPr>
            <w:vertAlign w:val="superscript"/>
            <w:lang w:eastAsia="zh-CN"/>
          </w:rPr>
          <w:t>7</w:t>
        </w:r>
      </w:hyperlink>
    </w:p>
    <w:p w:rsidR="00B17C7F" w:rsidRDefault="0044492D">
      <w:pPr>
        <w:pStyle w:val="BodyText"/>
        <w:rPr>
          <w:lang w:eastAsia="zh-CN"/>
        </w:rPr>
      </w:pPr>
      <w:r>
        <w:rPr>
          <w:lang w:eastAsia="zh-CN"/>
        </w:rPr>
        <w:t>研发开支</w:t>
      </w:r>
    </w:p>
    <w:p w:rsidR="00B17C7F" w:rsidRDefault="0044492D">
      <w:pPr>
        <w:pStyle w:val="BodyText"/>
        <w:rPr>
          <w:lang w:eastAsia="zh-CN"/>
        </w:rPr>
      </w:pPr>
      <w:r>
        <w:rPr>
          <w:lang w:eastAsia="zh-CN"/>
        </w:rPr>
        <w:t>香港交易所要求上市申请人于上市之前进行其特专科技产品研发至少达</w:t>
      </w:r>
      <w:r>
        <w:rPr>
          <w:lang w:eastAsia="zh-CN"/>
        </w:rPr>
        <w:t>3</w:t>
      </w:r>
      <w:r>
        <w:rPr>
          <w:lang w:eastAsia="zh-CN"/>
        </w:rPr>
        <w:t>个会计年度。</w:t>
      </w:r>
    </w:p>
    <w:p w:rsidR="00B17C7F" w:rsidRDefault="0044492D">
      <w:pPr>
        <w:pStyle w:val="BodyText"/>
        <w:rPr>
          <w:lang w:eastAsia="zh-CN"/>
        </w:rPr>
      </w:pPr>
      <w:r>
        <w:rPr>
          <w:lang w:eastAsia="zh-CN"/>
        </w:rPr>
        <w:t>就已商业化公司而言，研发开支须占总营运开支的至少</w:t>
      </w:r>
      <w:r>
        <w:rPr>
          <w:lang w:eastAsia="zh-CN"/>
        </w:rPr>
        <w:t>15%</w:t>
      </w:r>
      <w:r>
        <w:rPr>
          <w:lang w:eastAsia="zh-CN"/>
        </w:rPr>
        <w:t>。</w:t>
      </w:r>
    </w:p>
    <w:p w:rsidR="00B17C7F" w:rsidRDefault="0044492D">
      <w:pPr>
        <w:pStyle w:val="BodyText"/>
        <w:rPr>
          <w:lang w:eastAsia="zh-CN"/>
        </w:rPr>
      </w:pPr>
      <w:r>
        <w:rPr>
          <w:lang w:eastAsia="zh-CN"/>
        </w:rPr>
        <w:t>就在经审计的最近</w:t>
      </w:r>
      <w:r>
        <w:rPr>
          <w:lang w:eastAsia="zh-CN"/>
        </w:rPr>
        <w:t>一个会计年度获得的收益少于</w:t>
      </w:r>
      <w:r>
        <w:rPr>
          <w:lang w:eastAsia="zh-CN"/>
        </w:rPr>
        <w:t>1.5</w:t>
      </w:r>
      <w:r>
        <w:rPr>
          <w:lang w:eastAsia="zh-CN"/>
        </w:rPr>
        <w:t>亿港元的未商业化公司而言，研发开支须占总营运开支的至少</w:t>
      </w:r>
      <w:r>
        <w:rPr>
          <w:lang w:eastAsia="zh-CN"/>
        </w:rPr>
        <w:t>50%</w:t>
      </w:r>
      <w:r>
        <w:rPr>
          <w:lang w:eastAsia="zh-CN"/>
        </w:rPr>
        <w:t>。</w:t>
      </w:r>
    </w:p>
    <w:p w:rsidR="00B17C7F" w:rsidRDefault="0044492D">
      <w:pPr>
        <w:pStyle w:val="BodyText"/>
        <w:rPr>
          <w:lang w:eastAsia="zh-CN"/>
        </w:rPr>
      </w:pPr>
      <w:r>
        <w:rPr>
          <w:lang w:eastAsia="zh-CN"/>
        </w:rPr>
        <w:t>就在经审计的最近一个会计年度获得的收益介于</w:t>
      </w:r>
      <w:r>
        <w:rPr>
          <w:lang w:eastAsia="zh-CN"/>
        </w:rPr>
        <w:t>1.5</w:t>
      </w:r>
      <w:r>
        <w:rPr>
          <w:lang w:eastAsia="zh-CN"/>
        </w:rPr>
        <w:t>亿港元至</w:t>
      </w:r>
      <w:r>
        <w:rPr>
          <w:lang w:eastAsia="zh-CN"/>
        </w:rPr>
        <w:t>2.5</w:t>
      </w:r>
      <w:r>
        <w:rPr>
          <w:lang w:eastAsia="zh-CN"/>
        </w:rPr>
        <w:t>亿港元之间的未商业化公司而言，经修订的若干规定将研发开支最低门坎下调至总营运开支的</w:t>
      </w:r>
      <w:r>
        <w:rPr>
          <w:lang w:eastAsia="zh-CN"/>
        </w:rPr>
        <w:t>30%</w:t>
      </w:r>
      <w:r>
        <w:rPr>
          <w:lang w:eastAsia="zh-CN"/>
        </w:rPr>
        <w:t>（之前建议的是</w:t>
      </w:r>
      <w:r>
        <w:rPr>
          <w:lang w:eastAsia="zh-CN"/>
        </w:rPr>
        <w:t>50%</w:t>
      </w:r>
      <w:r>
        <w:rPr>
          <w:lang w:eastAsia="zh-CN"/>
        </w:rPr>
        <w:t>），以照顾商业化初期阶段中的未商业化公司的需要。</w:t>
      </w:r>
      <w:hyperlink w:anchor="footnote-598-8">
        <w:r>
          <w:rPr>
            <w:vertAlign w:val="superscript"/>
            <w:lang w:eastAsia="zh-CN"/>
          </w:rPr>
          <w:t>8</w:t>
        </w:r>
      </w:hyperlink>
    </w:p>
    <w:p w:rsidR="00B17C7F" w:rsidRDefault="0044492D">
      <w:pPr>
        <w:pStyle w:val="BodyText"/>
        <w:rPr>
          <w:lang w:eastAsia="zh-CN"/>
        </w:rPr>
      </w:pPr>
      <w:r>
        <w:rPr>
          <w:b/>
          <w:lang w:eastAsia="zh-CN"/>
        </w:rPr>
        <w:t>申请阶段</w:t>
      </w:r>
    </w:p>
    <w:p w:rsidR="00B17C7F" w:rsidRDefault="0044492D">
      <w:pPr>
        <w:pStyle w:val="BodyText"/>
        <w:rPr>
          <w:lang w:eastAsia="zh-CN"/>
        </w:rPr>
      </w:pPr>
      <w:r>
        <w:rPr>
          <w:lang w:eastAsia="zh-CN"/>
        </w:rPr>
        <w:t>初始建议要求上市前三个会计年度中每个会计年度的每一年均须达到该最低研发开支要求。</w:t>
      </w:r>
    </w:p>
    <w:p w:rsidR="00B17C7F" w:rsidRDefault="0044492D">
      <w:pPr>
        <w:pStyle w:val="BodyText"/>
        <w:rPr>
          <w:lang w:eastAsia="zh-CN"/>
        </w:rPr>
      </w:pPr>
      <w:r>
        <w:rPr>
          <w:lang w:eastAsia="zh-CN"/>
        </w:rPr>
        <w:t>考虑到研发开支及营运开支可能产生的波动，最终定稿的第</w:t>
      </w:r>
      <w:r>
        <w:rPr>
          <w:lang w:eastAsia="zh-CN"/>
        </w:rPr>
        <w:t>18C</w:t>
      </w:r>
      <w:r>
        <w:rPr>
          <w:lang w:eastAsia="zh-CN"/>
        </w:rPr>
        <w:t>章要求上市前三个会计年度中至少有两个会计年度每一年均须达到该最低研发开支要求，且上市前三个会计年度合并计算亦须达到适用的百分比门坎。</w:t>
      </w:r>
    </w:p>
    <w:p w:rsidR="00B17C7F" w:rsidRDefault="0044492D">
      <w:pPr>
        <w:pStyle w:val="BodyText"/>
        <w:rPr>
          <w:lang w:eastAsia="zh-CN"/>
        </w:rPr>
      </w:pPr>
      <w:r>
        <w:rPr>
          <w:lang w:eastAsia="zh-CN"/>
        </w:rPr>
        <w:t>研发开支金额将包括直接与特专科技公司研发活动有关的成本（包括拨作无形资产入账的开发成本），但不包括行政及一般与研发活动没有明确关系的成本。</w:t>
      </w:r>
    </w:p>
    <w:p w:rsidR="00B17C7F" w:rsidRDefault="0044492D">
      <w:pPr>
        <w:pStyle w:val="BodyText"/>
        <w:rPr>
          <w:lang w:eastAsia="zh-CN"/>
        </w:rPr>
      </w:pPr>
      <w:r>
        <w:rPr>
          <w:lang w:eastAsia="zh-CN"/>
        </w:rPr>
        <w:t>另外，香港交易所预期研发开支金额主要由以下成本组成：</w:t>
      </w:r>
    </w:p>
    <w:p w:rsidR="00B17C7F" w:rsidRDefault="0044492D">
      <w:pPr>
        <w:pStyle w:val="Compact"/>
        <w:numPr>
          <w:ilvl w:val="0"/>
          <w:numId w:val="8"/>
        </w:numPr>
        <w:rPr>
          <w:lang w:eastAsia="zh-CN"/>
        </w:rPr>
      </w:pPr>
      <w:r>
        <w:rPr>
          <w:lang w:eastAsia="zh-CN"/>
        </w:rPr>
        <w:t>从事研发活动人员的成本；</w:t>
      </w:r>
    </w:p>
    <w:p w:rsidR="00B17C7F" w:rsidRDefault="0044492D">
      <w:pPr>
        <w:pStyle w:val="Compact"/>
        <w:numPr>
          <w:ilvl w:val="0"/>
          <w:numId w:val="8"/>
        </w:numPr>
        <w:rPr>
          <w:lang w:eastAsia="zh-CN"/>
        </w:rPr>
      </w:pPr>
      <w:r>
        <w:rPr>
          <w:lang w:eastAsia="zh-CN"/>
        </w:rPr>
        <w:t>研发活动使用的设备或设施的折旧、服务费用或其他直接有关的成本；</w:t>
      </w:r>
    </w:p>
    <w:p w:rsidR="00B17C7F" w:rsidRDefault="0044492D">
      <w:pPr>
        <w:pStyle w:val="Compact"/>
        <w:numPr>
          <w:ilvl w:val="0"/>
          <w:numId w:val="8"/>
        </w:numPr>
        <w:rPr>
          <w:lang w:eastAsia="zh-CN"/>
        </w:rPr>
      </w:pPr>
      <w:r>
        <w:rPr>
          <w:lang w:eastAsia="zh-CN"/>
        </w:rPr>
        <w:t>研发活动使用的无形资产的摊销（前提是</w:t>
      </w:r>
      <w:r>
        <w:rPr>
          <w:lang w:eastAsia="zh-CN"/>
        </w:rPr>
        <w:t>拨作无形资产入账的相关研发成本未被计入上文所述的开发成本）；及</w:t>
      </w:r>
    </w:p>
    <w:p w:rsidR="00B17C7F" w:rsidRDefault="0044492D">
      <w:pPr>
        <w:pStyle w:val="Compact"/>
        <w:numPr>
          <w:ilvl w:val="0"/>
          <w:numId w:val="8"/>
        </w:numPr>
        <w:rPr>
          <w:lang w:eastAsia="zh-CN"/>
        </w:rPr>
      </w:pPr>
      <w:r>
        <w:rPr>
          <w:lang w:eastAsia="zh-CN"/>
        </w:rPr>
        <w:t>研发活动所耗材料的成本。</w:t>
      </w:r>
    </w:p>
    <w:p w:rsidR="00B17C7F" w:rsidRDefault="0044492D">
      <w:pPr>
        <w:pStyle w:val="FirstParagraph"/>
        <w:rPr>
          <w:lang w:eastAsia="zh-CN"/>
        </w:rPr>
      </w:pPr>
      <w:r>
        <w:rPr>
          <w:lang w:eastAsia="zh-CN"/>
        </w:rPr>
        <w:t>营业纪录期，管理层及拥有权维持不变</w:t>
      </w:r>
    </w:p>
    <w:p w:rsidR="00B17C7F" w:rsidRDefault="0044492D">
      <w:pPr>
        <w:pStyle w:val="BodyText"/>
      </w:pPr>
      <w:r>
        <w:rPr>
          <w:lang w:eastAsia="zh-CN"/>
        </w:rPr>
        <w:lastRenderedPageBreak/>
        <w:t>根据适用于其他主板市场上市申请人的准则，特专科技公司须证明在管理层成员大致不变的情况下经营其现有业务至少三个会计年度。在特殊情况下，香港交易所或可考虑接纳较短的交易纪录期（至少两个会计年度）。特专科技公司亦须于上市前至少</w:t>
      </w:r>
      <w:r>
        <w:rPr>
          <w:lang w:eastAsia="zh-CN"/>
        </w:rPr>
        <w:t>12</w:t>
      </w:r>
      <w:r>
        <w:rPr>
          <w:lang w:eastAsia="zh-CN"/>
        </w:rPr>
        <w:t>个月内及在直至紧接发售及／或配售成为无条件前保持其拥有权和控制权维持不变。</w:t>
      </w:r>
      <w:hyperlink w:anchor="footnote-598-9">
        <w:r>
          <w:rPr>
            <w:vertAlign w:val="superscript"/>
            <w:lang w:eastAsia="zh-CN"/>
          </w:rPr>
          <w:t>9</w:t>
        </w:r>
      </w:hyperlink>
      <w:r>
        <w:rPr>
          <w:lang w:eastAsia="zh-CN"/>
        </w:rPr>
        <w:t xml:space="preserve"> </w:t>
      </w:r>
      <w:r>
        <w:rPr>
          <w:lang w:eastAsia="zh-CN"/>
        </w:rPr>
        <w:t>该新的关于</w:t>
      </w:r>
      <w:r>
        <w:rPr>
          <w:lang w:eastAsia="zh-CN"/>
        </w:rPr>
        <w:t>特专科技公司的指引信规定，就特专科技公司拥有权及控制权维持不变的规定而言，香港交易所将会采纳其就香港交易所《上市规则》第</w:t>
      </w:r>
      <w:r>
        <w:rPr>
          <w:lang w:eastAsia="zh-CN"/>
        </w:rPr>
        <w:t>8.05</w:t>
      </w:r>
      <w:r>
        <w:rPr>
          <w:lang w:eastAsia="zh-CN"/>
        </w:rPr>
        <w:t>条下拥有权和控制权维持不变的规定的指引（载于指引信</w:t>
      </w:r>
      <w:hyperlink r:id="rId11">
        <w:r>
          <w:rPr>
            <w:lang w:eastAsia="zh-CN"/>
          </w:rPr>
          <w:t>HKEX-GL89-16</w:t>
        </w:r>
      </w:hyperlink>
      <w:r>
        <w:rPr>
          <w:lang w:eastAsia="zh-CN"/>
        </w:rPr>
        <w:t>中）。</w:t>
      </w:r>
      <w:r>
        <w:t>这意味着：</w:t>
      </w:r>
    </w:p>
    <w:p w:rsidR="00B17C7F" w:rsidRDefault="0044492D">
      <w:pPr>
        <w:pStyle w:val="Compact"/>
        <w:numPr>
          <w:ilvl w:val="0"/>
          <w:numId w:val="9"/>
        </w:numPr>
        <w:rPr>
          <w:lang w:eastAsia="zh-CN"/>
        </w:rPr>
      </w:pPr>
      <w:r>
        <w:rPr>
          <w:lang w:eastAsia="zh-CN"/>
        </w:rPr>
        <w:t>若特专科技公司无控股股东，那么拥有权维持不变的要求将参照最大单一股东进行评估；及</w:t>
      </w:r>
    </w:p>
    <w:p w:rsidR="00B17C7F" w:rsidRDefault="0044492D">
      <w:pPr>
        <w:pStyle w:val="Compact"/>
        <w:numPr>
          <w:ilvl w:val="0"/>
          <w:numId w:val="9"/>
        </w:numPr>
        <w:rPr>
          <w:lang w:eastAsia="zh-CN"/>
        </w:rPr>
      </w:pPr>
      <w:r>
        <w:rPr>
          <w:lang w:eastAsia="zh-CN"/>
        </w:rPr>
        <w:t>控股股东有变亦不必然会使上市申请人变为不合资格上市。若股权稀释导致拥有权维持不变的要求变更，那么上市申请人可透过证明公司管理上所受影响并无重大改变而反驳这一推测。</w:t>
      </w:r>
    </w:p>
    <w:p w:rsidR="00B17C7F" w:rsidRDefault="0044492D">
      <w:pPr>
        <w:pStyle w:val="FirstParagraph"/>
        <w:rPr>
          <w:lang w:eastAsia="zh-CN"/>
        </w:rPr>
      </w:pPr>
      <w:r>
        <w:rPr>
          <w:lang w:eastAsia="zh-CN"/>
        </w:rPr>
        <w:t>最低第三方投资</w:t>
      </w:r>
    </w:p>
    <w:p w:rsidR="00B17C7F" w:rsidRDefault="0044492D">
      <w:pPr>
        <w:pStyle w:val="BodyText"/>
        <w:rPr>
          <w:lang w:eastAsia="zh-CN"/>
        </w:rPr>
      </w:pPr>
      <w:r>
        <w:rPr>
          <w:b/>
          <w:lang w:eastAsia="zh-CN"/>
        </w:rPr>
        <w:t>获得来自领航资深独立投资者的投资</w:t>
      </w:r>
    </w:p>
    <w:p w:rsidR="00B17C7F" w:rsidRDefault="0044492D">
      <w:pPr>
        <w:pStyle w:val="BodyText"/>
        <w:rPr>
          <w:lang w:eastAsia="zh-CN"/>
        </w:rPr>
      </w:pPr>
      <w:r>
        <w:rPr>
          <w:lang w:eastAsia="zh-CN"/>
        </w:rPr>
        <w:t>特专科技公司须获得来自资深独立投资者（</w:t>
      </w:r>
      <w:r>
        <w:rPr>
          <w:b/>
          <w:lang w:eastAsia="zh-CN"/>
        </w:rPr>
        <w:t>资深独立投资者</w:t>
      </w:r>
      <w:r>
        <w:rPr>
          <w:lang w:eastAsia="zh-CN"/>
        </w:rPr>
        <w:t>）的相当数额投资。为了应对有关达到获得来自领航资深独立投资者的相当数额投资的拟议指示性基准（即两名资深独立投资者持有相等于上市申请人已发行股本</w:t>
      </w:r>
      <w:r>
        <w:rPr>
          <w:lang w:eastAsia="zh-CN"/>
        </w:rPr>
        <w:t>5%</w:t>
      </w:r>
      <w:r>
        <w:rPr>
          <w:lang w:eastAsia="zh-CN"/>
        </w:rPr>
        <w:t>或以上的股份或可换</w:t>
      </w:r>
      <w:r>
        <w:rPr>
          <w:lang w:eastAsia="zh-CN"/>
        </w:rPr>
        <w:t>股证券），香港交易所对该基准进行了修订。</w:t>
      </w:r>
    </w:p>
    <w:p w:rsidR="00B17C7F" w:rsidRDefault="0044492D">
      <w:pPr>
        <w:pStyle w:val="BodyText"/>
        <w:rPr>
          <w:lang w:eastAsia="zh-CN"/>
        </w:rPr>
      </w:pPr>
      <w:r>
        <w:rPr>
          <w:lang w:eastAsia="zh-CN"/>
        </w:rPr>
        <w:t>根据该经修订的基准，若特专科技公司已于上市申请日期的至少</w:t>
      </w:r>
      <w:r>
        <w:rPr>
          <w:lang w:eastAsia="zh-CN"/>
        </w:rPr>
        <w:t>12</w:t>
      </w:r>
      <w:r>
        <w:rPr>
          <w:lang w:eastAsia="zh-CN"/>
        </w:rPr>
        <w:t>个月前获得来自两至五名资深独立投资者的相当数额投资（</w:t>
      </w:r>
      <w:r>
        <w:rPr>
          <w:b/>
          <w:lang w:eastAsia="zh-CN"/>
        </w:rPr>
        <w:t>领航资深独立投资者</w:t>
      </w:r>
      <w:r>
        <w:rPr>
          <w:lang w:eastAsia="zh-CN"/>
        </w:rPr>
        <w:t>）且符合以下条件，那么即符合香港交易所《上市规则》第</w:t>
      </w:r>
      <w:r>
        <w:rPr>
          <w:lang w:eastAsia="zh-CN"/>
        </w:rPr>
        <w:t>18C.05</w:t>
      </w:r>
      <w:r>
        <w:rPr>
          <w:lang w:eastAsia="zh-CN"/>
        </w:rPr>
        <w:t>条下规定的特专科技公司须获得来自资深独立投资者的相当数额投资的要求：</w:t>
      </w:r>
      <w:hyperlink w:anchor="footnote-598-10">
        <w:r>
          <w:rPr>
            <w:vertAlign w:val="superscript"/>
            <w:lang w:eastAsia="zh-CN"/>
          </w:rPr>
          <w:t>10</w:t>
        </w:r>
      </w:hyperlink>
    </w:p>
    <w:p w:rsidR="00B17C7F" w:rsidRDefault="0044492D">
      <w:pPr>
        <w:pStyle w:val="Compact"/>
        <w:numPr>
          <w:ilvl w:val="0"/>
          <w:numId w:val="10"/>
        </w:numPr>
        <w:rPr>
          <w:lang w:eastAsia="zh-CN"/>
        </w:rPr>
      </w:pPr>
      <w:r>
        <w:rPr>
          <w:lang w:eastAsia="zh-CN"/>
        </w:rPr>
        <w:t>在上市申请当日及上市申请前</w:t>
      </w:r>
      <w:r>
        <w:rPr>
          <w:lang w:eastAsia="zh-CN"/>
        </w:rPr>
        <w:t>12</w:t>
      </w:r>
      <w:r>
        <w:rPr>
          <w:lang w:eastAsia="zh-CN"/>
        </w:rPr>
        <w:t>个月期间，一直合计持有相等于上市申请人已发行股本</w:t>
      </w:r>
      <w:r>
        <w:rPr>
          <w:lang w:eastAsia="zh-CN"/>
        </w:rPr>
        <w:t>10%</w:t>
      </w:r>
      <w:r>
        <w:rPr>
          <w:lang w:eastAsia="zh-CN"/>
        </w:rPr>
        <w:t>或以上的股份或可换股证券；或</w:t>
      </w:r>
    </w:p>
    <w:p w:rsidR="00B17C7F" w:rsidRDefault="0044492D">
      <w:pPr>
        <w:pStyle w:val="Compact"/>
        <w:numPr>
          <w:ilvl w:val="0"/>
          <w:numId w:val="10"/>
        </w:numPr>
        <w:rPr>
          <w:lang w:eastAsia="zh-CN"/>
        </w:rPr>
      </w:pPr>
      <w:r>
        <w:rPr>
          <w:lang w:eastAsia="zh-CN"/>
        </w:rPr>
        <w:t>在上市申请日</w:t>
      </w:r>
      <w:r>
        <w:rPr>
          <w:lang w:eastAsia="zh-CN"/>
        </w:rPr>
        <w:t>期的至少</w:t>
      </w:r>
      <w:r>
        <w:rPr>
          <w:lang w:eastAsia="zh-CN"/>
        </w:rPr>
        <w:t>12</w:t>
      </w:r>
      <w:r>
        <w:rPr>
          <w:lang w:eastAsia="zh-CN"/>
        </w:rPr>
        <w:t>个月前已对申请人股份或可换股证券投资合计至少</w:t>
      </w:r>
      <w:r>
        <w:rPr>
          <w:lang w:eastAsia="zh-CN"/>
        </w:rPr>
        <w:t>15</w:t>
      </w:r>
      <w:r>
        <w:rPr>
          <w:lang w:eastAsia="zh-CN"/>
        </w:rPr>
        <w:t>亿港元（不包括上市申请日期或之前作出的任何后续撤资）。</w:t>
      </w:r>
    </w:p>
    <w:p w:rsidR="00B17C7F" w:rsidRDefault="0044492D">
      <w:pPr>
        <w:pStyle w:val="FirstParagraph"/>
        <w:rPr>
          <w:lang w:eastAsia="zh-CN"/>
        </w:rPr>
      </w:pPr>
      <w:r>
        <w:rPr>
          <w:lang w:eastAsia="zh-CN"/>
        </w:rPr>
        <w:t>另外，至少两名领航资深独立投资者须符合以下条件之一：</w:t>
      </w:r>
    </w:p>
    <w:p w:rsidR="00B17C7F" w:rsidRDefault="0044492D">
      <w:pPr>
        <w:pStyle w:val="Compact"/>
        <w:numPr>
          <w:ilvl w:val="0"/>
          <w:numId w:val="11"/>
        </w:numPr>
        <w:rPr>
          <w:lang w:eastAsia="zh-CN"/>
        </w:rPr>
      </w:pPr>
      <w:r>
        <w:rPr>
          <w:lang w:eastAsia="zh-CN"/>
        </w:rPr>
        <w:t>在上市申请当日及上市申请前</w:t>
      </w:r>
      <w:r>
        <w:rPr>
          <w:lang w:eastAsia="zh-CN"/>
        </w:rPr>
        <w:t>12</w:t>
      </w:r>
      <w:r>
        <w:rPr>
          <w:lang w:eastAsia="zh-CN"/>
        </w:rPr>
        <w:t>个月期间，一直各自持有相等于申请人已发行股本</w:t>
      </w:r>
      <w:r>
        <w:rPr>
          <w:lang w:eastAsia="zh-CN"/>
        </w:rPr>
        <w:t>3%</w:t>
      </w:r>
      <w:r>
        <w:rPr>
          <w:lang w:eastAsia="zh-CN"/>
        </w:rPr>
        <w:t>或以上的股份或可换股证券；或</w:t>
      </w:r>
    </w:p>
    <w:p w:rsidR="00B17C7F" w:rsidRDefault="0044492D">
      <w:pPr>
        <w:pStyle w:val="Compact"/>
        <w:numPr>
          <w:ilvl w:val="0"/>
          <w:numId w:val="11"/>
        </w:numPr>
        <w:rPr>
          <w:lang w:eastAsia="zh-CN"/>
        </w:rPr>
      </w:pPr>
      <w:r>
        <w:rPr>
          <w:lang w:eastAsia="zh-CN"/>
        </w:rPr>
        <w:t>在上市申请日期的至少</w:t>
      </w:r>
      <w:r>
        <w:rPr>
          <w:lang w:eastAsia="zh-CN"/>
        </w:rPr>
        <w:t>12</w:t>
      </w:r>
      <w:r>
        <w:rPr>
          <w:lang w:eastAsia="zh-CN"/>
        </w:rPr>
        <w:t>个月前各自已对申请人股份或可换股证券投资至少</w:t>
      </w:r>
      <w:r>
        <w:rPr>
          <w:lang w:eastAsia="zh-CN"/>
        </w:rPr>
        <w:t>4.5</w:t>
      </w:r>
      <w:r>
        <w:rPr>
          <w:lang w:eastAsia="zh-CN"/>
        </w:rPr>
        <w:t>亿港元（不包括上市申请日期或之前作出的任何后续撤资）。</w:t>
      </w:r>
    </w:p>
    <w:p w:rsidR="00B17C7F" w:rsidRDefault="0044492D">
      <w:pPr>
        <w:pStyle w:val="FirstParagraph"/>
        <w:rPr>
          <w:lang w:eastAsia="zh-CN"/>
        </w:rPr>
      </w:pPr>
      <w:r>
        <w:rPr>
          <w:lang w:eastAsia="zh-CN"/>
        </w:rPr>
        <w:t>需要注意的重点是香港交易所或会依据个案的特定情况接纳领航资深独立投资者的持股量波动。有关特专科技公司指引</w:t>
      </w:r>
      <w:r>
        <w:rPr>
          <w:lang w:eastAsia="zh-CN"/>
        </w:rPr>
        <w:t>信已作出修订，将以下并非包括所有情况的例子纳入有关波动会获接纳的情况：</w:t>
      </w:r>
      <w:hyperlink w:anchor="footnote-598-11">
        <w:r>
          <w:rPr>
            <w:vertAlign w:val="superscript"/>
            <w:lang w:eastAsia="zh-CN"/>
          </w:rPr>
          <w:t>11</w:t>
        </w:r>
      </w:hyperlink>
    </w:p>
    <w:p w:rsidR="00B17C7F" w:rsidRDefault="0044492D">
      <w:pPr>
        <w:pStyle w:val="Compact"/>
        <w:numPr>
          <w:ilvl w:val="0"/>
          <w:numId w:val="12"/>
        </w:numPr>
        <w:rPr>
          <w:lang w:eastAsia="zh-CN"/>
        </w:rPr>
      </w:pPr>
      <w:r>
        <w:rPr>
          <w:lang w:eastAsia="zh-CN"/>
        </w:rPr>
        <w:t>于上市申请前</w:t>
      </w:r>
      <w:r>
        <w:rPr>
          <w:lang w:eastAsia="zh-CN"/>
        </w:rPr>
        <w:t>12</w:t>
      </w:r>
      <w:r>
        <w:rPr>
          <w:lang w:eastAsia="zh-CN"/>
        </w:rPr>
        <w:t>个月期间内短暂性股权被摊薄在以下条件下获接纳：如领航资深独立投资者的股权于申请上市时及在上市申请前</w:t>
      </w:r>
      <w:r>
        <w:rPr>
          <w:lang w:eastAsia="zh-CN"/>
        </w:rPr>
        <w:t>12</w:t>
      </w:r>
      <w:r>
        <w:rPr>
          <w:lang w:eastAsia="zh-CN"/>
        </w:rPr>
        <w:t>个月期间的平均值（即该</w:t>
      </w:r>
      <w:r>
        <w:rPr>
          <w:lang w:eastAsia="zh-CN"/>
        </w:rPr>
        <w:t>12</w:t>
      </w:r>
      <w:r>
        <w:rPr>
          <w:lang w:eastAsia="zh-CN"/>
        </w:rPr>
        <w:t>个月的每月月底股权的平均值）达到相关门坎；及</w:t>
      </w:r>
    </w:p>
    <w:p w:rsidR="00B17C7F" w:rsidRDefault="0044492D">
      <w:pPr>
        <w:pStyle w:val="Compact"/>
        <w:numPr>
          <w:ilvl w:val="0"/>
          <w:numId w:val="12"/>
        </w:numPr>
        <w:rPr>
          <w:lang w:eastAsia="zh-CN"/>
        </w:rPr>
      </w:pPr>
      <w:r>
        <w:rPr>
          <w:lang w:eastAsia="zh-CN"/>
        </w:rPr>
        <w:t>等待补足投资期间短暂性股权被摊薄在以下条件下获接纳：</w:t>
      </w:r>
      <w:r>
        <w:rPr>
          <w:lang w:eastAsia="zh-CN"/>
        </w:rPr>
        <w:t>(i)</w:t>
      </w:r>
      <w:r>
        <w:rPr>
          <w:lang w:eastAsia="zh-CN"/>
        </w:rPr>
        <w:t>于上市申请前</w:t>
      </w:r>
      <w:r>
        <w:rPr>
          <w:lang w:eastAsia="zh-CN"/>
        </w:rPr>
        <w:t>12</w:t>
      </w:r>
      <w:r>
        <w:rPr>
          <w:lang w:eastAsia="zh-CN"/>
        </w:rPr>
        <w:t>个月期间，其他投资者作出投资导致领航资深独立投资者股权被摊薄；</w:t>
      </w:r>
      <w:r>
        <w:rPr>
          <w:lang w:eastAsia="zh-CN"/>
        </w:rPr>
        <w:t>(ii)</w:t>
      </w:r>
      <w:r>
        <w:rPr>
          <w:lang w:eastAsia="zh-CN"/>
        </w:rPr>
        <w:t>该相关领航资深独立投资者（</w:t>
      </w:r>
      <w:r>
        <w:rPr>
          <w:lang w:eastAsia="zh-CN"/>
        </w:rPr>
        <w:t>或就达到合计集体门坎而言，该等领航资深独立投资者中的至少一名投资者）已就于上市申请前补足其投资作出不可撤回的承诺，承诺款额使得若补足投资完成后，该领航资深独立投资者于上市申请当日可达到相关指示性基准；及</w:t>
      </w:r>
      <w:r>
        <w:rPr>
          <w:lang w:eastAsia="zh-CN"/>
        </w:rPr>
        <w:t>(iii)</w:t>
      </w:r>
      <w:r>
        <w:rPr>
          <w:lang w:eastAsia="zh-CN"/>
        </w:rPr>
        <w:t>补足投资将于上市当日之前完成。</w:t>
      </w:r>
    </w:p>
    <w:p w:rsidR="00B17C7F" w:rsidRDefault="0044492D">
      <w:pPr>
        <w:pStyle w:val="FirstParagraph"/>
        <w:rPr>
          <w:lang w:eastAsia="zh-CN"/>
        </w:rPr>
      </w:pPr>
      <w:r>
        <w:rPr>
          <w:lang w:eastAsia="zh-CN"/>
        </w:rPr>
        <w:t>香港交易所已在有关特专科技公司的指引信中澄清：</w:t>
      </w:r>
    </w:p>
    <w:p w:rsidR="00B17C7F" w:rsidRDefault="0044492D">
      <w:pPr>
        <w:pStyle w:val="Compact"/>
        <w:numPr>
          <w:ilvl w:val="0"/>
          <w:numId w:val="13"/>
        </w:numPr>
        <w:rPr>
          <w:lang w:eastAsia="zh-CN"/>
        </w:rPr>
      </w:pPr>
      <w:r>
        <w:rPr>
          <w:lang w:eastAsia="zh-CN"/>
        </w:rPr>
        <w:lastRenderedPageBreak/>
        <w:t>香港交易所会视情况个别考虑由同一基金经理管理的不同基金或由同一投资者全资拥有的不同实体向上市申请人投资的金额可否合计当作是同一名领航资深独立投资者的投资；及</w:t>
      </w:r>
    </w:p>
    <w:p w:rsidR="00B17C7F" w:rsidRDefault="0044492D">
      <w:pPr>
        <w:pStyle w:val="Compact"/>
        <w:numPr>
          <w:ilvl w:val="0"/>
          <w:numId w:val="13"/>
        </w:numPr>
        <w:rPr>
          <w:lang w:eastAsia="zh-CN"/>
        </w:rPr>
      </w:pPr>
      <w:r>
        <w:rPr>
          <w:lang w:eastAsia="zh-CN"/>
        </w:rPr>
        <w:t>若资深独立投资者持有上市申请人公司的可换股证券（例如可换股或可交换债券、票据或贷款及可转换优先股），则在厘定申请人是否符合相当数额投资的规定时，只会计算将会于上市当日或之前换股的证券投资金额。这一信息亦须于上市申请人的上市文件中披露。</w:t>
      </w:r>
    </w:p>
    <w:p w:rsidR="00B17C7F" w:rsidRDefault="0044492D">
      <w:pPr>
        <w:pStyle w:val="FirstParagraph"/>
        <w:rPr>
          <w:lang w:eastAsia="zh-CN"/>
        </w:rPr>
      </w:pPr>
      <w:r>
        <w:rPr>
          <w:b/>
          <w:lang w:eastAsia="zh-CN"/>
        </w:rPr>
        <w:t>获得来自所有资深独立投资者的投资</w:t>
      </w:r>
    </w:p>
    <w:p w:rsidR="00B17C7F" w:rsidRDefault="0044492D">
      <w:pPr>
        <w:pStyle w:val="BodyText"/>
        <w:rPr>
          <w:lang w:eastAsia="zh-CN"/>
        </w:rPr>
      </w:pPr>
      <w:r>
        <w:rPr>
          <w:lang w:eastAsia="zh-CN"/>
        </w:rPr>
        <w:t>特专科技公司亦须从所有资深独立投资者处获得达致订明的申请人上市时（于行使超额配股权前）已发行股本最低百分比的合计投资金额。依据申请人上市时的预期市值，该最低百分比波动范围为</w:t>
      </w:r>
      <w:r>
        <w:rPr>
          <w:lang w:eastAsia="zh-CN"/>
        </w:rPr>
        <w:t>10%</w:t>
      </w:r>
      <w:r>
        <w:rPr>
          <w:lang w:eastAsia="zh-CN"/>
        </w:rPr>
        <w:t>至</w:t>
      </w:r>
      <w:r>
        <w:rPr>
          <w:lang w:eastAsia="zh-CN"/>
        </w:rPr>
        <w:t>20%</w:t>
      </w:r>
      <w:r>
        <w:rPr>
          <w:lang w:eastAsia="zh-CN"/>
        </w:rPr>
        <w:t>（就已商业化公司而言）及</w:t>
      </w:r>
      <w:r>
        <w:rPr>
          <w:lang w:eastAsia="zh-CN"/>
        </w:rPr>
        <w:t>15%</w:t>
      </w:r>
      <w:r>
        <w:rPr>
          <w:lang w:eastAsia="zh-CN"/>
        </w:rPr>
        <w:t>至</w:t>
      </w:r>
      <w:r>
        <w:rPr>
          <w:lang w:eastAsia="zh-CN"/>
        </w:rPr>
        <w:t>25%</w:t>
      </w:r>
      <w:r>
        <w:rPr>
          <w:lang w:eastAsia="zh-CN"/>
        </w:rPr>
        <w:t>（就未商业化公司而</w:t>
      </w:r>
      <w:r>
        <w:rPr>
          <w:lang w:eastAsia="zh-CN"/>
        </w:rPr>
        <w:t>言）。不过，香港交易所已将预期市值作以下调整：</w:t>
      </w:r>
    </w:p>
    <w:tbl>
      <w:tblPr>
        <w:tblW w:w="944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9"/>
        <w:gridCol w:w="2552"/>
        <w:gridCol w:w="2921"/>
      </w:tblGrid>
      <w:tr w:rsidR="00A7595F" w:rsidRPr="003E4004" w:rsidTr="00946915">
        <w:tc>
          <w:tcPr>
            <w:tcW w:w="3969" w:type="dxa"/>
            <w:vMerge w:val="restart"/>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center"/>
              <w:rPr>
                <w:rFonts w:ascii="PMingLiU" w:eastAsia="PMingLiU" w:hAnsi="PMingLiU" w:cs="SimSun"/>
                <w:b/>
                <w:bCs/>
                <w:lang w:eastAsia="zh-CN"/>
              </w:rPr>
            </w:pPr>
            <w:r w:rsidRPr="003E4004">
              <w:rPr>
                <w:rFonts w:ascii="PMingLiU" w:eastAsia="PMingLiU" w:hAnsi="PMingLiU" w:hint="eastAsia"/>
                <w:b/>
                <w:bCs/>
                <w:lang w:eastAsia="zh-CN"/>
              </w:rPr>
              <w:t>申请人上市时的预期市值</w:t>
            </w:r>
          </w:p>
        </w:tc>
        <w:tc>
          <w:tcPr>
            <w:tcW w:w="5473" w:type="dxa"/>
            <w:gridSpan w:val="2"/>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center"/>
              <w:rPr>
                <w:rFonts w:ascii="PMingLiU" w:eastAsia="PMingLiU" w:hAnsi="PMingLiU" w:cs="SimSun"/>
                <w:b/>
                <w:bCs/>
                <w:lang w:eastAsia="zh-CN"/>
              </w:rPr>
            </w:pPr>
            <w:r w:rsidRPr="003E4004">
              <w:rPr>
                <w:rFonts w:ascii="PMingLiU" w:eastAsia="PMingLiU" w:hAnsi="PMingLiU" w:hint="eastAsia"/>
                <w:b/>
                <w:bCs/>
                <w:lang w:eastAsia="zh-CN"/>
              </w:rPr>
              <w:t>所有资深独立投资者的最低投资总额</w:t>
            </w:r>
          </w:p>
        </w:tc>
      </w:tr>
      <w:tr w:rsidR="00A7595F" w:rsidRPr="003E4004" w:rsidTr="00946915">
        <w:trPr>
          <w:trHeight w:val="215"/>
        </w:trPr>
        <w:tc>
          <w:tcPr>
            <w:tcW w:w="3969" w:type="dxa"/>
            <w:vMerge/>
            <w:shd w:val="clear" w:color="auto" w:fill="auto"/>
            <w:tcMar>
              <w:top w:w="206" w:type="dxa"/>
              <w:left w:w="141" w:type="dxa"/>
              <w:bottom w:w="206" w:type="dxa"/>
              <w:right w:w="141" w:type="dxa"/>
            </w:tcMar>
            <w:vAlign w:val="center"/>
            <w:hideMark/>
          </w:tcPr>
          <w:p w:rsidR="00A7595F" w:rsidRPr="003E4004" w:rsidRDefault="00A7595F" w:rsidP="00946915">
            <w:pPr>
              <w:adjustRightInd w:val="0"/>
              <w:snapToGrid w:val="0"/>
              <w:spacing w:after="0"/>
              <w:ind w:rightChars="100" w:right="240"/>
              <w:rPr>
                <w:rFonts w:ascii="PMingLiU" w:eastAsia="PMingLiU" w:hAnsi="PMingLiU" w:cs="SimSun"/>
                <w:b/>
                <w:bCs/>
                <w:lang w:eastAsia="zh-CN"/>
              </w:rPr>
            </w:pPr>
          </w:p>
        </w:tc>
        <w:tc>
          <w:tcPr>
            <w:tcW w:w="2552" w:type="dxa"/>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center"/>
              <w:rPr>
                <w:rFonts w:ascii="PMingLiU" w:eastAsia="PMingLiU" w:hAnsi="PMingLiU" w:cs="SimSun"/>
                <w:b/>
                <w:bCs/>
              </w:rPr>
            </w:pPr>
            <w:r w:rsidRPr="003E4004">
              <w:rPr>
                <w:rFonts w:ascii="PMingLiU" w:eastAsia="PMingLiU" w:hAnsi="PMingLiU" w:hint="eastAsia"/>
                <w:b/>
                <w:bCs/>
                <w:lang w:eastAsia="zh-CN"/>
              </w:rPr>
              <w:t>已商业化公司</w:t>
            </w:r>
          </w:p>
        </w:tc>
        <w:tc>
          <w:tcPr>
            <w:tcW w:w="2921" w:type="dxa"/>
            <w:shd w:val="clear" w:color="auto" w:fill="auto"/>
            <w:tcMar>
              <w:top w:w="206" w:type="dxa"/>
              <w:left w:w="141" w:type="dxa"/>
              <w:bottom w:w="206" w:type="dxa"/>
              <w:right w:w="141" w:type="dxa"/>
            </w:tcMar>
            <w:hideMark/>
          </w:tcPr>
          <w:p w:rsidR="00A7595F" w:rsidRPr="003E4004" w:rsidRDefault="00A7595F" w:rsidP="00946915">
            <w:pPr>
              <w:adjustRightInd w:val="0"/>
              <w:snapToGrid w:val="0"/>
              <w:spacing w:after="0"/>
              <w:ind w:rightChars="100" w:right="240"/>
              <w:jc w:val="center"/>
              <w:rPr>
                <w:rFonts w:ascii="PMingLiU" w:eastAsia="PMingLiU" w:hAnsi="PMingLiU" w:cs="SimSun"/>
                <w:b/>
                <w:bCs/>
              </w:rPr>
            </w:pPr>
            <w:r w:rsidRPr="003E4004">
              <w:rPr>
                <w:rFonts w:ascii="PMingLiU" w:eastAsia="PMingLiU" w:hAnsi="PMingLiU" w:hint="eastAsia"/>
                <w:b/>
                <w:bCs/>
                <w:lang w:eastAsia="zh-CN"/>
              </w:rPr>
              <w:t>未商业化公司</w:t>
            </w:r>
          </w:p>
        </w:tc>
      </w:tr>
      <w:tr w:rsidR="00A7595F" w:rsidRPr="003E4004" w:rsidTr="00946915">
        <w:trPr>
          <w:trHeight w:val="509"/>
        </w:trPr>
        <w:tc>
          <w:tcPr>
            <w:tcW w:w="3969" w:type="dxa"/>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center"/>
              <w:rPr>
                <w:rFonts w:ascii="PMingLiU" w:eastAsia="PMingLiU" w:hAnsi="PMingLiU" w:cs="SimSun"/>
                <w:b/>
                <w:bCs/>
                <w:lang w:eastAsia="zh-CN"/>
              </w:rPr>
            </w:pPr>
            <w:r w:rsidRPr="003E4004">
              <w:rPr>
                <w:rFonts w:ascii="PMingLiU" w:eastAsia="PMingLiU" w:hAnsi="PMingLiU"/>
                <w:b/>
                <w:bCs/>
                <w:lang w:eastAsia="zh-CN"/>
              </w:rPr>
              <w:t>60</w:t>
            </w:r>
            <w:r w:rsidRPr="003E4004">
              <w:rPr>
                <w:rFonts w:ascii="PMingLiU" w:eastAsia="PMingLiU" w:hAnsi="PMingLiU" w:hint="eastAsia"/>
                <w:b/>
                <w:bCs/>
                <w:lang w:eastAsia="zh-CN"/>
              </w:rPr>
              <w:t>亿港元（含）</w:t>
            </w:r>
            <w:r w:rsidRPr="003E4004">
              <w:rPr>
                <w:rFonts w:ascii="PMingLiU" w:eastAsia="PMingLiU" w:hAnsi="PMingLiU"/>
                <w:b/>
                <w:bCs/>
                <w:lang w:eastAsia="zh-CN"/>
              </w:rPr>
              <w:t>~  150</w:t>
            </w:r>
            <w:r w:rsidRPr="003E4004">
              <w:rPr>
                <w:rFonts w:ascii="PMingLiU" w:eastAsia="PMingLiU" w:hAnsi="PMingLiU" w:hint="eastAsia"/>
                <w:b/>
                <w:bCs/>
                <w:lang w:eastAsia="zh-CN"/>
              </w:rPr>
              <w:t>亿港元 已商业化公司</w:t>
            </w:r>
          </w:p>
        </w:tc>
        <w:tc>
          <w:tcPr>
            <w:tcW w:w="2552" w:type="dxa"/>
            <w:shd w:val="clear" w:color="auto" w:fill="auto"/>
            <w:tcMar>
              <w:top w:w="206" w:type="dxa"/>
              <w:left w:w="141" w:type="dxa"/>
              <w:bottom w:w="206" w:type="dxa"/>
              <w:right w:w="141" w:type="dxa"/>
            </w:tcMar>
            <w:hideMark/>
          </w:tcPr>
          <w:p w:rsidR="00A7595F" w:rsidRPr="003E4004" w:rsidRDefault="00A7595F" w:rsidP="00946915">
            <w:pPr>
              <w:adjustRightInd w:val="0"/>
              <w:snapToGrid w:val="0"/>
              <w:spacing w:after="0"/>
              <w:ind w:rightChars="100" w:right="240"/>
              <w:jc w:val="both"/>
              <w:rPr>
                <w:rFonts w:ascii="PMingLiU" w:eastAsia="PMingLiU" w:hAnsi="PMingLiU" w:cs="SimSun"/>
              </w:rPr>
            </w:pPr>
            <w:r w:rsidRPr="003E4004">
              <w:rPr>
                <w:rFonts w:ascii="PMingLiU" w:eastAsia="PMingLiU" w:hAnsi="PMingLiU"/>
                <w:lang w:eastAsia="zh-CN"/>
              </w:rPr>
              <w:t>20%</w:t>
            </w:r>
          </w:p>
        </w:tc>
        <w:tc>
          <w:tcPr>
            <w:tcW w:w="2921" w:type="dxa"/>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both"/>
              <w:rPr>
                <w:rFonts w:ascii="PMingLiU" w:eastAsia="PMingLiU" w:hAnsi="PMingLiU" w:cs="SimSun"/>
              </w:rPr>
            </w:pPr>
          </w:p>
        </w:tc>
      </w:tr>
      <w:tr w:rsidR="00A7595F" w:rsidRPr="003E4004" w:rsidTr="00946915">
        <w:tc>
          <w:tcPr>
            <w:tcW w:w="3969" w:type="dxa"/>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center"/>
              <w:rPr>
                <w:rFonts w:ascii="PMingLiU" w:eastAsia="PMingLiU" w:hAnsi="PMingLiU" w:cs="SimSun"/>
                <w:b/>
                <w:bCs/>
                <w:lang w:eastAsia="zh-CN"/>
              </w:rPr>
            </w:pPr>
            <w:r w:rsidRPr="003E4004">
              <w:rPr>
                <w:rFonts w:ascii="PMingLiU" w:eastAsia="PMingLiU" w:hAnsi="PMingLiU"/>
                <w:b/>
                <w:bCs/>
                <w:lang w:eastAsia="zh-CN"/>
              </w:rPr>
              <w:t>100</w:t>
            </w:r>
            <w:r w:rsidRPr="003E4004">
              <w:rPr>
                <w:rFonts w:ascii="PMingLiU" w:eastAsia="PMingLiU" w:hAnsi="PMingLiU" w:hint="eastAsia"/>
                <w:b/>
                <w:bCs/>
                <w:lang w:eastAsia="zh-CN"/>
              </w:rPr>
              <w:t>亿港元（含）</w:t>
            </w:r>
            <w:r w:rsidRPr="003E4004">
              <w:rPr>
                <w:rFonts w:ascii="PMingLiU" w:eastAsia="PMingLiU" w:hAnsi="PMingLiU"/>
                <w:b/>
                <w:bCs/>
                <w:lang w:eastAsia="zh-CN"/>
              </w:rPr>
              <w:t>~ 150</w:t>
            </w:r>
            <w:r w:rsidRPr="003E4004">
              <w:rPr>
                <w:rFonts w:ascii="PMingLiU" w:eastAsia="PMingLiU" w:hAnsi="PMingLiU" w:hint="eastAsia"/>
                <w:b/>
                <w:bCs/>
                <w:lang w:eastAsia="zh-CN"/>
              </w:rPr>
              <w:t>亿港元未商业化公司</w:t>
            </w:r>
          </w:p>
        </w:tc>
        <w:tc>
          <w:tcPr>
            <w:tcW w:w="2552" w:type="dxa"/>
            <w:shd w:val="clear" w:color="auto" w:fill="auto"/>
            <w:tcMar>
              <w:top w:w="206" w:type="dxa"/>
              <w:left w:w="141" w:type="dxa"/>
              <w:bottom w:w="206" w:type="dxa"/>
              <w:right w:w="141" w:type="dxa"/>
            </w:tcMar>
            <w:hideMark/>
          </w:tcPr>
          <w:p w:rsidR="00A7595F" w:rsidRPr="003E4004" w:rsidRDefault="00A7595F" w:rsidP="00946915">
            <w:pPr>
              <w:adjustRightInd w:val="0"/>
              <w:snapToGrid w:val="0"/>
              <w:spacing w:after="0"/>
              <w:ind w:rightChars="100" w:right="240"/>
              <w:jc w:val="both"/>
              <w:rPr>
                <w:rFonts w:ascii="PMingLiU" w:eastAsia="PMingLiU" w:hAnsi="PMingLiU" w:cs="SimSun"/>
                <w:lang w:eastAsia="zh-CN"/>
              </w:rPr>
            </w:pPr>
          </w:p>
        </w:tc>
        <w:tc>
          <w:tcPr>
            <w:tcW w:w="2921" w:type="dxa"/>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both"/>
              <w:rPr>
                <w:rFonts w:ascii="PMingLiU" w:eastAsia="PMingLiU" w:hAnsi="PMingLiU" w:cs="SimSun"/>
              </w:rPr>
            </w:pPr>
            <w:r w:rsidRPr="003E4004">
              <w:rPr>
                <w:rFonts w:ascii="PMingLiU" w:eastAsia="PMingLiU" w:hAnsi="PMingLiU"/>
                <w:lang w:eastAsia="zh-CN"/>
              </w:rPr>
              <w:t>25%</w:t>
            </w:r>
          </w:p>
        </w:tc>
      </w:tr>
      <w:tr w:rsidR="00A7595F" w:rsidRPr="003E4004" w:rsidTr="00946915">
        <w:tc>
          <w:tcPr>
            <w:tcW w:w="3969" w:type="dxa"/>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center"/>
              <w:rPr>
                <w:rFonts w:ascii="PMingLiU" w:eastAsia="PMingLiU" w:hAnsi="PMingLiU" w:cs="SimSun"/>
                <w:b/>
                <w:bCs/>
                <w:lang w:eastAsia="zh-CN"/>
              </w:rPr>
            </w:pPr>
            <w:r w:rsidRPr="003E4004">
              <w:rPr>
                <w:rFonts w:ascii="PMingLiU" w:eastAsia="PMingLiU" w:hAnsi="PMingLiU"/>
                <w:b/>
                <w:bCs/>
                <w:lang w:eastAsia="zh-CN"/>
              </w:rPr>
              <w:t>150</w:t>
            </w:r>
            <w:r w:rsidRPr="003E4004">
              <w:rPr>
                <w:rFonts w:ascii="PMingLiU" w:eastAsia="PMingLiU" w:hAnsi="PMingLiU" w:hint="eastAsia"/>
                <w:b/>
                <w:bCs/>
                <w:lang w:eastAsia="zh-CN"/>
              </w:rPr>
              <w:t>亿港元（含）</w:t>
            </w:r>
            <w:r w:rsidRPr="003E4004">
              <w:rPr>
                <w:rFonts w:ascii="PMingLiU" w:eastAsia="PMingLiU" w:hAnsi="PMingLiU"/>
                <w:b/>
                <w:bCs/>
                <w:lang w:eastAsia="zh-CN"/>
              </w:rPr>
              <w:t>~  300</w:t>
            </w:r>
            <w:r w:rsidRPr="003E4004">
              <w:rPr>
                <w:rFonts w:ascii="PMingLiU" w:eastAsia="PMingLiU" w:hAnsi="PMingLiU" w:hint="eastAsia"/>
                <w:b/>
                <w:bCs/>
                <w:lang w:eastAsia="zh-CN"/>
              </w:rPr>
              <w:t>亿港元</w:t>
            </w:r>
          </w:p>
        </w:tc>
        <w:tc>
          <w:tcPr>
            <w:tcW w:w="2552" w:type="dxa"/>
            <w:shd w:val="clear" w:color="auto" w:fill="auto"/>
            <w:tcMar>
              <w:top w:w="206" w:type="dxa"/>
              <w:left w:w="141" w:type="dxa"/>
              <w:bottom w:w="206" w:type="dxa"/>
              <w:right w:w="141" w:type="dxa"/>
            </w:tcMar>
            <w:hideMark/>
          </w:tcPr>
          <w:p w:rsidR="00A7595F" w:rsidRPr="003E4004" w:rsidRDefault="00A7595F" w:rsidP="00946915">
            <w:pPr>
              <w:adjustRightInd w:val="0"/>
              <w:snapToGrid w:val="0"/>
              <w:spacing w:after="0"/>
              <w:ind w:rightChars="100" w:right="240"/>
              <w:jc w:val="both"/>
              <w:rPr>
                <w:rFonts w:ascii="PMingLiU" w:eastAsia="PMingLiU" w:hAnsi="PMingLiU" w:cs="SimSun"/>
              </w:rPr>
            </w:pPr>
            <w:r w:rsidRPr="003E4004">
              <w:rPr>
                <w:rFonts w:ascii="PMingLiU" w:eastAsia="PMingLiU" w:hAnsi="PMingLiU"/>
                <w:lang w:eastAsia="zh-CN"/>
              </w:rPr>
              <w:t>15%</w:t>
            </w:r>
          </w:p>
        </w:tc>
        <w:tc>
          <w:tcPr>
            <w:tcW w:w="2921" w:type="dxa"/>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both"/>
              <w:rPr>
                <w:rFonts w:ascii="PMingLiU" w:eastAsia="PMingLiU" w:hAnsi="PMingLiU" w:cs="SimSun"/>
              </w:rPr>
            </w:pPr>
            <w:r w:rsidRPr="003E4004">
              <w:rPr>
                <w:rFonts w:ascii="PMingLiU" w:eastAsia="PMingLiU" w:hAnsi="PMingLiU"/>
                <w:lang w:eastAsia="zh-CN"/>
              </w:rPr>
              <w:t>20%</w:t>
            </w:r>
          </w:p>
        </w:tc>
      </w:tr>
      <w:tr w:rsidR="00A7595F" w:rsidRPr="003E4004" w:rsidTr="00946915">
        <w:tc>
          <w:tcPr>
            <w:tcW w:w="3969" w:type="dxa"/>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center"/>
              <w:rPr>
                <w:rFonts w:ascii="PMingLiU" w:eastAsia="PMingLiU" w:hAnsi="PMingLiU" w:cs="SimSun"/>
                <w:b/>
                <w:bCs/>
                <w:lang w:eastAsia="zh-CN"/>
              </w:rPr>
            </w:pPr>
            <w:r w:rsidRPr="003E4004">
              <w:rPr>
                <w:rFonts w:ascii="PMingLiU" w:eastAsia="PMingLiU" w:hAnsi="PMingLiU"/>
                <w:b/>
                <w:bCs/>
                <w:lang w:eastAsia="zh-CN"/>
              </w:rPr>
              <w:t>HK$300</w:t>
            </w:r>
            <w:r w:rsidRPr="003E4004">
              <w:rPr>
                <w:rFonts w:ascii="PMingLiU" w:eastAsia="PMingLiU" w:hAnsi="PMingLiU" w:hint="eastAsia"/>
                <w:b/>
                <w:bCs/>
                <w:lang w:eastAsia="zh-CN"/>
              </w:rPr>
              <w:t>亿港元（含）以上</w:t>
            </w:r>
          </w:p>
        </w:tc>
        <w:tc>
          <w:tcPr>
            <w:tcW w:w="2552" w:type="dxa"/>
            <w:shd w:val="clear" w:color="auto" w:fill="auto"/>
            <w:tcMar>
              <w:top w:w="206" w:type="dxa"/>
              <w:left w:w="141" w:type="dxa"/>
              <w:bottom w:w="206" w:type="dxa"/>
              <w:right w:w="141" w:type="dxa"/>
            </w:tcMar>
            <w:hideMark/>
          </w:tcPr>
          <w:p w:rsidR="00A7595F" w:rsidRPr="003E4004" w:rsidRDefault="00A7595F" w:rsidP="00946915">
            <w:pPr>
              <w:adjustRightInd w:val="0"/>
              <w:snapToGrid w:val="0"/>
              <w:spacing w:after="0"/>
              <w:ind w:rightChars="100" w:right="240"/>
              <w:jc w:val="both"/>
              <w:rPr>
                <w:rFonts w:ascii="PMingLiU" w:eastAsia="PMingLiU" w:hAnsi="PMingLiU" w:cs="SimSun"/>
              </w:rPr>
            </w:pPr>
            <w:r w:rsidRPr="003E4004">
              <w:rPr>
                <w:rFonts w:ascii="PMingLiU" w:eastAsia="PMingLiU" w:hAnsi="PMingLiU"/>
                <w:lang w:eastAsia="zh-CN"/>
              </w:rPr>
              <w:t>10%</w:t>
            </w:r>
          </w:p>
        </w:tc>
        <w:tc>
          <w:tcPr>
            <w:tcW w:w="2921" w:type="dxa"/>
            <w:shd w:val="clear" w:color="auto" w:fill="auto"/>
            <w:tcMar>
              <w:top w:w="135" w:type="dxa"/>
              <w:left w:w="360" w:type="dxa"/>
              <w:bottom w:w="135" w:type="dxa"/>
              <w:right w:w="360" w:type="dxa"/>
            </w:tcMar>
            <w:hideMark/>
          </w:tcPr>
          <w:p w:rsidR="00A7595F" w:rsidRPr="003E4004" w:rsidRDefault="00A7595F" w:rsidP="00946915">
            <w:pPr>
              <w:adjustRightInd w:val="0"/>
              <w:snapToGrid w:val="0"/>
              <w:spacing w:after="0"/>
              <w:ind w:rightChars="100" w:right="240"/>
              <w:jc w:val="both"/>
              <w:rPr>
                <w:rFonts w:ascii="PMingLiU" w:eastAsia="PMingLiU" w:hAnsi="PMingLiU" w:cs="SimSun"/>
              </w:rPr>
            </w:pPr>
            <w:r w:rsidRPr="003E4004">
              <w:rPr>
                <w:rFonts w:ascii="PMingLiU" w:eastAsia="PMingLiU" w:hAnsi="PMingLiU"/>
                <w:lang w:eastAsia="zh-CN"/>
              </w:rPr>
              <w:t>15%</w:t>
            </w:r>
          </w:p>
        </w:tc>
      </w:tr>
    </w:tbl>
    <w:p w:rsidR="00B17C7F" w:rsidRDefault="0044492D">
      <w:pPr>
        <w:pStyle w:val="BodyText"/>
        <w:rPr>
          <w:lang w:eastAsia="zh-CN"/>
        </w:rPr>
      </w:pPr>
      <w:r>
        <w:rPr>
          <w:lang w:eastAsia="zh-CN"/>
        </w:rPr>
        <w:t>有关特专科技公司的指引信中亦阐述有关合计投资基准可透过首次公开招股时向资深独立投资者发行的发售股份落实，而不论有关投资者是否于特专科技公司上市前持有其证券。</w:t>
      </w:r>
    </w:p>
    <w:p w:rsidR="00B17C7F" w:rsidRDefault="0044492D">
      <w:pPr>
        <w:pStyle w:val="BodyText"/>
        <w:rPr>
          <w:lang w:eastAsia="zh-CN"/>
        </w:rPr>
      </w:pPr>
      <w:r>
        <w:rPr>
          <w:lang w:eastAsia="zh-CN"/>
        </w:rPr>
        <w:t>若资深独</w:t>
      </w:r>
      <w:r>
        <w:rPr>
          <w:lang w:eastAsia="zh-CN"/>
        </w:rPr>
        <w:t>立投资者在上市前作出的投资加上资深独立投资者的基石投资不足以达到合计投资基准，但上市申请人可向以获配售人身份参与股份配售的资深独立投资者（「</w:t>
      </w:r>
      <w:r>
        <w:rPr>
          <w:b/>
          <w:lang w:eastAsia="zh-CN"/>
        </w:rPr>
        <w:t>资深独立投资者获配售人</w:t>
      </w:r>
      <w:r>
        <w:rPr>
          <w:lang w:eastAsia="zh-CN"/>
        </w:rPr>
        <w:t>」）配发足够的发售股份以达到合计投资基准，则香港交易所会允许申请人上市。在此情况下，上市申请人、整体协调人及保荐人应就此作出承诺，并于上市文件中披露有关承诺。在此等情况下，香港交易所将只接受明显属于资深独立投资者示例（如有关特专科技公司的指引信中第</w:t>
      </w:r>
      <w:r>
        <w:rPr>
          <w:lang w:eastAsia="zh-CN"/>
        </w:rPr>
        <w:t>32</w:t>
      </w:r>
      <w:r>
        <w:rPr>
          <w:lang w:eastAsia="zh-CN"/>
        </w:rPr>
        <w:t>段所述）的获配售人。为免延误上市，若申请人计划依赖向作为主要市场参与者的资深独立投资者（如有关特专</w:t>
      </w:r>
      <w:r>
        <w:rPr>
          <w:lang w:eastAsia="zh-CN"/>
        </w:rPr>
        <w:t>科技公司的指引信中第</w:t>
      </w:r>
      <w:r>
        <w:rPr>
          <w:lang w:eastAsia="zh-CN"/>
        </w:rPr>
        <w:t>32(d)</w:t>
      </w:r>
      <w:r>
        <w:rPr>
          <w:lang w:eastAsia="zh-CN"/>
        </w:rPr>
        <w:t>段所述）作出的分配，则上市申请人必须提前提交其拟为上述目的向其作为获配售人分配发售股份的资深独立投资者的相关资料，以便香港交易所有足够时间评估该等获配售人能否被视为资深独立投资者。特专科技公司亦须于其按《上市规则》第</w:t>
      </w:r>
      <w:r>
        <w:rPr>
          <w:lang w:eastAsia="zh-CN"/>
        </w:rPr>
        <w:t>12.08</w:t>
      </w:r>
      <w:r>
        <w:rPr>
          <w:lang w:eastAsia="zh-CN"/>
        </w:rPr>
        <w:t>条刊发的配发结果公告中确认来自所有资深独立投资者的投资已达到合计投资基准，并披露此等资深独立投资者获配售人的身份、其持股数目以及按上市文件（参阅有关特专科技公司的指引信中第</w:t>
      </w:r>
      <w:r>
        <w:rPr>
          <w:lang w:eastAsia="zh-CN"/>
        </w:rPr>
        <w:t>36</w:t>
      </w:r>
      <w:r>
        <w:rPr>
          <w:lang w:eastAsia="zh-CN"/>
        </w:rPr>
        <w:t>段）规定须披露的有关资深独立投资者获配售人的其他相关资料，以证明此等</w:t>
      </w:r>
      <w:r>
        <w:rPr>
          <w:lang w:eastAsia="zh-CN"/>
        </w:rPr>
        <w:lastRenderedPageBreak/>
        <w:t>资深独立投资</w:t>
      </w:r>
      <w:r>
        <w:rPr>
          <w:lang w:eastAsia="zh-CN"/>
        </w:rPr>
        <w:t>者拥有相关投资经验、知识及专业技能，足以被视为资深投资者。特专科技公司须提供截止在上市日期前的六个月内的日期的有关资料。</w:t>
      </w:r>
    </w:p>
    <w:p w:rsidR="00B17C7F" w:rsidRDefault="0044492D">
      <w:pPr>
        <w:pStyle w:val="BodyText"/>
        <w:rPr>
          <w:lang w:eastAsia="zh-CN"/>
        </w:rPr>
      </w:pPr>
      <w:r>
        <w:rPr>
          <w:lang w:eastAsia="zh-CN"/>
        </w:rPr>
        <w:t>资深独立投资者</w:t>
      </w:r>
    </w:p>
    <w:p w:rsidR="00B17C7F" w:rsidRDefault="0044492D">
      <w:pPr>
        <w:pStyle w:val="BodyText"/>
        <w:rPr>
          <w:lang w:eastAsia="zh-CN"/>
        </w:rPr>
      </w:pPr>
      <w:r>
        <w:rPr>
          <w:lang w:eastAsia="zh-CN"/>
        </w:rPr>
        <w:t>上市申请人的核心关连人士不属资深独立投资者。申请人的大股东若仅因其对特专科技公司的持股规模而属于核心关连人士，则其或可合资格成为资深独立投资者，但是上市申请人的控股股东及申请人的创办人及其各自的紧密联系人则不属资深独立投资者。</w:t>
      </w:r>
      <w:hyperlink w:anchor="footnote-598-12">
        <w:r>
          <w:rPr>
            <w:vertAlign w:val="superscript"/>
            <w:lang w:eastAsia="zh-CN"/>
          </w:rPr>
          <w:t>12</w:t>
        </w:r>
      </w:hyperlink>
      <w:r>
        <w:rPr>
          <w:lang w:eastAsia="zh-CN"/>
        </w:rPr>
        <w:t xml:space="preserve"> </w:t>
      </w:r>
      <w:r>
        <w:rPr>
          <w:lang w:eastAsia="zh-CN"/>
        </w:rPr>
        <w:t>香港交易所将按个别具体情况，在评估个别投资者是否合资格成为资深独立投资者时，考虑其相关投资经验以及于相关范畴的知识及专业技能，而投资者可依据其净资产、管理资产总值、投资组合规模或投资纪录等证明上述因素。资深独立投资者是否独立，将按投资者对上市申请人作出相关投资的最终协议签署之日以及直至上市期间作为评定基准。</w:t>
      </w:r>
    </w:p>
    <w:p w:rsidR="00B17C7F" w:rsidRDefault="0044492D">
      <w:pPr>
        <w:pStyle w:val="BodyText"/>
        <w:rPr>
          <w:lang w:eastAsia="zh-CN"/>
        </w:rPr>
      </w:pPr>
      <w:r>
        <w:rPr>
          <w:lang w:eastAsia="zh-CN"/>
        </w:rPr>
        <w:t>有关特专科技公司的指引信中列出如下资深投资者的说明性例子：</w:t>
      </w:r>
    </w:p>
    <w:p w:rsidR="00B17C7F" w:rsidRDefault="0044492D">
      <w:pPr>
        <w:pStyle w:val="Compact"/>
        <w:numPr>
          <w:ilvl w:val="0"/>
          <w:numId w:val="14"/>
        </w:numPr>
        <w:rPr>
          <w:lang w:eastAsia="zh-CN"/>
        </w:rPr>
      </w:pPr>
      <w:r>
        <w:rPr>
          <w:lang w:eastAsia="zh-CN"/>
        </w:rPr>
        <w:t>管理资产总值至少达</w:t>
      </w:r>
      <w:r>
        <w:rPr>
          <w:lang w:eastAsia="zh-CN"/>
        </w:rPr>
        <w:t>150</w:t>
      </w:r>
      <w:r>
        <w:rPr>
          <w:lang w:eastAsia="zh-CN"/>
        </w:rPr>
        <w:t>亿港元的资产管理公司或基金规模至少达</w:t>
      </w:r>
      <w:r>
        <w:rPr>
          <w:lang w:eastAsia="zh-CN"/>
        </w:rPr>
        <w:t>150</w:t>
      </w:r>
      <w:r>
        <w:rPr>
          <w:lang w:eastAsia="zh-CN"/>
        </w:rPr>
        <w:t>亿港元的基金；</w:t>
      </w:r>
    </w:p>
    <w:p w:rsidR="00B17C7F" w:rsidRDefault="0044492D">
      <w:pPr>
        <w:pStyle w:val="Compact"/>
        <w:numPr>
          <w:ilvl w:val="0"/>
          <w:numId w:val="14"/>
        </w:numPr>
        <w:rPr>
          <w:lang w:eastAsia="zh-CN"/>
        </w:rPr>
      </w:pPr>
      <w:r>
        <w:rPr>
          <w:lang w:eastAsia="zh-CN"/>
        </w:rPr>
        <w:t>投资组合多元化、规模至少达</w:t>
      </w:r>
      <w:r>
        <w:rPr>
          <w:lang w:eastAsia="zh-CN"/>
        </w:rPr>
        <w:t>150</w:t>
      </w:r>
      <w:r>
        <w:rPr>
          <w:lang w:eastAsia="zh-CN"/>
        </w:rPr>
        <w:t>亿港元的公司；</w:t>
      </w:r>
      <w:hyperlink w:anchor="footnote-598-13">
        <w:r>
          <w:rPr>
            <w:vertAlign w:val="superscript"/>
            <w:lang w:eastAsia="zh-CN"/>
          </w:rPr>
          <w:t>13</w:t>
        </w:r>
      </w:hyperlink>
    </w:p>
    <w:p w:rsidR="00B17C7F" w:rsidRDefault="0044492D">
      <w:pPr>
        <w:pStyle w:val="Compact"/>
        <w:numPr>
          <w:ilvl w:val="0"/>
          <w:numId w:val="14"/>
        </w:numPr>
        <w:rPr>
          <w:lang w:eastAsia="zh-CN"/>
        </w:rPr>
      </w:pPr>
      <w:r>
        <w:rPr>
          <w:lang w:eastAsia="zh-CN"/>
        </w:rPr>
        <w:t>上述</w:t>
      </w:r>
      <w:r>
        <w:rPr>
          <w:lang w:eastAsia="zh-CN"/>
        </w:rPr>
        <w:t>(a)</w:t>
      </w:r>
      <w:r>
        <w:rPr>
          <w:lang w:eastAsia="zh-CN"/>
        </w:rPr>
        <w:t>或</w:t>
      </w:r>
      <w:r>
        <w:rPr>
          <w:lang w:eastAsia="zh-CN"/>
        </w:rPr>
        <w:t>(b)</w:t>
      </w:r>
      <w:r>
        <w:rPr>
          <w:lang w:eastAsia="zh-CN"/>
        </w:rPr>
        <w:t>类型的投资者，其管理资产总值、基金规模或投资组合规模至少达</w:t>
      </w:r>
      <w:r>
        <w:rPr>
          <w:lang w:eastAsia="zh-CN"/>
        </w:rPr>
        <w:t>50</w:t>
      </w:r>
      <w:r>
        <w:rPr>
          <w:lang w:eastAsia="zh-CN"/>
        </w:rPr>
        <w:t>亿港元，且其价值主要来自特专科技投资；及</w:t>
      </w:r>
    </w:p>
    <w:p w:rsidR="00B17C7F" w:rsidRDefault="0044492D">
      <w:pPr>
        <w:pStyle w:val="Compact"/>
        <w:numPr>
          <w:ilvl w:val="0"/>
          <w:numId w:val="14"/>
        </w:numPr>
        <w:rPr>
          <w:lang w:eastAsia="zh-CN"/>
        </w:rPr>
      </w:pPr>
      <w:r>
        <w:rPr>
          <w:lang w:eastAsia="zh-CN"/>
        </w:rPr>
        <w:t>具有相当市场份额及规模的相关上游或下游行业主要参与者，并须由适当的独立市场或营运数据支持。</w:t>
      </w:r>
    </w:p>
    <w:p w:rsidR="00B17C7F" w:rsidRDefault="0044492D">
      <w:pPr>
        <w:pStyle w:val="FirstParagraph"/>
        <w:rPr>
          <w:lang w:eastAsia="zh-CN"/>
        </w:rPr>
      </w:pPr>
      <w:r>
        <w:rPr>
          <w:lang w:eastAsia="zh-CN"/>
        </w:rPr>
        <w:t>申请人亦须在其上市文件中披露资深独立投资者的管理资产总值、基金或投资组合的规模（及其厘定基准），以及其他有关资料，证明他们具备相关投资经验、知识及专业技能。若有关资料因保密原因而不能披露，香港交易所或会按个别情况考虑接纳其他情况的披露。申请人须提供截至以下日期的有关资料：</w:t>
      </w:r>
      <w:r>
        <w:rPr>
          <w:lang w:eastAsia="zh-CN"/>
        </w:rPr>
        <w:t>(i)</w:t>
      </w:r>
      <w:r>
        <w:rPr>
          <w:lang w:eastAsia="zh-CN"/>
        </w:rPr>
        <w:t>有关投资者对申请人作出投资的最终协议签署之日前的六个月内；及</w:t>
      </w:r>
      <w:r>
        <w:rPr>
          <w:lang w:eastAsia="zh-CN"/>
        </w:rPr>
        <w:t>(ii)</w:t>
      </w:r>
      <w:r>
        <w:rPr>
          <w:lang w:eastAsia="zh-CN"/>
        </w:rPr>
        <w:t>上市申请日期前的六个月内。</w:t>
      </w:r>
    </w:p>
    <w:p w:rsidR="00B17C7F" w:rsidRDefault="0044492D">
      <w:pPr>
        <w:pStyle w:val="BodyText"/>
        <w:rPr>
          <w:lang w:eastAsia="zh-CN"/>
        </w:rPr>
      </w:pPr>
      <w:r>
        <w:rPr>
          <w:lang w:eastAsia="zh-CN"/>
        </w:rPr>
        <w:t>未商业化公司的额外资格规定</w:t>
      </w:r>
    </w:p>
    <w:p w:rsidR="00B17C7F" w:rsidRDefault="0044492D">
      <w:pPr>
        <w:pStyle w:val="BodyText"/>
        <w:rPr>
          <w:lang w:eastAsia="zh-CN"/>
        </w:rPr>
      </w:pPr>
      <w:r>
        <w:rPr>
          <w:lang w:eastAsia="zh-CN"/>
        </w:rPr>
        <w:t>达至商业化收益门坎的路径</w:t>
      </w:r>
    </w:p>
    <w:p w:rsidR="00B17C7F" w:rsidRDefault="0044492D">
      <w:pPr>
        <w:pStyle w:val="BodyText"/>
        <w:rPr>
          <w:lang w:eastAsia="zh-CN"/>
        </w:rPr>
      </w:pPr>
      <w:r>
        <w:rPr>
          <w:lang w:eastAsia="zh-CN"/>
        </w:rPr>
        <w:t>未商业化公司须向香港交易所证明并在其上市文件中披露其达至商业化收益门坎的可信路径，即</w:t>
      </w:r>
      <w:r>
        <w:rPr>
          <w:lang w:eastAsia="zh-CN"/>
        </w:rPr>
        <w:t>达至其特专科技产品商业化的可信路径，以致其能够在相关经审计的会计年度从特专科技业务部门获得的收益至少达</w:t>
      </w:r>
      <w:r>
        <w:rPr>
          <w:lang w:eastAsia="zh-CN"/>
        </w:rPr>
        <w:t>2.5</w:t>
      </w:r>
      <w:r>
        <w:rPr>
          <w:lang w:eastAsia="zh-CN"/>
        </w:rPr>
        <w:t>亿港元。</w:t>
      </w:r>
      <w:hyperlink w:anchor="footnote-598-14">
        <w:r>
          <w:rPr>
            <w:vertAlign w:val="superscript"/>
            <w:lang w:eastAsia="zh-CN"/>
          </w:rPr>
          <w:t>14</w:t>
        </w:r>
      </w:hyperlink>
    </w:p>
    <w:p w:rsidR="00B17C7F" w:rsidRDefault="0044492D">
      <w:pPr>
        <w:pStyle w:val="BodyText"/>
        <w:rPr>
          <w:lang w:eastAsia="zh-CN"/>
        </w:rPr>
      </w:pPr>
      <w:r>
        <w:rPr>
          <w:lang w:eastAsia="zh-CN"/>
        </w:rPr>
        <w:t>未商业化公司在上市文件中披露达至商业化收益门坎的时间表及路径时须保持审慎，确保清晰地披露作出上述声明时所涉及的相关风险、障碍和重大假设，以避免产生具误导性信息。</w:t>
      </w:r>
    </w:p>
    <w:p w:rsidR="00B17C7F" w:rsidRDefault="0044492D">
      <w:pPr>
        <w:pStyle w:val="BodyText"/>
        <w:rPr>
          <w:lang w:eastAsia="zh-CN"/>
        </w:rPr>
      </w:pPr>
      <w:r>
        <w:rPr>
          <w:lang w:eastAsia="zh-CN"/>
        </w:rPr>
        <w:t>根据该新的有关特专科技公司的指引信，如何证明达至商业化收益门坎的可信路径的非详尽无遗例子包括就申请人的特专科技产品订立具约束力的合约或无约束力的框架协议</w:t>
      </w:r>
      <w:r>
        <w:rPr>
          <w:lang w:eastAsia="zh-CN"/>
        </w:rPr>
        <w:t>，当中须就商业化的时间表及里程碑载列详情。此类具约束力的合约或无约束力的框架协议应拥有合理数目的独立客户作为交易对手方，且内容应有关开发、测试或销售特专科技产品，当中的实质潜在总合约价值可于上市日期起计</w:t>
      </w:r>
      <w:r>
        <w:rPr>
          <w:lang w:eastAsia="zh-CN"/>
        </w:rPr>
        <w:t>24</w:t>
      </w:r>
      <w:r>
        <w:rPr>
          <w:lang w:eastAsia="zh-CN"/>
        </w:rPr>
        <w:t>个月内变现。在特殊情况下，香港交易所可能会接纳预期时间表超过</w:t>
      </w:r>
      <w:r>
        <w:rPr>
          <w:lang w:eastAsia="zh-CN"/>
        </w:rPr>
        <w:t>24</w:t>
      </w:r>
      <w:r>
        <w:rPr>
          <w:lang w:eastAsia="zh-CN"/>
        </w:rPr>
        <w:t>个月的具约束力的合约或无约束力的框架协议，而此类情况中的交易对手方为独立且信誉极好的客户。</w:t>
      </w:r>
      <w:hyperlink w:anchor="footnote-598-15">
        <w:r>
          <w:rPr>
            <w:vertAlign w:val="superscript"/>
            <w:lang w:eastAsia="zh-CN"/>
          </w:rPr>
          <w:t>15</w:t>
        </w:r>
      </w:hyperlink>
    </w:p>
    <w:p w:rsidR="00B17C7F" w:rsidRDefault="0044492D">
      <w:pPr>
        <w:pStyle w:val="BodyText"/>
        <w:rPr>
          <w:lang w:eastAsia="zh-CN"/>
        </w:rPr>
      </w:pPr>
      <w:r>
        <w:rPr>
          <w:lang w:eastAsia="zh-CN"/>
        </w:rPr>
        <w:t>客户的独立性将采用与适用于资深独立投资者相同的准则进行评估。香港交易所</w:t>
      </w:r>
      <w:r>
        <w:rPr>
          <w:lang w:eastAsia="zh-CN"/>
        </w:rPr>
        <w:t>将依据个案情况评估客户是否属「信誉极好的客户」，但是一般会在定义范围内考虑以下情况：</w:t>
      </w:r>
      <w:r>
        <w:rPr>
          <w:lang w:eastAsia="zh-CN"/>
        </w:rPr>
        <w:t>(i)</w:t>
      </w:r>
      <w:r>
        <w:rPr>
          <w:lang w:eastAsia="zh-CN"/>
        </w:rPr>
        <w:t>于相关上游或下游行业拥有重大市场份额及规模的主要市场参与者（由适当的独立市场或营运数据支持）；或</w:t>
      </w:r>
      <w:r>
        <w:rPr>
          <w:lang w:eastAsia="zh-CN"/>
        </w:rPr>
        <w:t>(ii)</w:t>
      </w:r>
      <w:r>
        <w:rPr>
          <w:lang w:eastAsia="zh-CN"/>
        </w:rPr>
        <w:t>香港交易所《上市规则》第</w:t>
      </w:r>
      <w:r>
        <w:rPr>
          <w:lang w:eastAsia="zh-CN"/>
        </w:rPr>
        <w:t>1.01</w:t>
      </w:r>
      <w:r>
        <w:rPr>
          <w:lang w:eastAsia="zh-CN"/>
        </w:rPr>
        <w:t>条所定义的国家机构或国营机构。</w:t>
      </w:r>
    </w:p>
    <w:p w:rsidR="00B17C7F" w:rsidRDefault="0044492D">
      <w:pPr>
        <w:pStyle w:val="BodyText"/>
        <w:rPr>
          <w:lang w:eastAsia="zh-CN"/>
        </w:rPr>
      </w:pPr>
      <w:r>
        <w:rPr>
          <w:lang w:eastAsia="zh-CN"/>
        </w:rPr>
        <w:lastRenderedPageBreak/>
        <w:t>若该指引信中列出的若干说明性范例不适用于个别未商业化公司的情况，其可用其他方式证明其商业化路径，并以其他证据证明该路径的可信性。为了证明符合商业化收益门坎的一条可信路径，以零售客户为目标的未商业化公司，可提供表示对特专科技产品有兴趣的零售客户数目的证据，</w:t>
      </w:r>
      <w:r>
        <w:rPr>
          <w:lang w:eastAsia="zh-CN"/>
        </w:rPr>
        <w:t>并由诸如已确认的订单之类的证据予以支持。</w:t>
      </w:r>
    </w:p>
    <w:p w:rsidR="00B17C7F" w:rsidRDefault="0044492D">
      <w:pPr>
        <w:pStyle w:val="BodyText"/>
        <w:rPr>
          <w:lang w:eastAsia="zh-CN"/>
        </w:rPr>
      </w:pPr>
      <w:r>
        <w:rPr>
          <w:lang w:eastAsia="zh-CN"/>
        </w:rPr>
        <w:t>营运资金规定</w:t>
      </w:r>
    </w:p>
    <w:p w:rsidR="00B17C7F" w:rsidRDefault="0044492D">
      <w:pPr>
        <w:pStyle w:val="BodyText"/>
        <w:rPr>
          <w:lang w:eastAsia="zh-CN"/>
        </w:rPr>
      </w:pPr>
      <w:r>
        <w:rPr>
          <w:lang w:eastAsia="zh-CN"/>
        </w:rPr>
        <w:t>未商业化公司亦须有充足的营运资金（包括首次上市的所得款项），足够应付自上市之日起未来的至少</w:t>
      </w:r>
      <w:r>
        <w:rPr>
          <w:lang w:eastAsia="zh-CN"/>
        </w:rPr>
        <w:t>12</w:t>
      </w:r>
      <w:r>
        <w:rPr>
          <w:lang w:eastAsia="zh-CN"/>
        </w:rPr>
        <w:t>个月该集团所需成本（须主要包括一般、行政及营运成本，以及研发成本）的至少</w:t>
      </w:r>
      <w:r>
        <w:rPr>
          <w:lang w:eastAsia="zh-CN"/>
        </w:rPr>
        <w:t>125%</w:t>
      </w:r>
      <w:r>
        <w:rPr>
          <w:lang w:eastAsia="zh-CN"/>
        </w:rPr>
        <w:t>，以减轻营运融资不足的风险。</w:t>
      </w:r>
      <w:hyperlink w:anchor="footnote-598-16">
        <w:r>
          <w:rPr>
            <w:vertAlign w:val="superscript"/>
            <w:lang w:eastAsia="zh-CN"/>
          </w:rPr>
          <w:t>16</w:t>
        </w:r>
      </w:hyperlink>
    </w:p>
    <w:p w:rsidR="00B17C7F" w:rsidRDefault="0044492D">
      <w:pPr>
        <w:pStyle w:val="BodyText"/>
        <w:rPr>
          <w:lang w:eastAsia="zh-CN"/>
        </w:rPr>
      </w:pPr>
      <w:r>
        <w:rPr>
          <w:lang w:eastAsia="zh-CN"/>
        </w:rPr>
        <w:t>所得款项用途</w:t>
      </w:r>
    </w:p>
    <w:p w:rsidR="00B17C7F" w:rsidRDefault="0044492D">
      <w:pPr>
        <w:pStyle w:val="BodyText"/>
        <w:rPr>
          <w:lang w:eastAsia="zh-CN"/>
        </w:rPr>
      </w:pPr>
      <w:r>
        <w:rPr>
          <w:lang w:eastAsia="zh-CN"/>
        </w:rPr>
        <w:t>为了合资格以未商业化公司身份上市，有关上市的主要目的须是为该公司特专科技产品的研发，生产及</w:t>
      </w:r>
      <w:r>
        <w:rPr>
          <w:lang w:eastAsia="zh-CN"/>
        </w:rPr>
        <w:t>/</w:t>
      </w:r>
      <w:r>
        <w:rPr>
          <w:lang w:eastAsia="zh-CN"/>
        </w:rPr>
        <w:t>或销售及推广筹集资金，而最终目标则为达至商业化及符合商业化收益门坎</w:t>
      </w:r>
      <w:r>
        <w:rPr>
          <w:lang w:eastAsia="zh-CN"/>
        </w:rPr>
        <w:t>。</w:t>
      </w:r>
      <w:hyperlink w:anchor="footnote-598-17">
        <w:r>
          <w:rPr>
            <w:vertAlign w:val="superscript"/>
            <w:lang w:eastAsia="zh-CN"/>
          </w:rPr>
          <w:t>17</w:t>
        </w:r>
      </w:hyperlink>
    </w:p>
    <w:p w:rsidR="00B17C7F" w:rsidRDefault="0044492D">
      <w:pPr>
        <w:pStyle w:val="BodyText"/>
        <w:rPr>
          <w:lang w:eastAsia="zh-CN"/>
        </w:rPr>
      </w:pPr>
      <w:r>
        <w:rPr>
          <w:lang w:eastAsia="zh-CN"/>
        </w:rPr>
        <w:t>有不同投票权架构的特专科技公司</w:t>
      </w:r>
    </w:p>
    <w:p w:rsidR="00B17C7F" w:rsidRDefault="0044492D">
      <w:pPr>
        <w:pStyle w:val="BodyText"/>
        <w:rPr>
          <w:lang w:eastAsia="zh-CN"/>
        </w:rPr>
      </w:pPr>
      <w:r>
        <w:rPr>
          <w:lang w:eastAsia="zh-CN"/>
        </w:rPr>
        <w:t>香港交易所在该咨询文件中建议，寻求以不同投票权架构上市的特专科技公司应采用现时《上市规则》有关不同投票权架构的规定，其中包括若其最近一个经审计会计年度收益不足</w:t>
      </w:r>
      <w:r>
        <w:rPr>
          <w:lang w:eastAsia="zh-CN"/>
        </w:rPr>
        <w:t xml:space="preserve"> 10 </w:t>
      </w:r>
      <w:r>
        <w:rPr>
          <w:lang w:eastAsia="zh-CN"/>
        </w:rPr>
        <w:t>亿港元，那么须拥有</w:t>
      </w:r>
      <w:r>
        <w:rPr>
          <w:lang w:eastAsia="zh-CN"/>
        </w:rPr>
        <w:t>400</w:t>
      </w:r>
      <w:r>
        <w:rPr>
          <w:lang w:eastAsia="zh-CN"/>
        </w:rPr>
        <w:t>亿港元市值，如此该公司便被准许拥有</w:t>
      </w:r>
      <w:r>
        <w:rPr>
          <w:lang w:eastAsia="zh-CN"/>
        </w:rPr>
        <w:t>100</w:t>
      </w:r>
      <w:r>
        <w:rPr>
          <w:lang w:eastAsia="zh-CN"/>
        </w:rPr>
        <w:t>亿港元市值。</w:t>
      </w:r>
      <w:hyperlink w:anchor="footnote-598-18">
        <w:r>
          <w:rPr>
            <w:vertAlign w:val="superscript"/>
            <w:lang w:eastAsia="zh-CN"/>
          </w:rPr>
          <w:t>18</w:t>
        </w:r>
      </w:hyperlink>
      <w:r>
        <w:rPr>
          <w:lang w:eastAsia="zh-CN"/>
        </w:rPr>
        <w:t xml:space="preserve"> </w:t>
      </w:r>
      <w:r>
        <w:rPr>
          <w:lang w:eastAsia="zh-CN"/>
        </w:rPr>
        <w:t>虽然部分咨询回应人士表示该门坎实属过高，但是香港交易所坚持不同投票权架构</w:t>
      </w:r>
      <w:r>
        <w:rPr>
          <w:lang w:eastAsia="zh-CN"/>
        </w:rPr>
        <w:t>规定适用方面对所有有不同投票权架构的的上市申请人（包括生物科技公司）一视同仁，而生物科技公司亦处于相对较初期的发展阶段。因此，希望以不同投票权架构上市的特专科技公司若在最近一个经审计会计年度收益未能达到</w:t>
      </w:r>
      <w:r>
        <w:rPr>
          <w:lang w:eastAsia="zh-CN"/>
        </w:rPr>
        <w:t>10</w:t>
      </w:r>
      <w:r>
        <w:rPr>
          <w:lang w:eastAsia="zh-CN"/>
        </w:rPr>
        <w:t>亿港元，则市值须达到</w:t>
      </w:r>
      <w:r>
        <w:rPr>
          <w:lang w:eastAsia="zh-CN"/>
        </w:rPr>
        <w:t xml:space="preserve">400 </w:t>
      </w:r>
      <w:r>
        <w:rPr>
          <w:lang w:eastAsia="zh-CN"/>
        </w:rPr>
        <w:t>亿港元门坎。</w:t>
      </w:r>
    </w:p>
    <w:p w:rsidR="00B17C7F" w:rsidRDefault="0044492D">
      <w:pPr>
        <w:pStyle w:val="BodyText"/>
        <w:rPr>
          <w:lang w:eastAsia="zh-CN"/>
        </w:rPr>
      </w:pPr>
      <w:r>
        <w:rPr>
          <w:lang w:eastAsia="zh-CN"/>
        </w:rPr>
        <w:t>首次公开招股期间的规定</w:t>
      </w:r>
    </w:p>
    <w:p w:rsidR="00B17C7F" w:rsidRDefault="0044492D">
      <w:pPr>
        <w:pStyle w:val="BodyText"/>
        <w:rPr>
          <w:lang w:eastAsia="zh-CN"/>
        </w:rPr>
      </w:pPr>
      <w:r>
        <w:rPr>
          <w:lang w:eastAsia="zh-CN"/>
        </w:rPr>
        <w:t>向独立定价投资者分配至少一定数量股份</w:t>
      </w:r>
    </w:p>
    <w:p w:rsidR="00B17C7F" w:rsidRDefault="0044492D">
      <w:pPr>
        <w:pStyle w:val="BodyText"/>
        <w:rPr>
          <w:lang w:eastAsia="zh-CN"/>
        </w:rPr>
      </w:pPr>
      <w:r>
        <w:rPr>
          <w:lang w:eastAsia="zh-CN"/>
        </w:rPr>
        <w:t>特专科技公司须将其于首次上市时首次公开招股的股份总数（于行使超额配股权时发行的股份数目不计算在内）的至少</w:t>
      </w:r>
      <w:r>
        <w:rPr>
          <w:lang w:eastAsia="zh-CN"/>
        </w:rPr>
        <w:t>50%</w:t>
      </w:r>
      <w:r>
        <w:rPr>
          <w:lang w:eastAsia="zh-CN"/>
        </w:rPr>
        <w:t>分配予参与配售部分的独立机构投资者。</w:t>
      </w:r>
      <w:hyperlink w:anchor="footnote-598-19">
        <w:r>
          <w:rPr>
            <w:vertAlign w:val="superscript"/>
            <w:lang w:eastAsia="zh-CN"/>
          </w:rPr>
          <w:t>19</w:t>
        </w:r>
      </w:hyperlink>
      <w:r>
        <w:rPr>
          <w:lang w:eastAsia="zh-CN"/>
        </w:rPr>
        <w:t xml:space="preserve"> </w:t>
      </w:r>
      <w:r>
        <w:rPr>
          <w:lang w:eastAsia="zh-CN"/>
        </w:rPr>
        <w:t>有关特专科技公司的指引信中将独立定价投资者定义为机构专业投资者（即《证券及期货条例》附表</w:t>
      </w:r>
      <w:r>
        <w:rPr>
          <w:lang w:eastAsia="zh-CN"/>
        </w:rPr>
        <w:t>1</w:t>
      </w:r>
      <w:r>
        <w:rPr>
          <w:lang w:eastAsia="zh-CN"/>
        </w:rPr>
        <w:t>第</w:t>
      </w:r>
      <w:r>
        <w:rPr>
          <w:lang w:eastAsia="zh-CN"/>
        </w:rPr>
        <w:t>1</w:t>
      </w:r>
      <w:r>
        <w:rPr>
          <w:lang w:eastAsia="zh-CN"/>
        </w:rPr>
        <w:t>部第</w:t>
      </w:r>
      <w:r>
        <w:rPr>
          <w:lang w:eastAsia="zh-CN"/>
        </w:rPr>
        <w:t>1</w:t>
      </w:r>
      <w:r>
        <w:rPr>
          <w:lang w:eastAsia="zh-CN"/>
        </w:rPr>
        <w:t>节中专业投资者定义第</w:t>
      </w:r>
      <w:r>
        <w:rPr>
          <w:lang w:eastAsia="zh-CN"/>
        </w:rPr>
        <w:t>(a)</w:t>
      </w:r>
      <w:r>
        <w:rPr>
          <w:lang w:eastAsia="zh-CN"/>
        </w:rPr>
        <w:t>段至第</w:t>
      </w:r>
      <w:r>
        <w:rPr>
          <w:lang w:eastAsia="zh-CN"/>
        </w:rPr>
        <w:t>(i)</w:t>
      </w:r>
      <w:r>
        <w:rPr>
          <w:lang w:eastAsia="zh-CN"/>
        </w:rPr>
        <w:t>段中载列的机构专业投资者）及管理资产总值、基金规模或投资组合规模至少达</w:t>
      </w:r>
      <w:r>
        <w:rPr>
          <w:lang w:eastAsia="zh-CN"/>
        </w:rPr>
        <w:t>10</w:t>
      </w:r>
      <w:r>
        <w:rPr>
          <w:lang w:eastAsia="zh-CN"/>
        </w:rPr>
        <w:t>亿港元的其他类型投资者。任何人士如为上市申请人的现有股东或该现有股东的紧密联系人或为上市申请人的核心关连人士，将不合资格成为独立定价投资者。</w:t>
      </w:r>
    </w:p>
    <w:p w:rsidR="00B17C7F" w:rsidRDefault="0044492D">
      <w:pPr>
        <w:pStyle w:val="BodyText"/>
        <w:rPr>
          <w:lang w:eastAsia="zh-CN"/>
        </w:rPr>
      </w:pPr>
      <w:r>
        <w:rPr>
          <w:lang w:eastAsia="zh-CN"/>
        </w:rPr>
        <w:t>最低自由流通量</w:t>
      </w:r>
    </w:p>
    <w:p w:rsidR="00B17C7F" w:rsidRDefault="0044492D">
      <w:pPr>
        <w:pStyle w:val="BodyText"/>
        <w:rPr>
          <w:lang w:eastAsia="zh-CN"/>
        </w:rPr>
      </w:pPr>
      <w:r>
        <w:rPr>
          <w:lang w:eastAsia="zh-CN"/>
        </w:rPr>
        <w:t>特专科技公司必须确保在上市后有不少于</w:t>
      </w:r>
      <w:r>
        <w:rPr>
          <w:lang w:eastAsia="zh-CN"/>
        </w:rPr>
        <w:t>6</w:t>
      </w:r>
      <w:r>
        <w:rPr>
          <w:lang w:eastAsia="zh-CN"/>
        </w:rPr>
        <w:t>亿港元的自由流通量不受任何禁售规定所限（无论是合约、香港交易所《上市规则》或适</w:t>
      </w:r>
      <w:r>
        <w:rPr>
          <w:lang w:eastAsia="zh-CN"/>
        </w:rPr>
        <w:t>用法律下的）。</w:t>
      </w:r>
      <w:hyperlink w:anchor="footnote-598-20">
        <w:r>
          <w:rPr>
            <w:vertAlign w:val="superscript"/>
            <w:lang w:eastAsia="zh-CN"/>
          </w:rPr>
          <w:t>20</w:t>
        </w:r>
      </w:hyperlink>
    </w:p>
    <w:p w:rsidR="00B17C7F" w:rsidRDefault="0044492D">
      <w:pPr>
        <w:pStyle w:val="BodyText"/>
        <w:rPr>
          <w:lang w:eastAsia="zh-CN"/>
        </w:rPr>
      </w:pPr>
      <w:r>
        <w:rPr>
          <w:lang w:eastAsia="zh-CN"/>
        </w:rPr>
        <w:t>发售规模</w:t>
      </w:r>
    </w:p>
    <w:p w:rsidR="00B17C7F" w:rsidRDefault="0044492D">
      <w:pPr>
        <w:pStyle w:val="BodyText"/>
        <w:rPr>
          <w:lang w:eastAsia="zh-CN"/>
        </w:rPr>
      </w:pPr>
      <w:r>
        <w:rPr>
          <w:lang w:eastAsia="zh-CN"/>
        </w:rPr>
        <w:t>香港交易所要求特专科技公司在上市时须有足够庞大的发售规模，包括配售部分及公开认购部分。如特专科技公司的发售部分规模被视为不足以维持市场定价，或可能引起有关市场秩序的疑虑，则香港交易所保留不批准其上市的权利。</w:t>
      </w:r>
      <w:hyperlink w:anchor="footnote-598-21">
        <w:r>
          <w:rPr>
            <w:vertAlign w:val="superscript"/>
            <w:lang w:eastAsia="zh-CN"/>
          </w:rPr>
          <w:t>21</w:t>
        </w:r>
      </w:hyperlink>
    </w:p>
    <w:p w:rsidR="00B17C7F" w:rsidRDefault="0044492D">
      <w:pPr>
        <w:pStyle w:val="BodyText"/>
        <w:rPr>
          <w:lang w:eastAsia="zh-CN"/>
        </w:rPr>
      </w:pPr>
      <w:r>
        <w:rPr>
          <w:lang w:eastAsia="zh-CN"/>
        </w:rPr>
        <w:t>披露规定</w:t>
      </w:r>
    </w:p>
    <w:p w:rsidR="00B17C7F" w:rsidRDefault="0044492D">
      <w:pPr>
        <w:pStyle w:val="BodyText"/>
        <w:rPr>
          <w:lang w:eastAsia="zh-CN"/>
        </w:rPr>
      </w:pPr>
      <w:r>
        <w:rPr>
          <w:lang w:eastAsia="zh-CN"/>
        </w:rPr>
        <w:t>特专科技公司须在其上市文件中额外披露若干资料，如有关特专科技公司的指引信第</w:t>
      </w:r>
      <w:r>
        <w:rPr>
          <w:lang w:eastAsia="zh-CN"/>
        </w:rPr>
        <w:t>70</w:t>
      </w:r>
      <w:r>
        <w:rPr>
          <w:lang w:eastAsia="zh-CN"/>
        </w:rPr>
        <w:t>段中所载列。须予披露的资料包括</w:t>
      </w:r>
      <w:r>
        <w:rPr>
          <w:lang w:eastAsia="zh-CN"/>
        </w:rPr>
        <w:t>（但不限于）关于以下方面的资料：首次公开招股前投资；公司的主要特专科技产品；各特专科技产品商业化状况及前景，研发开支，知识产权，风险及指明警告声明。</w:t>
      </w:r>
    </w:p>
    <w:p w:rsidR="00B17C7F" w:rsidRDefault="0044492D">
      <w:pPr>
        <w:pStyle w:val="BodyText"/>
      </w:pPr>
      <w:r>
        <w:rPr>
          <w:lang w:eastAsia="zh-CN"/>
        </w:rPr>
        <w:lastRenderedPageBreak/>
        <w:t>除了香港交易所《上市规则》及有关特专科技公司的指引信中要求的披露规定之外，特专科技公司亦须于上市文件中披露所有相关资料，以证明其符合第香港交易所《上市规则》十八</w:t>
      </w:r>
      <w:r>
        <w:rPr>
          <w:lang w:eastAsia="zh-CN"/>
        </w:rPr>
        <w:t>C</w:t>
      </w:r>
      <w:r>
        <w:rPr>
          <w:lang w:eastAsia="zh-CN"/>
        </w:rPr>
        <w:t>章及有关指引信明确规定的有关特专科技公司的定义、适合性及资格准则以及上市规定。</w:t>
      </w:r>
      <w:r>
        <w:t>该等须披露的数据包括：</w:t>
      </w:r>
    </w:p>
    <w:p w:rsidR="00B17C7F" w:rsidRDefault="0044492D">
      <w:pPr>
        <w:pStyle w:val="Compact"/>
        <w:numPr>
          <w:ilvl w:val="0"/>
          <w:numId w:val="15"/>
        </w:numPr>
        <w:rPr>
          <w:lang w:eastAsia="zh-CN"/>
        </w:rPr>
      </w:pPr>
      <w:r>
        <w:rPr>
          <w:lang w:eastAsia="zh-CN"/>
        </w:rPr>
        <w:t>其所属的特专科技行业及可接纳领域；及</w:t>
      </w:r>
    </w:p>
    <w:p w:rsidR="00B17C7F" w:rsidRDefault="0044492D">
      <w:pPr>
        <w:pStyle w:val="Compact"/>
        <w:numPr>
          <w:ilvl w:val="0"/>
          <w:numId w:val="15"/>
        </w:numPr>
        <w:rPr>
          <w:lang w:eastAsia="zh-CN"/>
        </w:rPr>
      </w:pPr>
      <w:r>
        <w:rPr>
          <w:lang w:eastAsia="zh-CN"/>
        </w:rPr>
        <w:t>就第三方投资规定而言，相关资深独立投资者的身份、投资时间、持股量及／或投资金额（如适用）。</w:t>
      </w:r>
    </w:p>
    <w:p w:rsidR="00B17C7F" w:rsidRDefault="0044492D">
      <w:pPr>
        <w:pStyle w:val="FirstParagraph"/>
        <w:rPr>
          <w:lang w:eastAsia="zh-CN"/>
        </w:rPr>
      </w:pPr>
      <w:r>
        <w:rPr>
          <w:lang w:eastAsia="zh-CN"/>
        </w:rPr>
        <w:t>在另一证券交易所上市的申请人的流通量安排</w:t>
      </w:r>
    </w:p>
    <w:p w:rsidR="00B17C7F" w:rsidRDefault="0044492D">
      <w:pPr>
        <w:pStyle w:val="BodyText"/>
        <w:rPr>
          <w:lang w:eastAsia="zh-CN"/>
        </w:rPr>
      </w:pPr>
      <w:r>
        <w:rPr>
          <w:lang w:eastAsia="zh-CN"/>
        </w:rPr>
        <w:t>若寻求在香港上市证券，则无论申请人是否发售股份，有已在另一证券交易所上市的证券（并且其与寻求在香港交易所上市的股份属同一类别或代表同一类别的股份）的申请人必须考虑其寻求上市的证券是否有公开市场。必要时，须作出适当安排促进其股份的流通量以切合香港市场的需求。此项要求旨在确保上市证券以公平有序的方式于香港进行买卖。</w:t>
      </w:r>
      <w:hyperlink w:anchor="footnote-598-22">
        <w:r>
          <w:rPr>
            <w:vertAlign w:val="superscript"/>
            <w:lang w:eastAsia="zh-CN"/>
          </w:rPr>
          <w:t>22</w:t>
        </w:r>
      </w:hyperlink>
    </w:p>
    <w:p w:rsidR="00B17C7F" w:rsidRDefault="0044492D">
      <w:pPr>
        <w:pStyle w:val="BodyText"/>
        <w:rPr>
          <w:lang w:eastAsia="zh-CN"/>
        </w:rPr>
      </w:pPr>
      <w:r>
        <w:rPr>
          <w:lang w:eastAsia="zh-CN"/>
        </w:rPr>
        <w:t>计划以介绍方式上市的特专科技公司必须遵守有关流通量安排的现行指引（指引信</w:t>
      </w:r>
      <w:hyperlink r:id="rId12">
        <w:r>
          <w:rPr>
            <w:lang w:eastAsia="zh-CN"/>
          </w:rPr>
          <w:t>HKEX-GL53-13</w:t>
        </w:r>
      </w:hyperlink>
      <w:r>
        <w:rPr>
          <w:lang w:eastAsia="zh-CN"/>
        </w:rPr>
        <w:t>），以切合上市初期香港市场的需求。</w:t>
      </w:r>
    </w:p>
    <w:p w:rsidR="00B17C7F" w:rsidRDefault="0044492D">
      <w:pPr>
        <w:pStyle w:val="BodyText"/>
        <w:rPr>
          <w:lang w:eastAsia="zh-CN"/>
        </w:rPr>
      </w:pPr>
      <w:r>
        <w:rPr>
          <w:lang w:eastAsia="zh-CN"/>
        </w:rPr>
        <w:t>初步散户分配及回补机制</w:t>
      </w:r>
    </w:p>
    <w:p w:rsidR="00B17C7F" w:rsidRDefault="0044492D">
      <w:pPr>
        <w:pStyle w:val="BodyText"/>
        <w:rPr>
          <w:lang w:eastAsia="zh-CN"/>
        </w:rPr>
      </w:pPr>
      <w:r>
        <w:rPr>
          <w:lang w:eastAsia="zh-CN"/>
        </w:rPr>
        <w:t>对特专科技公司实施下表所概述的经修订初步散户分配及回补机制：</w:t>
      </w:r>
    </w:p>
    <w:tbl>
      <w:tblPr>
        <w:tblW w:w="102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86"/>
        <w:gridCol w:w="1701"/>
        <w:gridCol w:w="2693"/>
        <w:gridCol w:w="2126"/>
      </w:tblGrid>
      <w:tr w:rsidR="0044492D" w:rsidRPr="003E4004" w:rsidTr="0044492D">
        <w:tc>
          <w:tcPr>
            <w:tcW w:w="3686" w:type="dxa"/>
            <w:vMerge w:val="restart"/>
            <w:shd w:val="clear" w:color="auto" w:fill="auto"/>
            <w:tcMar>
              <w:top w:w="135" w:type="dxa"/>
              <w:left w:w="360" w:type="dxa"/>
              <w:bottom w:w="135" w:type="dxa"/>
              <w:right w:w="360" w:type="dxa"/>
            </w:tcMar>
            <w:hideMark/>
          </w:tcPr>
          <w:p w:rsidR="0044492D" w:rsidRPr="003E4004" w:rsidRDefault="0044492D" w:rsidP="00946915">
            <w:pPr>
              <w:adjustRightInd w:val="0"/>
              <w:snapToGrid w:val="0"/>
              <w:spacing w:after="0"/>
              <w:ind w:rightChars="100" w:right="240"/>
              <w:jc w:val="center"/>
              <w:rPr>
                <w:rFonts w:ascii="PMingLiU" w:eastAsia="PMingLiU" w:hAnsi="PMingLiU" w:cs="SimSun"/>
                <w:b/>
                <w:bCs/>
                <w:lang w:eastAsia="zh-CN"/>
              </w:rPr>
            </w:pPr>
          </w:p>
        </w:tc>
        <w:tc>
          <w:tcPr>
            <w:tcW w:w="1701" w:type="dxa"/>
            <w:vMerge w:val="restart"/>
            <w:shd w:val="clear" w:color="auto" w:fill="auto"/>
            <w:tcMar>
              <w:top w:w="135" w:type="dxa"/>
              <w:left w:w="360" w:type="dxa"/>
              <w:bottom w:w="135" w:type="dxa"/>
              <w:right w:w="360" w:type="dxa"/>
            </w:tcMar>
            <w:hideMark/>
          </w:tcPr>
          <w:p w:rsidR="0044492D" w:rsidRPr="003E4004" w:rsidRDefault="0044492D" w:rsidP="00946915">
            <w:pPr>
              <w:adjustRightInd w:val="0"/>
              <w:snapToGrid w:val="0"/>
              <w:spacing w:after="0"/>
              <w:ind w:rightChars="100" w:right="240"/>
              <w:jc w:val="center"/>
              <w:rPr>
                <w:rFonts w:ascii="PMingLiU" w:eastAsia="PMingLiU" w:hAnsi="PMingLiU"/>
                <w:b/>
                <w:bCs/>
              </w:rPr>
            </w:pPr>
            <w:r w:rsidRPr="003E4004">
              <w:rPr>
                <w:rFonts w:ascii="PMingLiU" w:eastAsia="PMingLiU" w:hAnsi="PMingLiU" w:hint="eastAsia"/>
                <w:b/>
                <w:bCs/>
                <w:lang w:eastAsia="zh-CN"/>
              </w:rPr>
              <w:t>初订分配额</w:t>
            </w:r>
            <w:bookmarkStart w:id="0" w:name="_GoBack"/>
            <w:bookmarkEnd w:id="0"/>
          </w:p>
        </w:tc>
        <w:tc>
          <w:tcPr>
            <w:tcW w:w="4819" w:type="dxa"/>
            <w:gridSpan w:val="2"/>
            <w:shd w:val="clear" w:color="auto" w:fill="auto"/>
            <w:tcMar>
              <w:top w:w="135" w:type="dxa"/>
              <w:left w:w="360" w:type="dxa"/>
              <w:bottom w:w="135" w:type="dxa"/>
              <w:right w:w="360" w:type="dxa"/>
            </w:tcMar>
            <w:hideMark/>
          </w:tcPr>
          <w:p w:rsidR="0044492D" w:rsidRPr="003E4004" w:rsidRDefault="0044492D" w:rsidP="00946915">
            <w:pPr>
              <w:adjustRightInd w:val="0"/>
              <w:snapToGrid w:val="0"/>
              <w:spacing w:after="0"/>
              <w:ind w:rightChars="100" w:right="240"/>
              <w:jc w:val="center"/>
              <w:rPr>
                <w:rFonts w:ascii="PMingLiU" w:eastAsia="PMingLiU" w:hAnsi="PMingLiU"/>
                <w:b/>
                <w:bCs/>
                <w:lang w:eastAsia="zh-CN"/>
              </w:rPr>
            </w:pPr>
            <w:r w:rsidRPr="003E4004">
              <w:rPr>
                <w:rFonts w:ascii="PMingLiU" w:eastAsia="PMingLiU" w:hAnsi="PMingLiU" w:hint="eastAsia"/>
                <w:b/>
                <w:bCs/>
                <w:lang w:eastAsia="zh-CN"/>
              </w:rPr>
              <w:t>公开认购部分超额认购倍数</w:t>
            </w:r>
          </w:p>
        </w:tc>
      </w:tr>
      <w:tr w:rsidR="0044492D" w:rsidRPr="003E4004" w:rsidTr="0044492D">
        <w:trPr>
          <w:trHeight w:val="750"/>
        </w:trPr>
        <w:tc>
          <w:tcPr>
            <w:tcW w:w="3686" w:type="dxa"/>
            <w:vMerge/>
            <w:shd w:val="clear" w:color="auto" w:fill="auto"/>
            <w:tcMar>
              <w:top w:w="206" w:type="dxa"/>
              <w:left w:w="141" w:type="dxa"/>
              <w:bottom w:w="206" w:type="dxa"/>
              <w:right w:w="141" w:type="dxa"/>
            </w:tcMar>
            <w:vAlign w:val="center"/>
            <w:hideMark/>
          </w:tcPr>
          <w:p w:rsidR="0044492D" w:rsidRPr="003E4004" w:rsidRDefault="0044492D" w:rsidP="00946915">
            <w:pPr>
              <w:adjustRightInd w:val="0"/>
              <w:snapToGrid w:val="0"/>
              <w:spacing w:after="0"/>
              <w:ind w:rightChars="100" w:right="240"/>
              <w:rPr>
                <w:rFonts w:ascii="PMingLiU" w:eastAsia="PMingLiU" w:hAnsi="PMingLiU" w:cs="SimSun"/>
                <w:b/>
                <w:bCs/>
                <w:lang w:eastAsia="zh-CN"/>
              </w:rPr>
            </w:pPr>
          </w:p>
        </w:tc>
        <w:tc>
          <w:tcPr>
            <w:tcW w:w="1701" w:type="dxa"/>
            <w:vMerge/>
            <w:shd w:val="clear" w:color="auto" w:fill="auto"/>
            <w:tcMar>
              <w:top w:w="206" w:type="dxa"/>
              <w:left w:w="141" w:type="dxa"/>
              <w:bottom w:w="206" w:type="dxa"/>
              <w:right w:w="141" w:type="dxa"/>
            </w:tcMar>
            <w:vAlign w:val="center"/>
            <w:hideMark/>
          </w:tcPr>
          <w:p w:rsidR="0044492D" w:rsidRPr="003E4004" w:rsidRDefault="0044492D" w:rsidP="00946915">
            <w:pPr>
              <w:adjustRightInd w:val="0"/>
              <w:snapToGrid w:val="0"/>
              <w:spacing w:after="0"/>
              <w:ind w:rightChars="100" w:right="240"/>
              <w:rPr>
                <w:rFonts w:ascii="PMingLiU" w:eastAsia="PMingLiU" w:hAnsi="PMingLiU" w:cs="SimSun"/>
                <w:b/>
                <w:bCs/>
                <w:lang w:eastAsia="zh-CN"/>
              </w:rPr>
            </w:pPr>
          </w:p>
        </w:tc>
        <w:tc>
          <w:tcPr>
            <w:tcW w:w="2693" w:type="dxa"/>
            <w:shd w:val="clear" w:color="auto" w:fill="auto"/>
            <w:tcMar>
              <w:top w:w="135" w:type="dxa"/>
              <w:left w:w="360" w:type="dxa"/>
              <w:bottom w:w="135" w:type="dxa"/>
              <w:right w:w="360" w:type="dxa"/>
            </w:tcMar>
            <w:hideMark/>
          </w:tcPr>
          <w:p w:rsidR="0044492D" w:rsidRPr="003E4004" w:rsidRDefault="0044492D" w:rsidP="00946915">
            <w:pPr>
              <w:adjustRightInd w:val="0"/>
              <w:snapToGrid w:val="0"/>
              <w:spacing w:after="0"/>
              <w:ind w:rightChars="100" w:right="240"/>
              <w:jc w:val="center"/>
              <w:rPr>
                <w:rFonts w:ascii="PMingLiU" w:eastAsia="PMingLiU" w:hAnsi="PMingLiU" w:cs="SimSun"/>
                <w:b/>
                <w:bCs/>
              </w:rPr>
            </w:pPr>
            <w:r w:rsidRPr="003E4004">
              <w:rPr>
                <w:rFonts w:ascii="PMingLiU" w:eastAsia="PMingLiU" w:hAnsi="PMingLiU"/>
                <w:b/>
                <w:bCs/>
                <w:lang w:eastAsia="zh-CN"/>
              </w:rPr>
              <w:t>10</w:t>
            </w:r>
            <w:r w:rsidRPr="003E4004">
              <w:rPr>
                <w:rFonts w:ascii="PMingLiU" w:eastAsia="PMingLiU" w:hAnsi="PMingLiU" w:hint="eastAsia"/>
                <w:b/>
                <w:bCs/>
                <w:lang w:eastAsia="zh-CN"/>
              </w:rPr>
              <w:t>倍（含）至</w:t>
            </w:r>
            <w:r w:rsidRPr="003E4004">
              <w:rPr>
                <w:rFonts w:ascii="PMingLiU" w:eastAsia="PMingLiU" w:hAnsi="PMingLiU"/>
                <w:b/>
                <w:bCs/>
                <w:lang w:eastAsia="zh-CN"/>
              </w:rPr>
              <w:t xml:space="preserve"> 50</w:t>
            </w:r>
            <w:r w:rsidRPr="003E4004">
              <w:rPr>
                <w:rFonts w:ascii="PMingLiU" w:eastAsia="PMingLiU" w:hAnsi="PMingLiU" w:hint="eastAsia"/>
                <w:b/>
                <w:bCs/>
                <w:lang w:eastAsia="zh-CN"/>
              </w:rPr>
              <w:t>倍内</w:t>
            </w:r>
            <w:r w:rsidRPr="003E4004">
              <w:rPr>
                <w:rFonts w:ascii="PMingLiU" w:eastAsia="PMingLiU" w:hAnsi="PMingLiU"/>
                <w:b/>
                <w:bCs/>
                <w:lang w:eastAsia="zh-CN"/>
              </w:rPr>
              <w:t xml:space="preserve">  </w:t>
            </w:r>
          </w:p>
        </w:tc>
        <w:tc>
          <w:tcPr>
            <w:tcW w:w="2126" w:type="dxa"/>
            <w:shd w:val="clear" w:color="auto" w:fill="auto"/>
            <w:tcMar>
              <w:top w:w="206" w:type="dxa"/>
              <w:left w:w="141" w:type="dxa"/>
              <w:bottom w:w="206" w:type="dxa"/>
              <w:right w:w="141" w:type="dxa"/>
            </w:tcMar>
            <w:hideMark/>
          </w:tcPr>
          <w:p w:rsidR="0044492D" w:rsidRPr="003E4004" w:rsidRDefault="0044492D" w:rsidP="00946915">
            <w:pPr>
              <w:adjustRightInd w:val="0"/>
              <w:snapToGrid w:val="0"/>
              <w:spacing w:after="0"/>
              <w:ind w:rightChars="100" w:right="240"/>
              <w:jc w:val="center"/>
              <w:rPr>
                <w:rFonts w:ascii="PMingLiU" w:eastAsia="PMingLiU" w:hAnsi="PMingLiU" w:cs="SimSun"/>
                <w:b/>
                <w:bCs/>
              </w:rPr>
            </w:pPr>
            <w:r w:rsidRPr="003E4004">
              <w:rPr>
                <w:rFonts w:ascii="PMingLiU" w:eastAsia="PMingLiU" w:hAnsi="PMingLiU"/>
                <w:b/>
                <w:bCs/>
                <w:lang w:eastAsia="zh-CN"/>
              </w:rPr>
              <w:t>50</w:t>
            </w:r>
            <w:r w:rsidRPr="003E4004">
              <w:rPr>
                <w:rFonts w:ascii="PMingLiU" w:eastAsia="PMingLiU" w:hAnsi="PMingLiU" w:hint="eastAsia"/>
                <w:b/>
                <w:bCs/>
                <w:lang w:eastAsia="zh-CN"/>
              </w:rPr>
              <w:t>倍或以上</w:t>
            </w:r>
          </w:p>
        </w:tc>
      </w:tr>
      <w:tr w:rsidR="0044492D" w:rsidRPr="003E4004" w:rsidTr="0044492D">
        <w:tc>
          <w:tcPr>
            <w:tcW w:w="3686" w:type="dxa"/>
            <w:shd w:val="clear" w:color="auto" w:fill="auto"/>
            <w:tcMar>
              <w:top w:w="135" w:type="dxa"/>
              <w:left w:w="360" w:type="dxa"/>
              <w:bottom w:w="135" w:type="dxa"/>
              <w:right w:w="360" w:type="dxa"/>
            </w:tcMar>
            <w:hideMark/>
          </w:tcPr>
          <w:p w:rsidR="0044492D" w:rsidRPr="003E4004" w:rsidRDefault="0044492D" w:rsidP="00946915">
            <w:pPr>
              <w:adjustRightInd w:val="0"/>
              <w:snapToGrid w:val="0"/>
              <w:spacing w:after="0"/>
              <w:ind w:rightChars="100" w:right="240"/>
              <w:jc w:val="center"/>
              <w:rPr>
                <w:rFonts w:ascii="PMingLiU" w:eastAsia="PMingLiU" w:hAnsi="PMingLiU" w:cs="SimSun"/>
                <w:b/>
                <w:bCs/>
                <w:lang w:eastAsia="zh-CN"/>
              </w:rPr>
            </w:pPr>
            <w:r w:rsidRPr="003E4004">
              <w:rPr>
                <w:rFonts w:ascii="PMingLiU" w:eastAsia="PMingLiU" w:hAnsi="PMingLiU" w:hint="eastAsia"/>
                <w:b/>
                <w:bCs/>
                <w:lang w:eastAsia="zh-CN"/>
              </w:rPr>
              <w:t>散户最低分配占首次公开发售总发售股份百分比</w:t>
            </w:r>
          </w:p>
        </w:tc>
        <w:tc>
          <w:tcPr>
            <w:tcW w:w="1701" w:type="dxa"/>
            <w:shd w:val="clear" w:color="auto" w:fill="auto"/>
            <w:tcMar>
              <w:top w:w="206" w:type="dxa"/>
              <w:left w:w="141" w:type="dxa"/>
              <w:bottom w:w="206" w:type="dxa"/>
              <w:right w:w="141" w:type="dxa"/>
            </w:tcMar>
            <w:hideMark/>
          </w:tcPr>
          <w:p w:rsidR="0044492D" w:rsidRPr="003E4004" w:rsidRDefault="0044492D" w:rsidP="00946915">
            <w:pPr>
              <w:adjustRightInd w:val="0"/>
              <w:snapToGrid w:val="0"/>
              <w:spacing w:after="0"/>
              <w:ind w:rightChars="100" w:right="240"/>
              <w:jc w:val="both"/>
              <w:rPr>
                <w:rFonts w:ascii="PMingLiU" w:eastAsia="PMingLiU" w:hAnsi="PMingLiU" w:cs="SimSun"/>
              </w:rPr>
            </w:pPr>
            <w:r w:rsidRPr="003E4004">
              <w:rPr>
                <w:rFonts w:ascii="PMingLiU" w:eastAsia="PMingLiU" w:hAnsi="PMingLiU"/>
                <w:lang w:eastAsia="zh-CN"/>
              </w:rPr>
              <w:t>5%</w:t>
            </w:r>
          </w:p>
        </w:tc>
        <w:tc>
          <w:tcPr>
            <w:tcW w:w="2693" w:type="dxa"/>
            <w:shd w:val="clear" w:color="auto" w:fill="auto"/>
            <w:tcMar>
              <w:top w:w="135" w:type="dxa"/>
              <w:left w:w="360" w:type="dxa"/>
              <w:bottom w:w="135" w:type="dxa"/>
              <w:right w:w="360" w:type="dxa"/>
            </w:tcMar>
            <w:hideMark/>
          </w:tcPr>
          <w:p w:rsidR="0044492D" w:rsidRPr="003E4004" w:rsidRDefault="0044492D" w:rsidP="00946915">
            <w:pPr>
              <w:adjustRightInd w:val="0"/>
              <w:snapToGrid w:val="0"/>
              <w:spacing w:after="0"/>
              <w:ind w:rightChars="100" w:right="240"/>
              <w:jc w:val="both"/>
              <w:rPr>
                <w:rFonts w:ascii="PMingLiU" w:eastAsia="PMingLiU" w:hAnsi="PMingLiU" w:cs="SimSun"/>
              </w:rPr>
            </w:pPr>
            <w:r w:rsidRPr="003E4004">
              <w:rPr>
                <w:rFonts w:ascii="PMingLiU" w:eastAsia="PMingLiU" w:hAnsi="PMingLiU"/>
                <w:lang w:eastAsia="zh-CN"/>
              </w:rPr>
              <w:t>10%</w:t>
            </w:r>
          </w:p>
        </w:tc>
        <w:tc>
          <w:tcPr>
            <w:tcW w:w="2126" w:type="dxa"/>
            <w:shd w:val="clear" w:color="auto" w:fill="auto"/>
            <w:tcMar>
              <w:top w:w="135" w:type="dxa"/>
              <w:left w:w="360" w:type="dxa"/>
              <w:bottom w:w="135" w:type="dxa"/>
              <w:right w:w="360" w:type="dxa"/>
            </w:tcMar>
            <w:hideMark/>
          </w:tcPr>
          <w:p w:rsidR="0044492D" w:rsidRPr="003E4004" w:rsidRDefault="0044492D" w:rsidP="00946915">
            <w:pPr>
              <w:adjustRightInd w:val="0"/>
              <w:snapToGrid w:val="0"/>
              <w:spacing w:after="0"/>
              <w:ind w:rightChars="100" w:right="240"/>
              <w:jc w:val="both"/>
              <w:rPr>
                <w:rFonts w:ascii="PMingLiU" w:eastAsia="PMingLiU" w:hAnsi="PMingLiU" w:cs="SimSun"/>
              </w:rPr>
            </w:pPr>
            <w:r w:rsidRPr="003E4004">
              <w:rPr>
                <w:rFonts w:ascii="PMingLiU" w:eastAsia="PMingLiU" w:hAnsi="PMingLiU"/>
                <w:lang w:eastAsia="zh-CN"/>
              </w:rPr>
              <w:t>20%</w:t>
            </w:r>
          </w:p>
        </w:tc>
      </w:tr>
    </w:tbl>
    <w:p w:rsidR="00B17C7F" w:rsidRDefault="0044492D">
      <w:pPr>
        <w:pStyle w:val="BodyText"/>
        <w:rPr>
          <w:lang w:eastAsia="zh-CN"/>
        </w:rPr>
      </w:pPr>
      <w:r>
        <w:rPr>
          <w:lang w:eastAsia="zh-CN"/>
        </w:rPr>
        <w:t>未商业化公司的额外披露规定</w:t>
      </w:r>
    </w:p>
    <w:p w:rsidR="00B17C7F" w:rsidRDefault="0044492D">
      <w:pPr>
        <w:pStyle w:val="BodyText"/>
        <w:rPr>
          <w:lang w:eastAsia="zh-CN"/>
        </w:rPr>
      </w:pPr>
      <w:r>
        <w:rPr>
          <w:lang w:eastAsia="zh-CN"/>
        </w:rPr>
        <w:t>未商业化公司必须于上市文件中作以下额外披露：</w:t>
      </w:r>
    </w:p>
    <w:p w:rsidR="00B17C7F" w:rsidRDefault="0044492D">
      <w:pPr>
        <w:pStyle w:val="Compact"/>
        <w:numPr>
          <w:ilvl w:val="0"/>
          <w:numId w:val="16"/>
        </w:numPr>
        <w:rPr>
          <w:lang w:eastAsia="zh-CN"/>
        </w:rPr>
      </w:pPr>
      <w:r>
        <w:rPr>
          <w:lang w:eastAsia="zh-CN"/>
        </w:rPr>
        <w:t>各特专科技产品的研发阶段；</w:t>
      </w:r>
    </w:p>
    <w:p w:rsidR="00B17C7F" w:rsidRDefault="0044492D">
      <w:pPr>
        <w:pStyle w:val="Compact"/>
        <w:numPr>
          <w:ilvl w:val="0"/>
          <w:numId w:val="16"/>
        </w:numPr>
        <w:rPr>
          <w:lang w:eastAsia="zh-CN"/>
        </w:rPr>
      </w:pPr>
      <w:r>
        <w:rPr>
          <w:lang w:eastAsia="zh-CN"/>
        </w:rPr>
        <w:t>各主要特专科技产品为达到商业化收益门坎于每个关键阶段及里程碑的开发详情；</w:t>
      </w:r>
    </w:p>
    <w:p w:rsidR="00B17C7F" w:rsidRDefault="0044492D">
      <w:pPr>
        <w:pStyle w:val="Compact"/>
        <w:numPr>
          <w:ilvl w:val="0"/>
          <w:numId w:val="16"/>
        </w:numPr>
        <w:rPr>
          <w:lang w:eastAsia="zh-CN"/>
        </w:rPr>
      </w:pPr>
      <w:r>
        <w:rPr>
          <w:lang w:eastAsia="zh-CN"/>
        </w:rPr>
        <w:t>对于与各特专科技产品商业化有关的所有相关风险；</w:t>
      </w:r>
    </w:p>
    <w:p w:rsidR="00B17C7F" w:rsidRDefault="0044492D">
      <w:pPr>
        <w:pStyle w:val="Compact"/>
        <w:numPr>
          <w:ilvl w:val="0"/>
          <w:numId w:val="16"/>
        </w:numPr>
        <w:rPr>
          <w:lang w:eastAsia="zh-CN"/>
        </w:rPr>
      </w:pPr>
      <w:r>
        <w:rPr>
          <w:lang w:eastAsia="zh-CN"/>
        </w:rPr>
        <w:t>一份附加警告声明，使投资者注意到以下风险：未商业化公司可能不能产生足够的收益以于上市后维持营运以及可能因为缺少足够的资金而经营失败；及</w:t>
      </w:r>
    </w:p>
    <w:p w:rsidR="00B17C7F" w:rsidRDefault="0044492D">
      <w:pPr>
        <w:pStyle w:val="Compact"/>
        <w:numPr>
          <w:ilvl w:val="0"/>
          <w:numId w:val="16"/>
        </w:numPr>
        <w:rPr>
          <w:lang w:eastAsia="zh-CN"/>
        </w:rPr>
      </w:pPr>
      <w:r>
        <w:rPr>
          <w:lang w:eastAsia="zh-CN"/>
        </w:rPr>
        <w:t>若发行人获除去未商业化公司身份，其相关股东的禁售</w:t>
      </w:r>
      <w:r>
        <w:rPr>
          <w:lang w:eastAsia="zh-CN"/>
        </w:rPr>
        <w:t>期有机会提早结束时间。</w:t>
      </w:r>
    </w:p>
    <w:p w:rsidR="00B17C7F" w:rsidRDefault="0044492D">
      <w:pPr>
        <w:pStyle w:val="FirstParagraph"/>
        <w:rPr>
          <w:lang w:eastAsia="zh-CN"/>
        </w:rPr>
      </w:pPr>
      <w:r>
        <w:rPr>
          <w:lang w:eastAsia="zh-CN"/>
        </w:rPr>
        <w:t>现有股东认购首次公开招股股份</w:t>
      </w:r>
    </w:p>
    <w:p w:rsidR="00B17C7F" w:rsidRDefault="0044492D">
      <w:pPr>
        <w:pStyle w:val="BodyText"/>
      </w:pPr>
      <w:r>
        <w:rPr>
          <w:lang w:eastAsia="zh-CN"/>
        </w:rPr>
        <w:t>香港交易所将容许特专科技公司的现有股东认购其首次公开招股的股份，惟该等公司须符合现行公众持股量规定，向独立定价投资者分配最少一定数量股份的规定以及最低自由流通量规定。指引信</w:t>
      </w:r>
      <w:r>
        <w:rPr>
          <w:lang w:eastAsia="zh-CN"/>
        </w:rPr>
        <w:t xml:space="preserve"> </w:t>
      </w:r>
      <w:hyperlink r:id="rId13">
        <w:r>
          <w:rPr>
            <w:lang w:eastAsia="zh-CN"/>
          </w:rPr>
          <w:t>HKEX--GL85-16</w:t>
        </w:r>
      </w:hyperlink>
      <w:r>
        <w:rPr>
          <w:lang w:eastAsia="zh-CN"/>
        </w:rPr>
        <w:t>第</w:t>
      </w:r>
      <w:r>
        <w:rPr>
          <w:lang w:eastAsia="zh-CN"/>
        </w:rPr>
        <w:t>4.20</w:t>
      </w:r>
      <w:r>
        <w:rPr>
          <w:lang w:eastAsia="zh-CN"/>
        </w:rPr>
        <w:t>条所述的「现有股东条件」</w:t>
      </w:r>
      <w:r>
        <w:rPr>
          <w:lang w:eastAsia="zh-CN"/>
        </w:rPr>
        <w:t>将不适用于特专科技公司。</w:t>
      </w:r>
      <w:r>
        <w:t>相应地：</w:t>
      </w:r>
    </w:p>
    <w:p w:rsidR="00B17C7F" w:rsidRDefault="0044492D">
      <w:pPr>
        <w:pStyle w:val="Compact"/>
        <w:numPr>
          <w:ilvl w:val="0"/>
          <w:numId w:val="17"/>
        </w:numPr>
        <w:rPr>
          <w:lang w:eastAsia="zh-CN"/>
        </w:rPr>
      </w:pPr>
      <w:r>
        <w:rPr>
          <w:lang w:eastAsia="zh-CN"/>
        </w:rPr>
        <w:t>在首次公开招股上市之前持有特专科技公司股份不足</w:t>
      </w:r>
      <w:r>
        <w:rPr>
          <w:lang w:eastAsia="zh-CN"/>
        </w:rPr>
        <w:t>10</w:t>
      </w:r>
      <w:r>
        <w:rPr>
          <w:lang w:eastAsia="zh-CN"/>
        </w:rPr>
        <w:t>％的现有股东，可以基础投资者或承配人的身份认购首次公开招股的股份。若现有股东作为承配人认购股份，申请人、其保荐人</w:t>
      </w:r>
      <w:r>
        <w:rPr>
          <w:lang w:eastAsia="zh-CN"/>
        </w:rPr>
        <w:lastRenderedPageBreak/>
        <w:t>及整体协调人须确认现有股东不会获得特别优待。若现有股东作为基础投资者认购股份，申请人及其保荐人必须确认，现有股东除按首次公开招股价格保证配发证券的特别优待外，概没有任何其他优待，且认购条款必须与其他基础投资者大致相同；及</w:t>
      </w:r>
    </w:p>
    <w:p w:rsidR="00B17C7F" w:rsidRDefault="0044492D">
      <w:pPr>
        <w:pStyle w:val="Compact"/>
        <w:numPr>
          <w:ilvl w:val="0"/>
          <w:numId w:val="17"/>
        </w:numPr>
        <w:rPr>
          <w:lang w:eastAsia="zh-CN"/>
        </w:rPr>
      </w:pPr>
      <w:r>
        <w:rPr>
          <w:lang w:eastAsia="zh-CN"/>
        </w:rPr>
        <w:t>于上市之前持有特专科技公司</w:t>
      </w:r>
      <w:r>
        <w:rPr>
          <w:lang w:eastAsia="zh-CN"/>
        </w:rPr>
        <w:t>10</w:t>
      </w:r>
      <w:r>
        <w:rPr>
          <w:lang w:eastAsia="zh-CN"/>
        </w:rPr>
        <w:t>％或以上股份的现有股东，可以基础投资者身份认购首次公开招股的股份</w:t>
      </w:r>
      <w:r>
        <w:rPr>
          <w:lang w:eastAsia="zh-CN"/>
        </w:rPr>
        <w:t>。</w:t>
      </w:r>
    </w:p>
    <w:p w:rsidR="00B17C7F" w:rsidRDefault="0044492D">
      <w:pPr>
        <w:pStyle w:val="FirstParagraph"/>
        <w:rPr>
          <w:lang w:eastAsia="zh-CN"/>
        </w:rPr>
      </w:pPr>
      <w:r>
        <w:rPr>
          <w:lang w:eastAsia="zh-CN"/>
        </w:rPr>
        <w:t>当向核心关连人士配股，特专科技公司将需提出申请，而香港交易所通常会授予香港交易所《上市规则》第</w:t>
      </w:r>
      <w:r>
        <w:rPr>
          <w:lang w:eastAsia="zh-CN"/>
        </w:rPr>
        <w:t>9.09</w:t>
      </w:r>
      <w:r>
        <w:rPr>
          <w:lang w:eastAsia="zh-CN"/>
        </w:rPr>
        <w:t>条的豁免。希望行使反摊薄合约权利的现有股东亦将被容许根据指引信</w:t>
      </w:r>
      <w:hyperlink r:id="rId14">
        <w:r>
          <w:rPr>
            <w:lang w:eastAsia="zh-CN"/>
          </w:rPr>
          <w:t>HKEX-GL43-12</w:t>
        </w:r>
      </w:hyperlink>
      <w:r>
        <w:rPr>
          <w:lang w:eastAsia="zh-CN"/>
        </w:rPr>
        <w:t>第</w:t>
      </w:r>
      <w:r>
        <w:rPr>
          <w:lang w:eastAsia="zh-CN"/>
        </w:rPr>
        <w:t>3.10</w:t>
      </w:r>
      <w:r>
        <w:rPr>
          <w:lang w:eastAsia="zh-CN"/>
        </w:rPr>
        <w:t>段认购首次公开招股的股份。香港交易所阐明，该等现有股东若符合公众持股量规定，向独立定价投</w:t>
      </w:r>
      <w:r>
        <w:rPr>
          <w:lang w:eastAsia="zh-CN"/>
        </w:rPr>
        <w:t>资者分配最少一定数量股份的规定以及最低自由流通量规定，或可认购更多股份以致其持股量水平超出其于首次公开招股之前持股量。</w:t>
      </w:r>
    </w:p>
    <w:p w:rsidR="00B17C7F" w:rsidRDefault="0044492D">
      <w:pPr>
        <w:pStyle w:val="BodyText"/>
        <w:rPr>
          <w:lang w:eastAsia="zh-CN"/>
        </w:rPr>
      </w:pPr>
      <w:r>
        <w:rPr>
          <w:lang w:eastAsia="zh-CN"/>
        </w:rPr>
        <w:t>首次公开招股后禁售期</w:t>
      </w:r>
    </w:p>
    <w:p w:rsidR="00B17C7F" w:rsidRDefault="0044492D">
      <w:pPr>
        <w:pStyle w:val="BodyText"/>
        <w:rPr>
          <w:lang w:eastAsia="zh-CN"/>
        </w:rPr>
      </w:pPr>
      <w:r>
        <w:rPr>
          <w:lang w:eastAsia="zh-CN"/>
        </w:rPr>
        <w:t>有关上市制度对以下对象施加首次公开招股后禁售期：</w:t>
      </w:r>
    </w:p>
    <w:p w:rsidR="00B17C7F" w:rsidRDefault="0044492D">
      <w:pPr>
        <w:pStyle w:val="Compact"/>
        <w:numPr>
          <w:ilvl w:val="0"/>
          <w:numId w:val="18"/>
        </w:numPr>
      </w:pPr>
      <w:r>
        <w:t>控股股东</w:t>
      </w:r>
    </w:p>
    <w:p w:rsidR="00B17C7F" w:rsidRDefault="0044492D">
      <w:pPr>
        <w:pStyle w:val="Compact"/>
        <w:numPr>
          <w:ilvl w:val="0"/>
          <w:numId w:val="18"/>
        </w:numPr>
        <w:rPr>
          <w:lang w:eastAsia="zh-CN"/>
        </w:rPr>
      </w:pPr>
      <w:r>
        <w:rPr>
          <w:lang w:eastAsia="zh-CN"/>
        </w:rPr>
        <w:t>关键人士（包括创办人，不同投票权受益人，执行董事及高级管理人员，及负责特专科技公司技术营运及／或特专科技产品研发的主要人员）（</w:t>
      </w:r>
      <w:r>
        <w:rPr>
          <w:b/>
          <w:lang w:eastAsia="zh-CN"/>
        </w:rPr>
        <w:t>关键人士</w:t>
      </w:r>
      <w:r>
        <w:rPr>
          <w:lang w:eastAsia="zh-CN"/>
        </w:rPr>
        <w:t>）；及</w:t>
      </w:r>
    </w:p>
    <w:p w:rsidR="00B17C7F" w:rsidRDefault="0044492D">
      <w:pPr>
        <w:pStyle w:val="Compact"/>
        <w:numPr>
          <w:ilvl w:val="0"/>
          <w:numId w:val="18"/>
        </w:numPr>
      </w:pPr>
      <w:r>
        <w:rPr>
          <w:lang w:eastAsia="zh-CN"/>
        </w:rPr>
        <w:t>领航资深独立投资者。</w:t>
      </w:r>
      <w:hyperlink w:anchor="footnote-598-23">
        <w:r>
          <w:rPr>
            <w:vertAlign w:val="superscript"/>
          </w:rPr>
          <w:t>23</w:t>
        </w:r>
      </w:hyperlink>
    </w:p>
    <w:p w:rsidR="00B17C7F" w:rsidRDefault="0044492D">
      <w:pPr>
        <w:pStyle w:val="FirstParagraph"/>
        <w:rPr>
          <w:lang w:eastAsia="zh-CN"/>
        </w:rPr>
      </w:pPr>
      <w:r>
        <w:rPr>
          <w:lang w:eastAsia="zh-CN"/>
        </w:rPr>
        <w:t>已商业化公司的控股股东须遵守为期</w:t>
      </w:r>
      <w:r>
        <w:rPr>
          <w:lang w:eastAsia="zh-CN"/>
        </w:rPr>
        <w:t>12</w:t>
      </w:r>
      <w:r>
        <w:rPr>
          <w:lang w:eastAsia="zh-CN"/>
        </w:rPr>
        <w:t>个月的禁售期规定，而未商业化公司的控股股东须遵守为期</w:t>
      </w:r>
      <w:r>
        <w:rPr>
          <w:lang w:eastAsia="zh-CN"/>
        </w:rPr>
        <w:t>24</w:t>
      </w:r>
      <w:r>
        <w:rPr>
          <w:lang w:eastAsia="zh-CN"/>
        </w:rPr>
        <w:t>个月的禁售期规定。</w:t>
      </w:r>
    </w:p>
    <w:p w:rsidR="00B17C7F" w:rsidRDefault="0044492D">
      <w:pPr>
        <w:pStyle w:val="BodyText"/>
        <w:rPr>
          <w:lang w:eastAsia="zh-CN"/>
        </w:rPr>
      </w:pPr>
      <w:r>
        <w:rPr>
          <w:lang w:eastAsia="zh-CN"/>
        </w:rPr>
        <w:t>已商业化公司的关键人士及其紧密联系人须遵守为期</w:t>
      </w:r>
      <w:r>
        <w:rPr>
          <w:lang w:eastAsia="zh-CN"/>
        </w:rPr>
        <w:t>12</w:t>
      </w:r>
      <w:r>
        <w:rPr>
          <w:lang w:eastAsia="zh-CN"/>
        </w:rPr>
        <w:t>个月的禁售期规定，而未商业化公司的关键人士及其紧密联系人须遵守为期</w:t>
      </w:r>
      <w:r>
        <w:rPr>
          <w:lang w:eastAsia="zh-CN"/>
        </w:rPr>
        <w:t>24</w:t>
      </w:r>
      <w:r>
        <w:rPr>
          <w:lang w:eastAsia="zh-CN"/>
        </w:rPr>
        <w:t>个月的禁售期规定。</w:t>
      </w:r>
    </w:p>
    <w:p w:rsidR="00B17C7F" w:rsidRDefault="0044492D">
      <w:pPr>
        <w:pStyle w:val="BodyText"/>
        <w:rPr>
          <w:lang w:eastAsia="zh-CN"/>
        </w:rPr>
      </w:pPr>
      <w:r>
        <w:rPr>
          <w:lang w:eastAsia="zh-CN"/>
        </w:rPr>
        <w:t>领航资深独立投资者在公司上市后</w:t>
      </w:r>
      <w:r>
        <w:rPr>
          <w:lang w:eastAsia="zh-CN"/>
        </w:rPr>
        <w:t>6</w:t>
      </w:r>
      <w:r>
        <w:rPr>
          <w:lang w:eastAsia="zh-CN"/>
        </w:rPr>
        <w:t>个月（如为已商业化公司）或</w:t>
      </w:r>
      <w:r>
        <w:rPr>
          <w:lang w:eastAsia="zh-CN"/>
        </w:rPr>
        <w:t>12</w:t>
      </w:r>
      <w:r>
        <w:rPr>
          <w:lang w:eastAsia="zh-CN"/>
        </w:rPr>
        <w:t>个月（如为未商业化公司）须遵守禁售规定。</w:t>
      </w:r>
    </w:p>
    <w:p w:rsidR="00B17C7F" w:rsidRDefault="0044492D">
      <w:pPr>
        <w:pStyle w:val="BodyText"/>
        <w:rPr>
          <w:lang w:eastAsia="zh-CN"/>
        </w:rPr>
      </w:pPr>
      <w:r>
        <w:rPr>
          <w:lang w:eastAsia="zh-CN"/>
        </w:rPr>
        <w:t>须遵守禁售规定的证券</w:t>
      </w:r>
    </w:p>
    <w:p w:rsidR="00B17C7F" w:rsidRDefault="0044492D">
      <w:pPr>
        <w:pStyle w:val="BodyText"/>
        <w:rPr>
          <w:lang w:eastAsia="zh-CN"/>
        </w:rPr>
      </w:pPr>
      <w:r>
        <w:rPr>
          <w:lang w:eastAsia="zh-CN"/>
        </w:rPr>
        <w:t>须遵守禁售规定的股东将仅需遵守有关该证券（有关上市文件中显示其由该等股东实益拥有）的出售限制规定。该等股东并不会被限制在上市之前出售其股份，亦不会被限制在首次公开招股中将其股份出售。仅由相关股东在上市后持有的证券须遵守禁售规定。</w:t>
      </w:r>
    </w:p>
    <w:p w:rsidR="00B17C7F" w:rsidRDefault="0044492D">
      <w:pPr>
        <w:pStyle w:val="BodyText"/>
        <w:rPr>
          <w:lang w:eastAsia="zh-CN"/>
        </w:rPr>
      </w:pPr>
      <w:r>
        <w:rPr>
          <w:lang w:eastAsia="zh-CN"/>
        </w:rPr>
        <w:t>须遵守禁售规定的股东亦将被容许在有关首次公开招股中购买额外证券，并在禁售期内予以出售，惟有关上市公司继续遵守香港交易所《上市规则》第</w:t>
      </w:r>
      <w:r>
        <w:rPr>
          <w:lang w:eastAsia="zh-CN"/>
        </w:rPr>
        <w:t>8.08</w:t>
      </w:r>
      <w:r>
        <w:rPr>
          <w:lang w:eastAsia="zh-CN"/>
        </w:rPr>
        <w:t>条规定，以维持公开证券市场及有足够的公众持股量。</w:t>
      </w:r>
    </w:p>
    <w:p w:rsidR="00B17C7F" w:rsidRDefault="0044492D">
      <w:pPr>
        <w:pStyle w:val="BodyText"/>
        <w:rPr>
          <w:lang w:eastAsia="zh-CN"/>
        </w:rPr>
      </w:pPr>
      <w:r>
        <w:rPr>
          <w:lang w:eastAsia="zh-CN"/>
        </w:rPr>
        <w:t>禁售期：视作出售证券</w:t>
      </w:r>
    </w:p>
    <w:p w:rsidR="00B17C7F" w:rsidRDefault="0044492D">
      <w:pPr>
        <w:pStyle w:val="BodyText"/>
        <w:rPr>
          <w:lang w:eastAsia="zh-CN"/>
        </w:rPr>
      </w:pPr>
      <w:r>
        <w:rPr>
          <w:lang w:eastAsia="zh-CN"/>
        </w:rPr>
        <w:t>须遵守禁售限制规定的任何人如因特专科技公司在禁售期内配发、授予或发行新</w:t>
      </w:r>
      <w:r>
        <w:rPr>
          <w:lang w:eastAsia="zh-CN"/>
        </w:rPr>
        <w:t>证券而被视作出售证券，均不会被视为违反禁售规定。</w:t>
      </w:r>
    </w:p>
    <w:p w:rsidR="00B17C7F" w:rsidRDefault="0044492D">
      <w:pPr>
        <w:pStyle w:val="BodyText"/>
        <w:rPr>
          <w:lang w:eastAsia="zh-CN"/>
        </w:rPr>
      </w:pPr>
      <w:r>
        <w:rPr>
          <w:lang w:eastAsia="zh-CN"/>
        </w:rPr>
        <w:t>禁售期：除去未商业化公司身份后的禁售期</w:t>
      </w:r>
    </w:p>
    <w:p w:rsidR="00B17C7F" w:rsidRDefault="0044492D">
      <w:pPr>
        <w:pStyle w:val="BodyText"/>
        <w:rPr>
          <w:lang w:eastAsia="zh-CN"/>
        </w:rPr>
      </w:pPr>
      <w:r>
        <w:rPr>
          <w:lang w:eastAsia="zh-CN"/>
        </w:rPr>
        <w:t>香港交易所已建议，任何在除去未商业化公司身份时有效的禁售期规定全部继续适用。经考虑咨询响应人士的意见，香港交易所已修订有关规定，订明若未商业化公司达到商业化收益门坎，禁售期可缩短至以下较后日期结束：</w:t>
      </w:r>
    </w:p>
    <w:p w:rsidR="00B17C7F" w:rsidRDefault="0044492D">
      <w:pPr>
        <w:pStyle w:val="Compact"/>
        <w:numPr>
          <w:ilvl w:val="0"/>
          <w:numId w:val="19"/>
        </w:numPr>
        <w:rPr>
          <w:lang w:eastAsia="zh-CN"/>
        </w:rPr>
      </w:pPr>
      <w:r>
        <w:rPr>
          <w:lang w:eastAsia="zh-CN"/>
        </w:rPr>
        <w:t>如果发行人当初是申请作为已商业化公司上市，其有关禁售期届满当日；及</w:t>
      </w:r>
    </w:p>
    <w:p w:rsidR="00B17C7F" w:rsidRDefault="0044492D">
      <w:pPr>
        <w:pStyle w:val="Compact"/>
        <w:numPr>
          <w:ilvl w:val="0"/>
          <w:numId w:val="19"/>
        </w:numPr>
      </w:pPr>
      <w:r>
        <w:rPr>
          <w:lang w:eastAsia="zh-CN"/>
        </w:rPr>
        <w:t>刊发有关除去未商业化公司身份的公告后的第</w:t>
      </w:r>
      <w:r>
        <w:rPr>
          <w:lang w:eastAsia="zh-CN"/>
        </w:rPr>
        <w:t xml:space="preserve"> 30 </w:t>
      </w:r>
      <w:r>
        <w:rPr>
          <w:lang w:eastAsia="zh-CN"/>
        </w:rPr>
        <w:t>天。</w:t>
      </w:r>
      <w:hyperlink w:anchor="footnote-598-24">
        <w:r>
          <w:rPr>
            <w:vertAlign w:val="superscript"/>
          </w:rPr>
          <w:t>24</w:t>
        </w:r>
      </w:hyperlink>
    </w:p>
    <w:p w:rsidR="00B17C7F" w:rsidRDefault="0044492D">
      <w:pPr>
        <w:pStyle w:val="FirstParagraph"/>
      </w:pPr>
      <w:r>
        <w:lastRenderedPageBreak/>
        <w:t>披露股权资料</w:t>
      </w:r>
    </w:p>
    <w:p w:rsidR="00B17C7F" w:rsidRDefault="0044492D">
      <w:pPr>
        <w:pStyle w:val="BodyText"/>
        <w:rPr>
          <w:lang w:eastAsia="zh-CN"/>
        </w:rPr>
      </w:pPr>
      <w:r>
        <w:rPr>
          <w:lang w:eastAsia="zh-CN"/>
        </w:rPr>
        <w:t>特专科</w:t>
      </w:r>
      <w:r>
        <w:rPr>
          <w:lang w:eastAsia="zh-CN"/>
        </w:rPr>
        <w:t>技公司必须在其上市文件中载列每名须遵守禁售规定的人士持有的其证券总数。</w:t>
      </w:r>
      <w:hyperlink w:anchor="footnote-598-25">
        <w:r>
          <w:rPr>
            <w:vertAlign w:val="superscript"/>
            <w:lang w:eastAsia="zh-CN"/>
          </w:rPr>
          <w:t>25</w:t>
        </w:r>
      </w:hyperlink>
    </w:p>
    <w:p w:rsidR="00B17C7F" w:rsidRDefault="0044492D">
      <w:pPr>
        <w:pStyle w:val="BodyText"/>
        <w:rPr>
          <w:lang w:eastAsia="zh-CN"/>
        </w:rPr>
      </w:pPr>
      <w:r>
        <w:rPr>
          <w:lang w:eastAsia="zh-CN"/>
        </w:rPr>
        <w:t>根据香港交易所《上市规则》第</w:t>
      </w:r>
      <w:r>
        <w:rPr>
          <w:lang w:eastAsia="zh-CN"/>
        </w:rPr>
        <w:t>18C.18</w:t>
      </w:r>
      <w:r>
        <w:rPr>
          <w:lang w:eastAsia="zh-CN"/>
        </w:rPr>
        <w:t>条，特专科技公司必须根据可以取得的公开资料或公司董事以其他方式所知悉的数据于最后实际可行日期（在该报告签发日期之前）在其中期报告及年报中披露每名须遵守禁售规定的人士持有的证券总数只要相关人士仍是股东，此项披露须持续进行。</w:t>
      </w:r>
    </w:p>
    <w:p w:rsidR="00B17C7F" w:rsidRDefault="0044492D">
      <w:pPr>
        <w:pStyle w:val="BodyText"/>
        <w:rPr>
          <w:lang w:eastAsia="zh-CN"/>
        </w:rPr>
      </w:pPr>
      <w:r>
        <w:rPr>
          <w:lang w:eastAsia="zh-CN"/>
        </w:rPr>
        <w:t>另外，特专科技公司必须于最后实际可行日期（在相关报告签发之前）披露每名须遵守禁售规定的人士（被该公</w:t>
      </w:r>
      <w:r>
        <w:rPr>
          <w:lang w:eastAsia="zh-CN"/>
        </w:rPr>
        <w:t>司雇佣）持有的该发生人证券总数。</w:t>
      </w:r>
      <w:hyperlink w:anchor="footnote-598-26">
        <w:r>
          <w:rPr>
            <w:vertAlign w:val="superscript"/>
            <w:lang w:eastAsia="zh-CN"/>
          </w:rPr>
          <w:t>26</w:t>
        </w:r>
      </w:hyperlink>
    </w:p>
    <w:p w:rsidR="00B17C7F" w:rsidRDefault="0044492D">
      <w:pPr>
        <w:pStyle w:val="BodyText"/>
        <w:rPr>
          <w:lang w:eastAsia="zh-CN"/>
        </w:rPr>
      </w:pPr>
      <w:r>
        <w:rPr>
          <w:lang w:eastAsia="zh-CN"/>
        </w:rPr>
        <w:t>未商业化公司的附加持续责任</w:t>
      </w:r>
    </w:p>
    <w:p w:rsidR="00B17C7F" w:rsidRDefault="0044492D">
      <w:pPr>
        <w:pStyle w:val="BodyText"/>
      </w:pPr>
      <w:r>
        <w:rPr>
          <w:lang w:eastAsia="zh-CN"/>
        </w:rPr>
        <w:t>未商业化公司在达致商业化收益门坎之前将承担若干额外持续责任。</w:t>
      </w:r>
      <w:r>
        <w:t>其中包括：</w:t>
      </w:r>
    </w:p>
    <w:p w:rsidR="00B17C7F" w:rsidRDefault="0044492D">
      <w:pPr>
        <w:pStyle w:val="Compact"/>
        <w:numPr>
          <w:ilvl w:val="0"/>
          <w:numId w:val="20"/>
        </w:numPr>
        <w:rPr>
          <w:lang w:eastAsia="zh-CN"/>
        </w:rPr>
      </w:pPr>
      <w:r>
        <w:rPr>
          <w:lang w:eastAsia="zh-CN"/>
        </w:rPr>
        <w:t>在其中期报告及年报内披露报告所述期间进行的研发及商业化活动的详情的责任，包括：</w:t>
      </w:r>
    </w:p>
    <w:p w:rsidR="00B17C7F" w:rsidRDefault="0044492D">
      <w:pPr>
        <w:pStyle w:val="Compact"/>
        <w:numPr>
          <w:ilvl w:val="1"/>
          <w:numId w:val="21"/>
        </w:numPr>
        <w:rPr>
          <w:lang w:eastAsia="zh-CN"/>
        </w:rPr>
      </w:pPr>
      <w:r>
        <w:rPr>
          <w:lang w:eastAsia="zh-CN"/>
        </w:rPr>
        <w:t>开发中的公司特专科技产品的开发进度详情；</w:t>
      </w:r>
    </w:p>
    <w:p w:rsidR="00B17C7F" w:rsidRDefault="0044492D">
      <w:pPr>
        <w:pStyle w:val="Compact"/>
        <w:numPr>
          <w:ilvl w:val="1"/>
          <w:numId w:val="21"/>
        </w:numPr>
        <w:rPr>
          <w:lang w:eastAsia="zh-CN"/>
        </w:rPr>
      </w:pPr>
      <w:r>
        <w:rPr>
          <w:lang w:eastAsia="zh-CN"/>
        </w:rPr>
        <w:t>达到商业化收益门坎的预期时间表及任何进展情况；</w:t>
      </w:r>
    </w:p>
    <w:p w:rsidR="00B17C7F" w:rsidRDefault="0044492D">
      <w:pPr>
        <w:pStyle w:val="Compact"/>
        <w:numPr>
          <w:ilvl w:val="1"/>
          <w:numId w:val="21"/>
        </w:numPr>
        <w:rPr>
          <w:lang w:eastAsia="zh-CN"/>
        </w:rPr>
      </w:pPr>
      <w:r>
        <w:rPr>
          <w:lang w:eastAsia="zh-CN"/>
        </w:rPr>
        <w:t>上市文件中提供的任何收益、盈利及其他业务和财务估计的数据更新、以及未商业化公司就该等估计刊发的任何后续更新；</w:t>
      </w:r>
    </w:p>
    <w:p w:rsidR="00B17C7F" w:rsidRDefault="0044492D">
      <w:pPr>
        <w:pStyle w:val="Compact"/>
        <w:numPr>
          <w:ilvl w:val="1"/>
          <w:numId w:val="21"/>
        </w:numPr>
        <w:rPr>
          <w:lang w:eastAsia="zh-CN"/>
        </w:rPr>
      </w:pPr>
      <w:r>
        <w:rPr>
          <w:lang w:eastAsia="zh-CN"/>
        </w:rPr>
        <w:t>其研发活动的开支概</w:t>
      </w:r>
      <w:r>
        <w:rPr>
          <w:lang w:eastAsia="zh-CN"/>
        </w:rPr>
        <w:t>要；及</w:t>
      </w:r>
    </w:p>
    <w:p w:rsidR="00B17C7F" w:rsidRDefault="0044492D">
      <w:pPr>
        <w:pStyle w:val="Compact"/>
        <w:numPr>
          <w:ilvl w:val="1"/>
          <w:numId w:val="21"/>
        </w:numPr>
        <w:rPr>
          <w:lang w:eastAsia="zh-CN"/>
        </w:rPr>
      </w:pPr>
      <w:r>
        <w:rPr>
          <w:lang w:eastAsia="zh-CN"/>
        </w:rPr>
        <w:t>在显眼位置作出示警，声明有关公司不一定能够达到相关商业化收益门坎。</w:t>
      </w:r>
    </w:p>
    <w:p w:rsidR="00B17C7F" w:rsidRDefault="0044492D">
      <w:pPr>
        <w:pStyle w:val="Compact"/>
        <w:numPr>
          <w:ilvl w:val="0"/>
          <w:numId w:val="20"/>
        </w:numPr>
        <w:rPr>
          <w:lang w:eastAsia="zh-CN"/>
        </w:rPr>
      </w:pPr>
      <w:r>
        <w:rPr>
          <w:lang w:eastAsia="zh-CN"/>
        </w:rPr>
        <w:t>上市之前重新符合须有足够业务运作规定的补救期为</w:t>
      </w:r>
      <w:r>
        <w:rPr>
          <w:lang w:eastAsia="zh-CN"/>
        </w:rPr>
        <w:t xml:space="preserve">12 </w:t>
      </w:r>
      <w:r>
        <w:rPr>
          <w:lang w:eastAsia="zh-CN"/>
        </w:rPr>
        <w:t>个月（而非通常的</w:t>
      </w:r>
      <w:r>
        <w:rPr>
          <w:lang w:eastAsia="zh-CN"/>
        </w:rPr>
        <w:t>18</w:t>
      </w:r>
      <w:r>
        <w:rPr>
          <w:lang w:eastAsia="zh-CN"/>
        </w:rPr>
        <w:t>个月）；</w:t>
      </w:r>
    </w:p>
    <w:p w:rsidR="00B17C7F" w:rsidRDefault="0044492D">
      <w:pPr>
        <w:pStyle w:val="Compact"/>
        <w:numPr>
          <w:ilvl w:val="0"/>
          <w:numId w:val="20"/>
        </w:numPr>
        <w:rPr>
          <w:lang w:eastAsia="zh-CN"/>
        </w:rPr>
      </w:pPr>
      <w:r>
        <w:rPr>
          <w:lang w:eastAsia="zh-CN"/>
        </w:rPr>
        <w:t>未得香港交易所事先同意，限制进行会使主营业务出现重大变动的交易；及</w:t>
      </w:r>
    </w:p>
    <w:p w:rsidR="00B17C7F" w:rsidRDefault="0044492D">
      <w:pPr>
        <w:pStyle w:val="Compact"/>
        <w:numPr>
          <w:ilvl w:val="0"/>
          <w:numId w:val="20"/>
        </w:numPr>
        <w:rPr>
          <w:lang w:eastAsia="zh-CN"/>
        </w:rPr>
      </w:pPr>
      <w:r>
        <w:rPr>
          <w:lang w:eastAsia="zh-CN"/>
        </w:rPr>
        <w:t>在其股份名称结尾加上的股份标记「</w:t>
      </w:r>
      <w:r>
        <w:rPr>
          <w:lang w:eastAsia="zh-CN"/>
        </w:rPr>
        <w:t>PC</w:t>
      </w:r>
      <w:r>
        <w:rPr>
          <w:lang w:eastAsia="zh-CN"/>
        </w:rPr>
        <w:t>」。</w:t>
      </w:r>
    </w:p>
    <w:p w:rsidR="00B17C7F" w:rsidRDefault="0044492D">
      <w:pPr>
        <w:pStyle w:val="FirstParagraph"/>
        <w:rPr>
          <w:lang w:eastAsia="zh-CN"/>
        </w:rPr>
      </w:pPr>
      <w:r>
        <w:rPr>
          <w:lang w:eastAsia="zh-CN"/>
        </w:rPr>
        <w:t>除去未商业化公司身份</w:t>
      </w:r>
    </w:p>
    <w:p w:rsidR="00B17C7F" w:rsidRDefault="0044492D">
      <w:pPr>
        <w:pStyle w:val="BodyText"/>
        <w:rPr>
          <w:lang w:eastAsia="zh-CN"/>
        </w:rPr>
      </w:pPr>
      <w:r>
        <w:rPr>
          <w:lang w:eastAsia="zh-CN"/>
        </w:rPr>
        <w:t>未商业化公司若能够向香港交易所证明其符合有关商业化收益门坎或至少一项主板财务资格测试，其额外持续责任即不再适用。未商业化公司将须向香港交易所申请除去其未商业化公司身份，且其提出申请时必须呈递其已刊发之经审计财务报表作证。特专科技公司须在收到香港交易所确认其不再属未商业化公司的通知后在切实可行的范围内尽快刊发公告，公布有关其除去未商业化公司的身份之事宜以及相关股东的禁售期的终结之日。</w:t>
      </w:r>
    </w:p>
    <w:p w:rsidR="00B17C7F" w:rsidRDefault="0044492D">
      <w:pPr>
        <w:pStyle w:val="BodyText"/>
        <w:rPr>
          <w:lang w:eastAsia="zh-CN"/>
        </w:rPr>
      </w:pPr>
      <w:hyperlink w:anchor="footnote-598-1-backlink">
        <w:r>
          <w:rPr>
            <w:lang w:eastAsia="zh-CN"/>
          </w:rPr>
          <w:t>1</w:t>
        </w:r>
      </w:hyperlink>
      <w:r>
        <w:rPr>
          <w:lang w:eastAsia="zh-CN"/>
        </w:rPr>
        <w:t xml:space="preserve"> </w:t>
      </w:r>
      <w:r>
        <w:rPr>
          <w:lang w:eastAsia="zh-CN"/>
        </w:rPr>
        <w:t>研发开支比率按以下方法计算：在</w:t>
      </w:r>
      <w:r>
        <w:rPr>
          <w:lang w:eastAsia="zh-CN"/>
        </w:rPr>
        <w:t>有关期间产生的申请人特专科技产品研发开支总额除以同期的总营运开支。</w:t>
      </w:r>
    </w:p>
    <w:p w:rsidR="00B17C7F" w:rsidRDefault="0044492D">
      <w:pPr>
        <w:pStyle w:val="BodyText"/>
        <w:rPr>
          <w:lang w:eastAsia="zh-CN"/>
        </w:rPr>
      </w:pPr>
      <w:hyperlink w:anchor="footnote-598-2-backlink">
        <w:r>
          <w:rPr>
            <w:lang w:eastAsia="zh-CN"/>
          </w:rPr>
          <w:t>2</w:t>
        </w:r>
      </w:hyperlink>
      <w:r>
        <w:rPr>
          <w:lang w:eastAsia="zh-CN"/>
        </w:rPr>
        <w:t xml:space="preserve"> </w:t>
      </w:r>
      <w:r>
        <w:rPr>
          <w:lang w:eastAsia="zh-CN"/>
        </w:rPr>
        <w:t>有关特专科技公司的指引信</w:t>
      </w:r>
      <w:r>
        <w:rPr>
          <w:lang w:eastAsia="zh-CN"/>
        </w:rPr>
        <w:t>HKEX-GL115-23</w:t>
      </w:r>
      <w:r>
        <w:rPr>
          <w:lang w:eastAsia="zh-CN"/>
        </w:rPr>
        <w:t>第</w:t>
      </w:r>
      <w:r>
        <w:rPr>
          <w:lang w:eastAsia="zh-CN"/>
        </w:rPr>
        <w:t>7</w:t>
      </w:r>
      <w:r>
        <w:rPr>
          <w:lang w:eastAsia="zh-CN"/>
        </w:rPr>
        <w:t>段</w:t>
      </w:r>
    </w:p>
    <w:p w:rsidR="00B17C7F" w:rsidRDefault="0044492D">
      <w:pPr>
        <w:pStyle w:val="BodyText"/>
        <w:rPr>
          <w:lang w:eastAsia="zh-CN"/>
        </w:rPr>
      </w:pPr>
      <w:hyperlink w:anchor="footnote-598-3-backlink">
        <w:r>
          <w:rPr>
            <w:lang w:eastAsia="zh-CN"/>
          </w:rPr>
          <w:t>3</w:t>
        </w:r>
      </w:hyperlink>
      <w:r>
        <w:rPr>
          <w:lang w:eastAsia="zh-CN"/>
        </w:rPr>
        <w:t xml:space="preserve"> </w:t>
      </w:r>
      <w:r>
        <w:rPr>
          <w:lang w:eastAsia="zh-CN"/>
        </w:rPr>
        <w:t>有关特专科技公司的指引信</w:t>
      </w:r>
      <w:r>
        <w:rPr>
          <w:lang w:eastAsia="zh-CN"/>
        </w:rPr>
        <w:t>HKEX-GL115-23</w:t>
      </w:r>
      <w:r>
        <w:rPr>
          <w:lang w:eastAsia="zh-CN"/>
        </w:rPr>
        <w:t>第</w:t>
      </w:r>
      <w:r>
        <w:rPr>
          <w:lang w:eastAsia="zh-CN"/>
        </w:rPr>
        <w:t>9</w:t>
      </w:r>
      <w:r>
        <w:rPr>
          <w:lang w:eastAsia="zh-CN"/>
        </w:rPr>
        <w:t>段</w:t>
      </w:r>
    </w:p>
    <w:p w:rsidR="00B17C7F" w:rsidRDefault="0044492D">
      <w:pPr>
        <w:pStyle w:val="BodyText"/>
        <w:rPr>
          <w:lang w:eastAsia="zh-CN"/>
        </w:rPr>
      </w:pPr>
      <w:hyperlink w:anchor="footnote-598-4-backlink">
        <w:r>
          <w:rPr>
            <w:lang w:eastAsia="zh-CN"/>
          </w:rPr>
          <w:t>4</w:t>
        </w:r>
      </w:hyperlink>
      <w:r>
        <w:rPr>
          <w:lang w:eastAsia="zh-CN"/>
        </w:rPr>
        <w:t xml:space="preserve"> </w:t>
      </w:r>
      <w:r>
        <w:rPr>
          <w:lang w:eastAsia="zh-CN"/>
        </w:rPr>
        <w:t>有关特专科技公司的指引信</w:t>
      </w:r>
      <w:r>
        <w:rPr>
          <w:lang w:eastAsia="zh-CN"/>
        </w:rPr>
        <w:t>HKEX-GL1</w:t>
      </w:r>
      <w:r>
        <w:rPr>
          <w:lang w:eastAsia="zh-CN"/>
        </w:rPr>
        <w:t>15-23</w:t>
      </w:r>
      <w:r>
        <w:rPr>
          <w:lang w:eastAsia="zh-CN"/>
        </w:rPr>
        <w:t>第</w:t>
      </w:r>
      <w:r>
        <w:rPr>
          <w:lang w:eastAsia="zh-CN"/>
        </w:rPr>
        <w:t>10</w:t>
      </w:r>
      <w:r>
        <w:rPr>
          <w:lang w:eastAsia="zh-CN"/>
        </w:rPr>
        <w:t>段</w:t>
      </w:r>
    </w:p>
    <w:p w:rsidR="00B17C7F" w:rsidRDefault="0044492D">
      <w:pPr>
        <w:pStyle w:val="BodyText"/>
        <w:rPr>
          <w:lang w:eastAsia="zh-CN"/>
        </w:rPr>
      </w:pPr>
      <w:hyperlink w:anchor="footnote-598-5-backlink">
        <w:r>
          <w:rPr>
            <w:lang w:eastAsia="zh-CN"/>
          </w:rPr>
          <w:t>5</w:t>
        </w:r>
      </w:hyperlink>
      <w:r>
        <w:rPr>
          <w:lang w:eastAsia="zh-CN"/>
        </w:rPr>
        <w:t xml:space="preserve"> </w:t>
      </w:r>
      <w:r>
        <w:rPr>
          <w:lang w:eastAsia="zh-CN"/>
        </w:rPr>
        <w:t>有关特专科技公司的指引信</w:t>
      </w:r>
      <w:r>
        <w:rPr>
          <w:lang w:eastAsia="zh-CN"/>
        </w:rPr>
        <w:t>HKEX-GL115-23</w:t>
      </w:r>
      <w:r>
        <w:rPr>
          <w:lang w:eastAsia="zh-CN"/>
        </w:rPr>
        <w:t>第</w:t>
      </w:r>
      <w:r>
        <w:rPr>
          <w:lang w:eastAsia="zh-CN"/>
        </w:rPr>
        <w:t>16</w:t>
      </w:r>
      <w:r>
        <w:rPr>
          <w:lang w:eastAsia="zh-CN"/>
        </w:rPr>
        <w:t>段</w:t>
      </w:r>
    </w:p>
    <w:p w:rsidR="00B17C7F" w:rsidRDefault="0044492D">
      <w:pPr>
        <w:pStyle w:val="BodyText"/>
        <w:rPr>
          <w:lang w:eastAsia="zh-CN"/>
        </w:rPr>
      </w:pPr>
      <w:hyperlink w:anchor="footnote-598-6-backlink">
        <w:r>
          <w:rPr>
            <w:lang w:eastAsia="zh-CN"/>
          </w:rPr>
          <w:t>6</w:t>
        </w:r>
      </w:hyperlink>
      <w:r>
        <w:rPr>
          <w:lang w:eastAsia="zh-CN"/>
        </w:rPr>
        <w:t xml:space="preserve"> </w:t>
      </w:r>
      <w:r>
        <w:rPr>
          <w:lang w:eastAsia="zh-CN"/>
        </w:rPr>
        <w:t>香港交易所《上市规则》第</w:t>
      </w:r>
      <w:r>
        <w:rPr>
          <w:lang w:eastAsia="zh-CN"/>
        </w:rPr>
        <w:t>18C.03(4)</w:t>
      </w:r>
      <w:r>
        <w:rPr>
          <w:lang w:eastAsia="zh-CN"/>
        </w:rPr>
        <w:t>条</w:t>
      </w:r>
    </w:p>
    <w:p w:rsidR="00B17C7F" w:rsidRDefault="0044492D">
      <w:pPr>
        <w:pStyle w:val="BodyText"/>
        <w:rPr>
          <w:lang w:eastAsia="zh-CN"/>
        </w:rPr>
      </w:pPr>
      <w:hyperlink w:anchor="footnote-598-7-backlink">
        <w:r>
          <w:rPr>
            <w:lang w:eastAsia="zh-CN"/>
          </w:rPr>
          <w:t>7</w:t>
        </w:r>
      </w:hyperlink>
      <w:r>
        <w:rPr>
          <w:lang w:eastAsia="zh-CN"/>
        </w:rPr>
        <w:t xml:space="preserve"> </w:t>
      </w:r>
      <w:r>
        <w:rPr>
          <w:lang w:eastAsia="zh-CN"/>
        </w:rPr>
        <w:t>有关特专科技公司的指引信</w:t>
      </w:r>
      <w:r>
        <w:rPr>
          <w:lang w:eastAsia="zh-CN"/>
        </w:rPr>
        <w:t>HKEX-GL115-23</w:t>
      </w:r>
      <w:r>
        <w:rPr>
          <w:lang w:eastAsia="zh-CN"/>
        </w:rPr>
        <w:t>第</w:t>
      </w:r>
      <w:r>
        <w:rPr>
          <w:lang w:eastAsia="zh-CN"/>
        </w:rPr>
        <w:t>19(c)</w:t>
      </w:r>
      <w:r>
        <w:rPr>
          <w:lang w:eastAsia="zh-CN"/>
        </w:rPr>
        <w:t>段</w:t>
      </w:r>
    </w:p>
    <w:p w:rsidR="00B17C7F" w:rsidRDefault="0044492D">
      <w:pPr>
        <w:pStyle w:val="BodyText"/>
        <w:rPr>
          <w:lang w:eastAsia="zh-CN"/>
        </w:rPr>
      </w:pPr>
      <w:hyperlink w:anchor="footnote-598-8-backlink">
        <w:r>
          <w:rPr>
            <w:lang w:eastAsia="zh-CN"/>
          </w:rPr>
          <w:t>8</w:t>
        </w:r>
      </w:hyperlink>
      <w:r>
        <w:rPr>
          <w:lang w:eastAsia="zh-CN"/>
        </w:rPr>
        <w:t xml:space="preserve"> </w:t>
      </w:r>
      <w:r>
        <w:rPr>
          <w:lang w:eastAsia="zh-CN"/>
        </w:rPr>
        <w:t>香港交易所《上市规则》第</w:t>
      </w:r>
      <w:r>
        <w:rPr>
          <w:lang w:eastAsia="zh-CN"/>
        </w:rPr>
        <w:t xml:space="preserve">18C.04(2)(b) </w:t>
      </w:r>
      <w:r>
        <w:rPr>
          <w:lang w:eastAsia="zh-CN"/>
        </w:rPr>
        <w:t>条</w:t>
      </w:r>
    </w:p>
    <w:p w:rsidR="00B17C7F" w:rsidRDefault="0044492D">
      <w:pPr>
        <w:pStyle w:val="BodyText"/>
      </w:pPr>
      <w:hyperlink w:anchor="footnote-598-9-backlink">
        <w:r>
          <w:t>9</w:t>
        </w:r>
      </w:hyperlink>
      <w:r>
        <w:t xml:space="preserve"> </w:t>
      </w:r>
      <w:r>
        <w:t>有关特专科技公司的指引信</w:t>
      </w:r>
      <w:r>
        <w:t>HKEX-GL115-23</w:t>
      </w:r>
      <w:r>
        <w:t>第</w:t>
      </w:r>
      <w:r>
        <w:t>19(b)</w:t>
      </w:r>
      <w:r>
        <w:t>段</w:t>
      </w:r>
    </w:p>
    <w:p w:rsidR="00B17C7F" w:rsidRDefault="0044492D">
      <w:pPr>
        <w:pStyle w:val="BodyText"/>
      </w:pPr>
      <w:hyperlink w:anchor="footnote-598-10-backlink">
        <w:r>
          <w:t>10</w:t>
        </w:r>
      </w:hyperlink>
      <w:r>
        <w:t xml:space="preserve"> </w:t>
      </w:r>
      <w:r>
        <w:t>有关特专科技公司的指引信</w:t>
      </w:r>
      <w:r>
        <w:t>HKEX-GL115-23</w:t>
      </w:r>
      <w:r>
        <w:t>第</w:t>
      </w:r>
      <w:r>
        <w:t>37(a)</w:t>
      </w:r>
      <w:r>
        <w:t>段</w:t>
      </w:r>
    </w:p>
    <w:p w:rsidR="00B17C7F" w:rsidRDefault="0044492D">
      <w:pPr>
        <w:pStyle w:val="BodyText"/>
      </w:pPr>
      <w:hyperlink w:anchor="footnote-598-11-backlink">
        <w:r>
          <w:t>11</w:t>
        </w:r>
      </w:hyperlink>
      <w:r>
        <w:t xml:space="preserve"> </w:t>
      </w:r>
      <w:r>
        <w:t>有关特专科技公司的指引信</w:t>
      </w:r>
      <w:r>
        <w:t>HKEX-GL115-23</w:t>
      </w:r>
      <w:r>
        <w:t>第</w:t>
      </w:r>
      <w:r>
        <w:t>40</w:t>
      </w:r>
      <w:r>
        <w:t>段</w:t>
      </w:r>
    </w:p>
    <w:p w:rsidR="00B17C7F" w:rsidRDefault="0044492D">
      <w:pPr>
        <w:pStyle w:val="BodyText"/>
      </w:pPr>
      <w:hyperlink w:anchor="footnote-598-12-backlink">
        <w:r>
          <w:t>12</w:t>
        </w:r>
      </w:hyperlink>
      <w:r>
        <w:t xml:space="preserve"> </w:t>
      </w:r>
      <w:r>
        <w:t>有关特专科技公司的指引信</w:t>
      </w:r>
      <w:r>
        <w:t>HKEX-GL115-23</w:t>
      </w:r>
      <w:r>
        <w:t>第</w:t>
      </w:r>
      <w:r>
        <w:t>29</w:t>
      </w:r>
      <w:r>
        <w:t>段</w:t>
      </w:r>
    </w:p>
    <w:p w:rsidR="00B17C7F" w:rsidRDefault="0044492D">
      <w:pPr>
        <w:pStyle w:val="BodyText"/>
        <w:rPr>
          <w:lang w:eastAsia="zh-CN"/>
        </w:rPr>
      </w:pPr>
      <w:hyperlink w:anchor="footnote-598-13-backlink">
        <w:r>
          <w:rPr>
            <w:lang w:eastAsia="zh-CN"/>
          </w:rPr>
          <w:t>13</w:t>
        </w:r>
      </w:hyperlink>
      <w:r>
        <w:rPr>
          <w:lang w:eastAsia="zh-CN"/>
        </w:rPr>
        <w:t xml:space="preserve"> </w:t>
      </w:r>
      <w:r>
        <w:rPr>
          <w:lang w:eastAsia="zh-CN"/>
        </w:rPr>
        <w:t>「投资组合」的定义为投资者对获投资公司的总投资金额（按现行会计准则厘定）。</w:t>
      </w:r>
    </w:p>
    <w:p w:rsidR="00B17C7F" w:rsidRDefault="0044492D">
      <w:pPr>
        <w:pStyle w:val="BodyText"/>
        <w:rPr>
          <w:lang w:eastAsia="zh-CN"/>
        </w:rPr>
      </w:pPr>
      <w:hyperlink w:anchor="footnote-598-14-backlink">
        <w:r>
          <w:rPr>
            <w:lang w:eastAsia="zh-CN"/>
          </w:rPr>
          <w:t>14</w:t>
        </w:r>
      </w:hyperlink>
      <w:r>
        <w:rPr>
          <w:lang w:eastAsia="zh-CN"/>
        </w:rPr>
        <w:t xml:space="preserve"> </w:t>
      </w:r>
      <w:r>
        <w:rPr>
          <w:lang w:eastAsia="zh-CN"/>
        </w:rPr>
        <w:t>香港交易所《上市规则》第</w:t>
      </w:r>
      <w:r>
        <w:rPr>
          <w:lang w:eastAsia="zh-CN"/>
        </w:rPr>
        <w:t>18C.06</w:t>
      </w:r>
      <w:r>
        <w:rPr>
          <w:lang w:eastAsia="zh-CN"/>
        </w:rPr>
        <w:t>条</w:t>
      </w:r>
    </w:p>
    <w:p w:rsidR="00B17C7F" w:rsidRDefault="0044492D">
      <w:pPr>
        <w:pStyle w:val="BodyText"/>
        <w:rPr>
          <w:lang w:eastAsia="zh-CN"/>
        </w:rPr>
      </w:pPr>
      <w:hyperlink w:anchor="footnote-598-15-backlink">
        <w:r>
          <w:rPr>
            <w:lang w:eastAsia="zh-CN"/>
          </w:rPr>
          <w:t>15</w:t>
        </w:r>
      </w:hyperlink>
      <w:r>
        <w:rPr>
          <w:lang w:eastAsia="zh-CN"/>
        </w:rPr>
        <w:t xml:space="preserve"> </w:t>
      </w:r>
      <w:r>
        <w:rPr>
          <w:lang w:eastAsia="zh-CN"/>
        </w:rPr>
        <w:t>有关特专科技公司的指引信</w:t>
      </w:r>
      <w:r>
        <w:rPr>
          <w:lang w:eastAsia="zh-CN"/>
        </w:rPr>
        <w:t>HKEX-GL115-23</w:t>
      </w:r>
      <w:r>
        <w:rPr>
          <w:lang w:eastAsia="zh-CN"/>
        </w:rPr>
        <w:t>第</w:t>
      </w:r>
      <w:r>
        <w:rPr>
          <w:lang w:eastAsia="zh-CN"/>
        </w:rPr>
        <w:t>49</w:t>
      </w:r>
      <w:r>
        <w:rPr>
          <w:lang w:eastAsia="zh-CN"/>
        </w:rPr>
        <w:t>段</w:t>
      </w:r>
    </w:p>
    <w:p w:rsidR="00B17C7F" w:rsidRDefault="0044492D">
      <w:pPr>
        <w:pStyle w:val="BodyText"/>
        <w:rPr>
          <w:lang w:eastAsia="zh-CN"/>
        </w:rPr>
      </w:pPr>
      <w:hyperlink w:anchor="footnote-598-16-backlink">
        <w:r>
          <w:rPr>
            <w:lang w:eastAsia="zh-CN"/>
          </w:rPr>
          <w:t>16</w:t>
        </w:r>
      </w:hyperlink>
      <w:r>
        <w:rPr>
          <w:lang w:eastAsia="zh-CN"/>
        </w:rPr>
        <w:t xml:space="preserve"> </w:t>
      </w:r>
      <w:r>
        <w:rPr>
          <w:lang w:eastAsia="zh-CN"/>
        </w:rPr>
        <w:t>香港交易所《上市规则》第</w:t>
      </w:r>
      <w:r>
        <w:rPr>
          <w:lang w:eastAsia="zh-CN"/>
        </w:rPr>
        <w:t>18C.07</w:t>
      </w:r>
      <w:r>
        <w:rPr>
          <w:lang w:eastAsia="zh-CN"/>
        </w:rPr>
        <w:t>条</w:t>
      </w:r>
    </w:p>
    <w:p w:rsidR="00B17C7F" w:rsidRDefault="0044492D">
      <w:pPr>
        <w:pStyle w:val="BodyText"/>
        <w:rPr>
          <w:lang w:eastAsia="zh-CN"/>
        </w:rPr>
      </w:pPr>
      <w:hyperlink w:anchor="footnote-598-17-backlink">
        <w:r>
          <w:rPr>
            <w:lang w:eastAsia="zh-CN"/>
          </w:rPr>
          <w:t>17</w:t>
        </w:r>
      </w:hyperlink>
      <w:r>
        <w:rPr>
          <w:lang w:eastAsia="zh-CN"/>
        </w:rPr>
        <w:t xml:space="preserve"> </w:t>
      </w:r>
      <w:r>
        <w:rPr>
          <w:lang w:eastAsia="zh-CN"/>
        </w:rPr>
        <w:t>有关特专科技公司的指引信</w:t>
      </w:r>
      <w:r>
        <w:rPr>
          <w:lang w:eastAsia="zh-CN"/>
        </w:rPr>
        <w:t>H</w:t>
      </w:r>
      <w:r>
        <w:rPr>
          <w:lang w:eastAsia="zh-CN"/>
        </w:rPr>
        <w:t>KEX-GL115-23</w:t>
      </w:r>
      <w:r>
        <w:rPr>
          <w:lang w:eastAsia="zh-CN"/>
        </w:rPr>
        <w:t>第</w:t>
      </w:r>
      <w:r>
        <w:rPr>
          <w:lang w:eastAsia="zh-CN"/>
        </w:rPr>
        <w:t>19(a)</w:t>
      </w:r>
      <w:r>
        <w:rPr>
          <w:lang w:eastAsia="zh-CN"/>
        </w:rPr>
        <w:t>段</w:t>
      </w:r>
    </w:p>
    <w:p w:rsidR="00B17C7F" w:rsidRDefault="0044492D">
      <w:pPr>
        <w:pStyle w:val="BodyText"/>
        <w:rPr>
          <w:lang w:eastAsia="zh-CN"/>
        </w:rPr>
      </w:pPr>
      <w:hyperlink w:anchor="footnote-598-18-backlink">
        <w:r>
          <w:rPr>
            <w:lang w:eastAsia="zh-CN"/>
          </w:rPr>
          <w:t>18</w:t>
        </w:r>
      </w:hyperlink>
      <w:r>
        <w:rPr>
          <w:lang w:eastAsia="zh-CN"/>
        </w:rPr>
        <w:t xml:space="preserve"> </w:t>
      </w:r>
      <w:r>
        <w:rPr>
          <w:lang w:eastAsia="zh-CN"/>
        </w:rPr>
        <w:t>香港交易所《上市规则》第</w:t>
      </w:r>
      <w:r>
        <w:rPr>
          <w:lang w:eastAsia="zh-CN"/>
        </w:rPr>
        <w:t>8A.06</w:t>
      </w:r>
      <w:r>
        <w:rPr>
          <w:lang w:eastAsia="zh-CN"/>
        </w:rPr>
        <w:t>条规定有不同投票权架构的上市申请人于上市之时须拥有</w:t>
      </w:r>
      <w:r>
        <w:rPr>
          <w:lang w:eastAsia="zh-CN"/>
        </w:rPr>
        <w:t>(i)400</w:t>
      </w:r>
      <w:r>
        <w:rPr>
          <w:lang w:eastAsia="zh-CN"/>
        </w:rPr>
        <w:t>亿港元市值；或</w:t>
      </w:r>
      <w:r>
        <w:rPr>
          <w:lang w:eastAsia="zh-CN"/>
        </w:rPr>
        <w:t>(ii)</w:t>
      </w:r>
      <w:r>
        <w:rPr>
          <w:lang w:eastAsia="zh-CN"/>
        </w:rPr>
        <w:t>（最近一个经审计会计年度）</w:t>
      </w:r>
      <w:r>
        <w:rPr>
          <w:lang w:eastAsia="zh-CN"/>
        </w:rPr>
        <w:t>100</w:t>
      </w:r>
      <w:r>
        <w:rPr>
          <w:lang w:eastAsia="zh-CN"/>
        </w:rPr>
        <w:t>亿港元市值及</w:t>
      </w:r>
      <w:r>
        <w:rPr>
          <w:lang w:eastAsia="zh-CN"/>
        </w:rPr>
        <w:t>10</w:t>
      </w:r>
      <w:r>
        <w:rPr>
          <w:lang w:eastAsia="zh-CN"/>
        </w:rPr>
        <w:t>亿港元收益；</w:t>
      </w:r>
    </w:p>
    <w:p w:rsidR="00B17C7F" w:rsidRDefault="0044492D">
      <w:pPr>
        <w:pStyle w:val="BodyText"/>
        <w:rPr>
          <w:lang w:eastAsia="zh-CN"/>
        </w:rPr>
      </w:pPr>
      <w:hyperlink w:anchor="footnote-598-19-backlink">
        <w:r>
          <w:rPr>
            <w:lang w:eastAsia="zh-CN"/>
          </w:rPr>
          <w:t>19</w:t>
        </w:r>
      </w:hyperlink>
      <w:r>
        <w:rPr>
          <w:lang w:eastAsia="zh-CN"/>
        </w:rPr>
        <w:t xml:space="preserve"> </w:t>
      </w:r>
      <w:r>
        <w:rPr>
          <w:lang w:eastAsia="zh-CN"/>
        </w:rPr>
        <w:t>香港交易所《上市规则》第</w:t>
      </w:r>
      <w:r>
        <w:rPr>
          <w:lang w:eastAsia="zh-CN"/>
        </w:rPr>
        <w:t>18C.08</w:t>
      </w:r>
      <w:r>
        <w:rPr>
          <w:lang w:eastAsia="zh-CN"/>
        </w:rPr>
        <w:t>条</w:t>
      </w:r>
    </w:p>
    <w:p w:rsidR="00B17C7F" w:rsidRDefault="0044492D">
      <w:pPr>
        <w:pStyle w:val="BodyText"/>
        <w:rPr>
          <w:lang w:eastAsia="zh-CN"/>
        </w:rPr>
      </w:pPr>
      <w:hyperlink w:anchor="footnote-598-20-backlink">
        <w:r>
          <w:rPr>
            <w:lang w:eastAsia="zh-CN"/>
          </w:rPr>
          <w:t>20</w:t>
        </w:r>
      </w:hyperlink>
      <w:r>
        <w:rPr>
          <w:lang w:eastAsia="zh-CN"/>
        </w:rPr>
        <w:t xml:space="preserve"> </w:t>
      </w:r>
      <w:r>
        <w:rPr>
          <w:lang w:eastAsia="zh-CN"/>
        </w:rPr>
        <w:t>香港交易所《上市规则》第</w:t>
      </w:r>
      <w:r>
        <w:rPr>
          <w:lang w:eastAsia="zh-CN"/>
        </w:rPr>
        <w:t>18C.10</w:t>
      </w:r>
      <w:r>
        <w:rPr>
          <w:lang w:eastAsia="zh-CN"/>
        </w:rPr>
        <w:t>条</w:t>
      </w:r>
    </w:p>
    <w:p w:rsidR="00B17C7F" w:rsidRDefault="0044492D">
      <w:pPr>
        <w:pStyle w:val="BodyText"/>
        <w:rPr>
          <w:lang w:eastAsia="zh-CN"/>
        </w:rPr>
      </w:pPr>
      <w:hyperlink w:anchor="footnote-598-21-backlink">
        <w:r>
          <w:rPr>
            <w:lang w:eastAsia="zh-CN"/>
          </w:rPr>
          <w:t>21</w:t>
        </w:r>
      </w:hyperlink>
      <w:r>
        <w:rPr>
          <w:lang w:eastAsia="zh-CN"/>
        </w:rPr>
        <w:t xml:space="preserve"> </w:t>
      </w:r>
      <w:r>
        <w:rPr>
          <w:lang w:eastAsia="zh-CN"/>
        </w:rPr>
        <w:t>香港交易所《上市规则》第</w:t>
      </w:r>
      <w:r>
        <w:rPr>
          <w:lang w:eastAsia="zh-CN"/>
        </w:rPr>
        <w:t>18C.11</w:t>
      </w:r>
      <w:r>
        <w:rPr>
          <w:lang w:eastAsia="zh-CN"/>
        </w:rPr>
        <w:t>条</w:t>
      </w:r>
    </w:p>
    <w:p w:rsidR="00B17C7F" w:rsidRDefault="0044492D">
      <w:pPr>
        <w:pStyle w:val="BodyText"/>
        <w:rPr>
          <w:lang w:eastAsia="zh-CN"/>
        </w:rPr>
      </w:pPr>
      <w:hyperlink w:anchor="footnote-598-22-backlink">
        <w:r>
          <w:rPr>
            <w:lang w:eastAsia="zh-CN"/>
          </w:rPr>
          <w:t>22</w:t>
        </w:r>
      </w:hyperlink>
      <w:r>
        <w:rPr>
          <w:lang w:eastAsia="zh-CN"/>
        </w:rPr>
        <w:t xml:space="preserve"> </w:t>
      </w:r>
      <w:r>
        <w:rPr>
          <w:lang w:eastAsia="zh-CN"/>
        </w:rPr>
        <w:t>有关特专科技公司的指引信</w:t>
      </w:r>
      <w:r>
        <w:rPr>
          <w:lang w:eastAsia="zh-CN"/>
        </w:rPr>
        <w:t>HKEX-GL115-23</w:t>
      </w:r>
      <w:r>
        <w:rPr>
          <w:lang w:eastAsia="zh-CN"/>
        </w:rPr>
        <w:t>第</w:t>
      </w:r>
      <w:r>
        <w:rPr>
          <w:lang w:eastAsia="zh-CN"/>
        </w:rPr>
        <w:t>62</w:t>
      </w:r>
      <w:r>
        <w:rPr>
          <w:lang w:eastAsia="zh-CN"/>
        </w:rPr>
        <w:t>段</w:t>
      </w:r>
    </w:p>
    <w:p w:rsidR="00B17C7F" w:rsidRDefault="0044492D">
      <w:pPr>
        <w:pStyle w:val="BodyText"/>
        <w:rPr>
          <w:lang w:eastAsia="zh-CN"/>
        </w:rPr>
      </w:pPr>
      <w:hyperlink w:anchor="footnote-598-23-backlink">
        <w:r>
          <w:rPr>
            <w:lang w:eastAsia="zh-CN"/>
          </w:rPr>
          <w:t>23</w:t>
        </w:r>
      </w:hyperlink>
      <w:r>
        <w:rPr>
          <w:lang w:eastAsia="zh-CN"/>
        </w:rPr>
        <w:t xml:space="preserve"> </w:t>
      </w:r>
      <w:r>
        <w:rPr>
          <w:lang w:eastAsia="zh-CN"/>
        </w:rPr>
        <w:t>香港交易所《上市规则》第</w:t>
      </w:r>
      <w:r>
        <w:rPr>
          <w:lang w:eastAsia="zh-CN"/>
        </w:rPr>
        <w:t xml:space="preserve">18C.14(2) </w:t>
      </w:r>
      <w:r>
        <w:rPr>
          <w:lang w:eastAsia="zh-CN"/>
        </w:rPr>
        <w:t>条中的禁售限制仅适用于达到指示性最低投资基准的领航资深独立投资者。若上市申请人拥有多于符合领航资深独立投资者最低投资基准所规定的资深独立投资者的数目，则申请人可按商业需要自行决定将当中哪些投资者视为领航资深独立投资者，其后有关领航资深独立投资者将须遵守香港交易所《上市规则》第</w:t>
      </w:r>
      <w:r>
        <w:rPr>
          <w:lang w:eastAsia="zh-CN"/>
        </w:rPr>
        <w:t>18C.14(2)</w:t>
      </w:r>
      <w:r>
        <w:rPr>
          <w:lang w:eastAsia="zh-CN"/>
        </w:rPr>
        <w:t>条（指引信</w:t>
      </w:r>
      <w:r>
        <w:rPr>
          <w:lang w:eastAsia="zh-CN"/>
        </w:rPr>
        <w:t>GL115-23</w:t>
      </w:r>
      <w:r>
        <w:rPr>
          <w:lang w:eastAsia="zh-CN"/>
        </w:rPr>
        <w:t>第</w:t>
      </w:r>
      <w:r>
        <w:rPr>
          <w:lang w:eastAsia="zh-CN"/>
        </w:rPr>
        <w:t>81</w:t>
      </w:r>
      <w:r>
        <w:rPr>
          <w:lang w:eastAsia="zh-CN"/>
        </w:rPr>
        <w:t>段）项下的禁售限制。</w:t>
      </w:r>
    </w:p>
    <w:p w:rsidR="00B17C7F" w:rsidRDefault="0044492D">
      <w:pPr>
        <w:pStyle w:val="BodyText"/>
        <w:rPr>
          <w:lang w:eastAsia="zh-CN"/>
        </w:rPr>
      </w:pPr>
      <w:hyperlink w:anchor="footnote-598-24-backlink">
        <w:r>
          <w:rPr>
            <w:lang w:eastAsia="zh-CN"/>
          </w:rPr>
          <w:t>24</w:t>
        </w:r>
      </w:hyperlink>
      <w:r>
        <w:rPr>
          <w:lang w:eastAsia="zh-CN"/>
        </w:rPr>
        <w:t xml:space="preserve"> </w:t>
      </w:r>
      <w:r>
        <w:rPr>
          <w:lang w:eastAsia="zh-CN"/>
        </w:rPr>
        <w:t>港交易所《上市规则》第</w:t>
      </w:r>
      <w:r>
        <w:rPr>
          <w:lang w:eastAsia="zh-CN"/>
        </w:rPr>
        <w:t>18C.23</w:t>
      </w:r>
      <w:r>
        <w:rPr>
          <w:lang w:eastAsia="zh-CN"/>
        </w:rPr>
        <w:t>条附注</w:t>
      </w:r>
      <w:r>
        <w:rPr>
          <w:lang w:eastAsia="zh-CN"/>
        </w:rPr>
        <w:t>2</w:t>
      </w:r>
    </w:p>
    <w:p w:rsidR="00B17C7F" w:rsidRDefault="0044492D">
      <w:pPr>
        <w:pStyle w:val="BodyText"/>
        <w:rPr>
          <w:lang w:eastAsia="zh-CN"/>
        </w:rPr>
      </w:pPr>
      <w:hyperlink w:anchor="footnote-598-25-backlink">
        <w:r>
          <w:rPr>
            <w:lang w:eastAsia="zh-CN"/>
          </w:rPr>
          <w:t>25</w:t>
        </w:r>
      </w:hyperlink>
      <w:r>
        <w:rPr>
          <w:lang w:eastAsia="zh-CN"/>
        </w:rPr>
        <w:t xml:space="preserve"> </w:t>
      </w:r>
      <w:r>
        <w:rPr>
          <w:lang w:eastAsia="zh-CN"/>
        </w:rPr>
        <w:t>香港交易所《上市规则》第</w:t>
      </w:r>
      <w:r>
        <w:rPr>
          <w:lang w:eastAsia="zh-CN"/>
        </w:rPr>
        <w:t>18C.17</w:t>
      </w:r>
      <w:r>
        <w:rPr>
          <w:lang w:eastAsia="zh-CN"/>
        </w:rPr>
        <w:t>条</w:t>
      </w:r>
    </w:p>
    <w:p w:rsidR="00B17C7F" w:rsidRDefault="0044492D">
      <w:pPr>
        <w:pStyle w:val="BodyText"/>
        <w:rPr>
          <w:lang w:eastAsia="zh-CN"/>
        </w:rPr>
      </w:pPr>
      <w:hyperlink w:anchor="footnote-598-26-backlink">
        <w:r>
          <w:rPr>
            <w:lang w:eastAsia="zh-CN"/>
          </w:rPr>
          <w:t>26</w:t>
        </w:r>
      </w:hyperlink>
      <w:r>
        <w:rPr>
          <w:lang w:eastAsia="zh-CN"/>
        </w:rPr>
        <w:t xml:space="preserve"> </w:t>
      </w:r>
      <w:r>
        <w:rPr>
          <w:lang w:eastAsia="zh-CN"/>
        </w:rPr>
        <w:t>有关特专科技公司的指引信</w:t>
      </w:r>
      <w:r>
        <w:rPr>
          <w:lang w:eastAsia="zh-CN"/>
        </w:rPr>
        <w:t>HKEX-GL115-23</w:t>
      </w:r>
      <w:r>
        <w:rPr>
          <w:lang w:eastAsia="zh-CN"/>
        </w:rPr>
        <w:t>第</w:t>
      </w:r>
      <w:r>
        <w:rPr>
          <w:lang w:eastAsia="zh-CN"/>
        </w:rPr>
        <w:t>83</w:t>
      </w:r>
      <w:r>
        <w:rPr>
          <w:lang w:eastAsia="zh-CN"/>
        </w:rPr>
        <w:t>段</w:t>
      </w:r>
    </w:p>
    <w:p w:rsidR="00B17C7F" w:rsidRDefault="0044492D">
      <w:pPr>
        <w:pStyle w:val="DisclaimerBold"/>
        <w:rPr>
          <w:lang w:eastAsia="zh-CN"/>
        </w:rPr>
      </w:pPr>
      <w:r>
        <w:rPr>
          <w:lang w:eastAsia="zh-CN"/>
        </w:rPr>
        <w:t>此法讯仅为提供相关资料信息之用，其内容并</w:t>
      </w:r>
    </w:p>
    <w:p w:rsidR="00B17C7F" w:rsidRDefault="0044492D">
      <w:pPr>
        <w:pStyle w:val="Disclaimer"/>
        <w:rPr>
          <w:lang w:eastAsia="zh-CN"/>
        </w:rPr>
      </w:pPr>
      <w:r>
        <w:rPr>
          <w:lang w:eastAsia="zh-CN"/>
        </w:rPr>
        <w:t>不构成法律建议及个案的法律分析。</w:t>
      </w:r>
    </w:p>
    <w:p w:rsidR="00B17C7F" w:rsidRDefault="0044492D">
      <w:pPr>
        <w:pStyle w:val="Disclaimer"/>
        <w:rPr>
          <w:lang w:eastAsia="zh-CN"/>
        </w:rPr>
      </w:pPr>
      <w:r>
        <w:rPr>
          <w:lang w:eastAsia="zh-CN"/>
        </w:rPr>
        <w:t>此法讯的发送并不是为了在易周律师行与用户或浏览者之间建立一种律师与客户之关系。</w:t>
      </w:r>
    </w:p>
    <w:p w:rsidR="00B17C7F" w:rsidRDefault="0044492D">
      <w:pPr>
        <w:pStyle w:val="Disclaimer"/>
        <w:rPr>
          <w:lang w:eastAsia="zh-CN"/>
        </w:rPr>
      </w:pPr>
      <w:r>
        <w:rPr>
          <w:lang w:eastAsia="zh-CN"/>
        </w:rPr>
        <w:t>易周律师行并不对可从互联网获得的任何第三方内容负责。</w:t>
      </w:r>
    </w:p>
    <w:p w:rsidR="00B17C7F" w:rsidRDefault="0044492D">
      <w:pPr>
        <w:pStyle w:val="Disclaimer"/>
        <w:rPr>
          <w:lang w:eastAsia="zh-CN"/>
        </w:rPr>
      </w:pPr>
      <w:r>
        <w:rPr>
          <w:lang w:eastAsia="zh-CN"/>
        </w:rPr>
        <w:t>如你不希望再收到易周法讯，请发送电邮至</w:t>
      </w:r>
      <w:r>
        <w:rPr>
          <w:lang w:eastAsia="zh-CN"/>
        </w:rPr>
        <w:t xml:space="preserve">  </w:t>
      </w:r>
      <w:hyperlink r:id="rId15">
        <w:r>
          <w:rPr>
            <w:lang w:eastAsia="zh-CN"/>
          </w:rPr>
          <w:t>unsubscribe@charltonslaw.com</w:t>
        </w:r>
      </w:hyperlink>
    </w:p>
    <w:p w:rsidR="00B17C7F" w:rsidRDefault="0044492D">
      <w:pPr>
        <w:pStyle w:val="BlackStrips"/>
      </w:pPr>
      <w:r>
        <w:t xml:space="preserve">Charltons - </w:t>
      </w:r>
      <w:r>
        <w:t>香港法律</w:t>
      </w:r>
      <w:r>
        <w:t xml:space="preserve"> - 2024</w:t>
      </w:r>
      <w:r>
        <w:t>年</w:t>
      </w:r>
      <w:r>
        <w:t>1</w:t>
      </w:r>
      <w:r>
        <w:t>月</w:t>
      </w:r>
      <w:r>
        <w:t>3</w:t>
      </w:r>
      <w:r>
        <w:t>日</w:t>
      </w:r>
    </w:p>
    <w:sectPr w:rsidR="00B17C7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492D">
      <w:pPr>
        <w:spacing w:after="0"/>
      </w:pPr>
      <w:r>
        <w:separator/>
      </w:r>
    </w:p>
  </w:endnote>
  <w:endnote w:type="continuationSeparator" w:id="0">
    <w:p w:rsidR="00000000" w:rsidRDefault="00444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C7F" w:rsidRDefault="0044492D">
      <w:r>
        <w:separator/>
      </w:r>
    </w:p>
  </w:footnote>
  <w:footnote w:type="continuationSeparator" w:id="0">
    <w:p w:rsidR="00B17C7F" w:rsidRDefault="00444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AC80252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68E41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B4023D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0CFA50E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4492D"/>
    <w:rsid w:val="004E29B3"/>
    <w:rsid w:val="00590D07"/>
    <w:rsid w:val="00784D58"/>
    <w:rsid w:val="008D6863"/>
    <w:rsid w:val="00A7595F"/>
    <w:rsid w:val="00B17C7F"/>
    <w:rsid w:val="00B86B75"/>
    <w:rsid w:val="00BC48D5"/>
    <w:rsid w:val="00C36279"/>
    <w:rsid w:val="00D26565"/>
    <w:rsid w:val="00E315A3"/>
    <w:rsid w:val="00EF705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50B6"/>
  <w15:docId w15:val="{6222E102-3890-4B3D-8F82-F60424F6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October-2022-Specialist-Technology-Co/Conclusions-(Mar-2023)/cp202210cc_c.pdf" TargetMode="External"/><Relationship Id="rId13" Type="http://schemas.openxmlformats.org/officeDocument/2006/relationships/hyperlink" Target="https://cn-rules.hkex.com.hk/sites/default/files/net_file_store/HKEXCN_TC_11362_VER24261.pdf" TargetMode="External"/><Relationship Id="rId3" Type="http://schemas.openxmlformats.org/officeDocument/2006/relationships/settings" Target="settings.xml"/><Relationship Id="rId7" Type="http://schemas.openxmlformats.org/officeDocument/2006/relationships/hyperlink" Target="http://www.charltonslaw.com.cnxiang-gang-jiao-yi-suo-xin-de-te-zhuan-ke-ji-gong-si-shang-shi-zhi-du-jiang-yu-2023-nian-3-yue-31-ri-tui-chu" TargetMode="External"/><Relationship Id="rId12" Type="http://schemas.openxmlformats.org/officeDocument/2006/relationships/hyperlink" Target="https://cn-rules.hkex.com.hk/sites/default/files/net_file_store/HKEXCN_TC_10629_VER2425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n-rules.hkex.com.hk/sites/default/files/net_file_store/HKEXCN_TC_11382_VER10249.pdf" TargetMode="External"/><Relationship Id="rId5" Type="http://schemas.openxmlformats.org/officeDocument/2006/relationships/footnotes" Target="footnote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cn-rules.hkex.com.hk/sites/default/files/net_file_store/HKEXCN_TC_12671_VER26185.pdf" TargetMode="External"/><Relationship Id="rId4" Type="http://schemas.openxmlformats.org/officeDocument/2006/relationships/webSettings" Target="webSettings.xml"/><Relationship Id="rId9" Type="http://schemas.openxmlformats.org/officeDocument/2006/relationships/hyperlink" Target="https://www.charltonslaw.com.cn/xiang-gang-jiao-yi-suo-jiu-te-zhuan-ke-ji-gong-si-shang-shi-zhi-du-fa-chu-zi-xun/" TargetMode="External"/><Relationship Id="rId14" Type="http://schemas.openxmlformats.org/officeDocument/2006/relationships/hyperlink" Target="https://cn-rules.hkex.com.hk/sites/default/files/net_file_store/HKEXCN_TC_11388_VER92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2399</Words>
  <Characters>13680</Characters>
  <Application>Microsoft Office Word</Application>
  <DocSecurity>0</DocSecurity>
  <Lines>114</Lines>
  <Paragraphs>32</Paragraphs>
  <ScaleCrop>false</ScaleCrop>
  <Company>Charltons</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7</cp:revision>
  <dcterms:created xsi:type="dcterms:W3CDTF">2024-01-03T02:43:00Z</dcterms:created>
  <dcterms:modified xsi:type="dcterms:W3CDTF">2024-01-03T03:21:00Z</dcterms:modified>
</cp:coreProperties>
</file>