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3A9" w:rsidRDefault="00801BA6">
      <w:pPr>
        <w:pStyle w:val="BlackStrips"/>
      </w:pPr>
      <w:r>
        <w:t xml:space="preserve">Charltons - </w:t>
      </w:r>
      <w:r>
        <w:t>香港法律</w:t>
      </w:r>
      <w:r>
        <w:t xml:space="preserve"> - 2024</w:t>
      </w:r>
      <w:r>
        <w:t>年</w:t>
      </w:r>
      <w:r>
        <w:t>5</w:t>
      </w:r>
      <w:r>
        <w:t>月</w:t>
      </w:r>
      <w:r>
        <w:t>29</w:t>
      </w:r>
      <w:r>
        <w:t>日</w:t>
      </w:r>
    </w:p>
    <w:p w:rsidR="009A33A9" w:rsidRDefault="00801BA6">
      <w:pPr>
        <w:pStyle w:val="ReadOnline"/>
        <w:rPr>
          <w:lang w:eastAsia="zh-CN"/>
        </w:rPr>
      </w:pPr>
      <w:hyperlink r:id="rId7">
        <w:proofErr w:type="gramStart"/>
        <w:r>
          <w:rPr>
            <w:lang w:eastAsia="zh-CN"/>
          </w:rPr>
          <w:t>online</w:t>
        </w:r>
        <w:proofErr w:type="gramEnd"/>
        <w:r>
          <w:rPr>
            <w:lang w:eastAsia="zh-CN"/>
          </w:rPr>
          <w:t xml:space="preserve"> version</w:t>
        </w:r>
      </w:hyperlink>
    </w:p>
    <w:p w:rsidR="009A33A9" w:rsidRDefault="00801BA6">
      <w:pPr>
        <w:pStyle w:val="Title"/>
        <w:rPr>
          <w:lang w:eastAsia="zh-CN"/>
        </w:rPr>
      </w:pPr>
      <w:r>
        <w:rPr>
          <w:lang w:eastAsia="zh-CN"/>
        </w:rPr>
        <w:t>香港证监会有关实施专为虚拟资产交易平台而设的全新发牌制度的通函</w:t>
      </w:r>
    </w:p>
    <w:p w:rsidR="009A33A9" w:rsidRDefault="00801BA6">
      <w:pPr>
        <w:pStyle w:val="FirstParagraph"/>
        <w:rPr>
          <w:lang w:eastAsia="zh-CN"/>
        </w:rPr>
      </w:pPr>
      <w:r>
        <w:rPr>
          <w:lang w:eastAsia="zh-CN"/>
        </w:rPr>
        <w:t>香港证券及期货事务监察委员会（</w:t>
      </w:r>
      <w:r>
        <w:rPr>
          <w:b/>
          <w:lang w:eastAsia="zh-CN"/>
        </w:rPr>
        <w:t>证监会</w:t>
      </w:r>
      <w:r>
        <w:rPr>
          <w:lang w:eastAsia="zh-CN"/>
        </w:rPr>
        <w:t>）刊发《</w:t>
      </w:r>
      <w:hyperlink r:id="rId8">
        <w:r>
          <w:rPr>
            <w:lang w:eastAsia="zh-CN"/>
          </w:rPr>
          <w:t>适用于证监会发牌的虚拟资产交易平台营运者的建议监管规定的谘询总结</w:t>
        </w:r>
      </w:hyperlink>
      <w:r>
        <w:rPr>
          <w:lang w:eastAsia="zh-CN"/>
        </w:rPr>
        <w:t>》后，就中央虚拟资产交易平台营运者新发牌制度的实施情况发出</w:t>
      </w:r>
      <w:hyperlink r:id="rId9">
        <w:r>
          <w:rPr>
            <w:lang w:eastAsia="zh-CN"/>
          </w:rPr>
          <w:t>通函</w:t>
        </w:r>
      </w:hyperlink>
      <w:r>
        <w:rPr>
          <w:lang w:eastAsia="zh-CN"/>
        </w:rPr>
        <w:t>。新发牌制度于</w:t>
      </w:r>
      <w:r>
        <w:rPr>
          <w:lang w:eastAsia="zh-CN"/>
        </w:rPr>
        <w:t>2023</w:t>
      </w:r>
      <w:r>
        <w:rPr>
          <w:lang w:eastAsia="zh-CN"/>
        </w:rPr>
        <w:t>年</w:t>
      </w:r>
      <w:r>
        <w:rPr>
          <w:lang w:eastAsia="zh-CN"/>
        </w:rPr>
        <w:t>6</w:t>
      </w:r>
      <w:r>
        <w:rPr>
          <w:lang w:eastAsia="zh-CN"/>
        </w:rPr>
        <w:t>月</w:t>
      </w:r>
      <w:r>
        <w:rPr>
          <w:lang w:eastAsia="zh-CN"/>
        </w:rPr>
        <w:t>1</w:t>
      </w:r>
      <w:r>
        <w:rPr>
          <w:lang w:eastAsia="zh-CN"/>
        </w:rPr>
        <w:t>日生效。随着新发牌制度的实施，所有在香港经营或积极向香港公众推广其服务的中央虚拟资产交易平台，均须获证监会发牌：</w:t>
      </w:r>
    </w:p>
    <w:p w:rsidR="009A33A9" w:rsidRDefault="00801BA6">
      <w:pPr>
        <w:pStyle w:val="Compact"/>
        <w:numPr>
          <w:ilvl w:val="0"/>
          <w:numId w:val="3"/>
        </w:numPr>
        <w:rPr>
          <w:lang w:eastAsia="zh-CN"/>
        </w:rPr>
      </w:pPr>
      <w:r>
        <w:rPr>
          <w:lang w:eastAsia="zh-CN"/>
        </w:rPr>
        <w:t>根据《打击洗钱及恐怖分子资金筹集条例》（</w:t>
      </w:r>
      <w:r>
        <w:rPr>
          <w:b/>
          <w:lang w:eastAsia="zh-CN"/>
        </w:rPr>
        <w:t>《打击洗钱条例》</w:t>
      </w:r>
      <w:r>
        <w:rPr>
          <w:lang w:eastAsia="zh-CN"/>
        </w:rPr>
        <w:t>）的新虚拟资产服务提供者的发牌制度，作为虚拟资产服务提供者提供非证券（如</w:t>
      </w:r>
      <w:r>
        <w:rPr>
          <w:b/>
          <w:lang w:eastAsia="zh-CN"/>
        </w:rPr>
        <w:t>《证券及期货条例》</w:t>
      </w:r>
      <w:r>
        <w:rPr>
          <w:lang w:eastAsia="zh-CN"/>
        </w:rPr>
        <w:t>附表</w:t>
      </w:r>
      <w:r>
        <w:rPr>
          <w:lang w:eastAsia="zh-CN"/>
        </w:rPr>
        <w:t>1</w:t>
      </w:r>
      <w:r>
        <w:rPr>
          <w:lang w:eastAsia="zh-CN"/>
        </w:rPr>
        <w:t>第</w:t>
      </w:r>
      <w:r>
        <w:rPr>
          <w:lang w:eastAsia="zh-CN"/>
        </w:rPr>
        <w:t>1</w:t>
      </w:r>
      <w:r>
        <w:rPr>
          <w:lang w:eastAsia="zh-CN"/>
        </w:rPr>
        <w:t>部第</w:t>
      </w:r>
      <w:r>
        <w:rPr>
          <w:lang w:eastAsia="zh-CN"/>
        </w:rPr>
        <w:t>1</w:t>
      </w:r>
      <w:r>
        <w:rPr>
          <w:lang w:eastAsia="zh-CN"/>
        </w:rPr>
        <w:t>条所定义）的虚拟资产交易（</w:t>
      </w:r>
      <w:r>
        <w:rPr>
          <w:b/>
          <w:lang w:eastAsia="zh-CN"/>
        </w:rPr>
        <w:t>非证券代币</w:t>
      </w:r>
      <w:r>
        <w:rPr>
          <w:lang w:eastAsia="zh-CN"/>
        </w:rPr>
        <w:t>）；及</w:t>
      </w:r>
      <w:r>
        <w:rPr>
          <w:lang w:eastAsia="zh-CN"/>
        </w:rPr>
        <w:t>/</w:t>
      </w:r>
      <w:r>
        <w:rPr>
          <w:lang w:eastAsia="zh-CN"/>
        </w:rPr>
        <w:t>或</w:t>
      </w:r>
    </w:p>
    <w:p w:rsidR="009A33A9" w:rsidRDefault="00801BA6">
      <w:pPr>
        <w:pStyle w:val="Compact"/>
        <w:numPr>
          <w:ilvl w:val="0"/>
          <w:numId w:val="3"/>
        </w:numPr>
        <w:rPr>
          <w:lang w:eastAsia="zh-CN"/>
        </w:rPr>
      </w:pPr>
      <w:r>
        <w:rPr>
          <w:lang w:eastAsia="zh-CN"/>
        </w:rPr>
        <w:t>《证券及期货条例》下第</w:t>
      </w:r>
      <w:r>
        <w:rPr>
          <w:lang w:eastAsia="zh-CN"/>
        </w:rPr>
        <w:t>1</w:t>
      </w:r>
      <w:r>
        <w:rPr>
          <w:lang w:eastAsia="zh-CN"/>
        </w:rPr>
        <w:t>类（证券交易</w:t>
      </w:r>
      <w:r>
        <w:rPr>
          <w:lang w:eastAsia="zh-CN"/>
        </w:rPr>
        <w:t>)</w:t>
      </w:r>
      <w:r>
        <w:rPr>
          <w:lang w:eastAsia="zh-CN"/>
        </w:rPr>
        <w:t>和第</w:t>
      </w:r>
      <w:r>
        <w:rPr>
          <w:lang w:eastAsia="zh-CN"/>
        </w:rPr>
        <w:t>7</w:t>
      </w:r>
      <w:r>
        <w:rPr>
          <w:lang w:eastAsia="zh-CN"/>
        </w:rPr>
        <w:t>类（提供自动化交易服务）的受</w:t>
      </w:r>
      <w:proofErr w:type="gramStart"/>
      <w:r>
        <w:rPr>
          <w:lang w:eastAsia="zh-CN"/>
        </w:rPr>
        <w:t>规</w:t>
      </w:r>
      <w:proofErr w:type="gramEnd"/>
      <w:r>
        <w:rPr>
          <w:lang w:eastAsia="zh-CN"/>
        </w:rPr>
        <w:t>管活动，如果它们提供作为证券的虚拟资产（</w:t>
      </w:r>
      <w:r>
        <w:rPr>
          <w:b/>
          <w:lang w:eastAsia="zh-CN"/>
        </w:rPr>
        <w:t>证券代币</w:t>
      </w:r>
      <w:r>
        <w:rPr>
          <w:lang w:eastAsia="zh-CN"/>
        </w:rPr>
        <w:t>）的交易。</w:t>
      </w:r>
    </w:p>
    <w:p w:rsidR="009A33A9" w:rsidRDefault="00801BA6">
      <w:pPr>
        <w:pStyle w:val="FirstParagraph"/>
        <w:rPr>
          <w:lang w:eastAsia="zh-CN"/>
        </w:rPr>
      </w:pPr>
      <w:r>
        <w:rPr>
          <w:lang w:eastAsia="zh-CN"/>
        </w:rPr>
        <w:t>鉴于虚拟资产的分类可能由非证券型代币转变为证券型代币，反之亦然，证监会建议从事受</w:t>
      </w:r>
      <w:proofErr w:type="gramStart"/>
      <w:r>
        <w:rPr>
          <w:lang w:eastAsia="zh-CN"/>
        </w:rPr>
        <w:t>规管活动</w:t>
      </w:r>
      <w:proofErr w:type="gramEnd"/>
      <w:r>
        <w:rPr>
          <w:lang w:eastAsia="zh-CN"/>
        </w:rPr>
        <w:t>的虚拟资产交易平台营运者及员工应根据这两项条例取得牌照。</w:t>
      </w:r>
    </w:p>
    <w:p w:rsidR="009A33A9" w:rsidRDefault="00801BA6">
      <w:pPr>
        <w:pStyle w:val="BodyText"/>
        <w:rPr>
          <w:lang w:eastAsia="zh-CN"/>
        </w:rPr>
      </w:pPr>
      <w:r>
        <w:rPr>
          <w:lang w:eastAsia="zh-CN"/>
        </w:rPr>
        <w:t>虚拟资产服务提供者发牌制度要求中央虚拟资产交易平台获得发牌，这些交易平台使用与客户订单匹配的自动交易引擎向客户提供虚拟资产交易服务，并提供托管服务作为其交易服务的辅助服务。因此，在没有自动交易引擎和辅助托管服务（例如，场外虚拟资产交易活动和虚拟资产经纪活动）的情况下提供虚拟资产服务不需要牌照</w:t>
      </w:r>
      <w:r>
        <w:rPr>
          <w:lang w:eastAsia="zh-CN"/>
        </w:rPr>
        <w:t xml:space="preserve"> </w:t>
      </w:r>
      <w:r>
        <w:rPr>
          <w:lang w:eastAsia="zh-CN"/>
        </w:rPr>
        <w:t>。</w:t>
      </w:r>
      <w:hyperlink w:anchor="footnote-598-1">
        <w:r>
          <w:rPr>
            <w:vertAlign w:val="superscript"/>
            <w:lang w:eastAsia="zh-CN"/>
          </w:rPr>
          <w:t>1</w:t>
        </w:r>
      </w:hyperlink>
    </w:p>
    <w:p w:rsidR="009A33A9" w:rsidRDefault="00801BA6">
      <w:pPr>
        <w:pStyle w:val="BodyText"/>
        <w:rPr>
          <w:lang w:eastAsia="zh-CN"/>
        </w:rPr>
      </w:pPr>
      <w:r>
        <w:rPr>
          <w:lang w:eastAsia="zh-CN"/>
        </w:rPr>
        <w:t>根据《打击洗钱条例》，在紧接</w:t>
      </w:r>
      <w:r>
        <w:rPr>
          <w:lang w:eastAsia="zh-CN"/>
        </w:rPr>
        <w:t>2023</w:t>
      </w:r>
      <w:r>
        <w:rPr>
          <w:lang w:eastAsia="zh-CN"/>
        </w:rPr>
        <w:t>年</w:t>
      </w:r>
      <w:r>
        <w:rPr>
          <w:lang w:eastAsia="zh-CN"/>
        </w:rPr>
        <w:t>6</w:t>
      </w:r>
      <w:r>
        <w:rPr>
          <w:lang w:eastAsia="zh-CN"/>
        </w:rPr>
        <w:t>月</w:t>
      </w:r>
      <w:r>
        <w:rPr>
          <w:lang w:eastAsia="zh-CN"/>
        </w:rPr>
        <w:t>1</w:t>
      </w:r>
      <w:r>
        <w:rPr>
          <w:lang w:eastAsia="zh-CN"/>
        </w:rPr>
        <w:t>日之前在香港经营的虚拟资产交易平台有</w:t>
      </w:r>
      <w:r>
        <w:rPr>
          <w:lang w:eastAsia="zh-CN"/>
        </w:rPr>
        <w:t>12</w:t>
      </w:r>
      <w:r>
        <w:rPr>
          <w:lang w:eastAsia="zh-CN"/>
        </w:rPr>
        <w:t>个月的过渡期，但须：</w:t>
      </w:r>
    </w:p>
    <w:p w:rsidR="009A33A9" w:rsidRDefault="00801BA6">
      <w:pPr>
        <w:pStyle w:val="Compact"/>
        <w:numPr>
          <w:ilvl w:val="0"/>
          <w:numId w:val="4"/>
        </w:numPr>
        <w:rPr>
          <w:lang w:eastAsia="zh-CN"/>
        </w:rPr>
      </w:pPr>
      <w:r>
        <w:rPr>
          <w:lang w:eastAsia="zh-CN"/>
        </w:rPr>
        <w:t>允许他们在</w:t>
      </w:r>
      <w:r>
        <w:rPr>
          <w:lang w:eastAsia="zh-CN"/>
        </w:rPr>
        <w:t>2024</w:t>
      </w:r>
      <w:r>
        <w:rPr>
          <w:lang w:eastAsia="zh-CN"/>
        </w:rPr>
        <w:t>年</w:t>
      </w:r>
      <w:r>
        <w:rPr>
          <w:lang w:eastAsia="zh-CN"/>
        </w:rPr>
        <w:t>5</w:t>
      </w:r>
      <w:r>
        <w:rPr>
          <w:lang w:eastAsia="zh-CN"/>
        </w:rPr>
        <w:t>月</w:t>
      </w:r>
      <w:r>
        <w:rPr>
          <w:lang w:eastAsia="zh-CN"/>
        </w:rPr>
        <w:t>31</w:t>
      </w:r>
      <w:r>
        <w:rPr>
          <w:lang w:eastAsia="zh-CN"/>
        </w:rPr>
        <w:t>日前在没有虚拟资产服务提供者牌照的情况下进行交易；</w:t>
      </w:r>
    </w:p>
    <w:p w:rsidR="009A33A9" w:rsidRDefault="00801BA6">
      <w:pPr>
        <w:pStyle w:val="Compact"/>
        <w:numPr>
          <w:ilvl w:val="0"/>
          <w:numId w:val="4"/>
        </w:numPr>
        <w:rPr>
          <w:lang w:eastAsia="zh-CN"/>
        </w:rPr>
      </w:pPr>
      <w:r>
        <w:rPr>
          <w:lang w:eastAsia="zh-CN"/>
        </w:rPr>
        <w:t>将认为他们从</w:t>
      </w:r>
      <w:r>
        <w:rPr>
          <w:lang w:eastAsia="zh-CN"/>
        </w:rPr>
        <w:t>2024</w:t>
      </w:r>
      <w:r>
        <w:rPr>
          <w:lang w:eastAsia="zh-CN"/>
        </w:rPr>
        <w:t>年</w:t>
      </w:r>
      <w:r>
        <w:rPr>
          <w:lang w:eastAsia="zh-CN"/>
        </w:rPr>
        <w:t>6</w:t>
      </w:r>
      <w:r>
        <w:rPr>
          <w:lang w:eastAsia="zh-CN"/>
        </w:rPr>
        <w:t>月</w:t>
      </w:r>
      <w:r>
        <w:rPr>
          <w:lang w:eastAsia="zh-CN"/>
        </w:rPr>
        <w:t>1</w:t>
      </w:r>
      <w:r>
        <w:rPr>
          <w:lang w:eastAsia="zh-CN"/>
        </w:rPr>
        <w:t>日起获得发牌，直到批准、撤回或拒绝他们的虚拟资产服务提供者牌照申请，该申请必须在</w:t>
      </w:r>
      <w:r>
        <w:rPr>
          <w:lang w:eastAsia="zh-CN"/>
        </w:rPr>
        <w:t>2024</w:t>
      </w:r>
      <w:r>
        <w:rPr>
          <w:lang w:eastAsia="zh-CN"/>
        </w:rPr>
        <w:t>年</w:t>
      </w:r>
      <w:r>
        <w:rPr>
          <w:lang w:eastAsia="zh-CN"/>
        </w:rPr>
        <w:t>2</w:t>
      </w:r>
      <w:r>
        <w:rPr>
          <w:lang w:eastAsia="zh-CN"/>
        </w:rPr>
        <w:t>月</w:t>
      </w:r>
      <w:r>
        <w:rPr>
          <w:lang w:eastAsia="zh-CN"/>
        </w:rPr>
        <w:t>29</w:t>
      </w:r>
      <w:r>
        <w:rPr>
          <w:lang w:eastAsia="zh-CN"/>
        </w:rPr>
        <w:t>日或之前提交。</w:t>
      </w:r>
    </w:p>
    <w:p w:rsidR="009A33A9" w:rsidRDefault="00801BA6">
      <w:pPr>
        <w:pStyle w:val="FirstParagraph"/>
        <w:rPr>
          <w:lang w:eastAsia="zh-CN"/>
        </w:rPr>
      </w:pPr>
      <w:r>
        <w:rPr>
          <w:lang w:eastAsia="zh-CN"/>
        </w:rPr>
        <w:t>过渡性安排只适用于《打击洗钱条例》虚拟资产服务提供者的发牌规定，而不适用于根据《证券及期货条例》获得发牌的规定。有</w:t>
      </w:r>
      <w:r>
        <w:rPr>
          <w:lang w:eastAsia="zh-CN"/>
        </w:rPr>
        <w:t>关过渡性安排的进一步资料，请参阅证监会的</w:t>
      </w:r>
      <w:hyperlink r:id="rId10">
        <w:r>
          <w:rPr>
            <w:lang w:eastAsia="zh-CN"/>
          </w:rPr>
          <w:t>有关专为虚拟资产交易平台营运者而设的全新发牌制度的过渡安排的通函</w:t>
        </w:r>
      </w:hyperlink>
      <w:r>
        <w:rPr>
          <w:lang w:eastAsia="zh-CN"/>
        </w:rPr>
        <w:t>。</w:t>
      </w:r>
    </w:p>
    <w:p w:rsidR="009A33A9" w:rsidRDefault="00801BA6">
      <w:pPr>
        <w:pStyle w:val="BodyText"/>
        <w:rPr>
          <w:lang w:eastAsia="zh-CN"/>
        </w:rPr>
      </w:pPr>
      <w:r>
        <w:rPr>
          <w:lang w:eastAsia="zh-CN"/>
        </w:rPr>
        <w:t>香港对虚拟资产交易平台营运者的监管规定</w:t>
      </w:r>
    </w:p>
    <w:p w:rsidR="009A33A9" w:rsidRDefault="00801BA6">
      <w:pPr>
        <w:pStyle w:val="BodyText"/>
        <w:rPr>
          <w:lang w:eastAsia="zh-CN"/>
        </w:rPr>
      </w:pPr>
      <w:r>
        <w:rPr>
          <w:lang w:eastAsia="zh-CN"/>
        </w:rPr>
        <w:t>同时根据《打击洗钱条例》及《证券及期货条例》获发牌的虚拟资产交易平台营运者，须遵守《证券及期货条例》及其附属法例、《打击洗钱条例》及证监会发布的守</w:t>
      </w:r>
      <w:r>
        <w:rPr>
          <w:lang w:eastAsia="zh-CN"/>
        </w:rPr>
        <w:t>则、指引、通函及常见问题的</w:t>
      </w:r>
      <w:proofErr w:type="gramStart"/>
      <w:r>
        <w:rPr>
          <w:lang w:eastAsia="zh-CN"/>
        </w:rPr>
        <w:t>规</w:t>
      </w:r>
      <w:proofErr w:type="gramEnd"/>
      <w:r>
        <w:rPr>
          <w:lang w:eastAsia="zh-CN"/>
        </w:rPr>
        <w:t>管规定，包括：</w:t>
      </w:r>
    </w:p>
    <w:p w:rsidR="009A33A9" w:rsidRDefault="00801BA6">
      <w:pPr>
        <w:pStyle w:val="Compact"/>
        <w:numPr>
          <w:ilvl w:val="0"/>
          <w:numId w:val="5"/>
        </w:numPr>
        <w:rPr>
          <w:lang w:eastAsia="zh-CN"/>
        </w:rPr>
      </w:pPr>
      <w:r>
        <w:rPr>
          <w:lang w:eastAsia="zh-CN"/>
        </w:rPr>
        <w:t>证监会</w:t>
      </w:r>
      <w:r>
        <w:fldChar w:fldCharType="begin"/>
      </w:r>
      <w:r>
        <w:rPr>
          <w:lang w:eastAsia="zh-CN"/>
        </w:rPr>
        <w:instrText xml:space="preserve"> HYPERLINK "https://www.sfc.hk/-/media/EN/assets/components/codes/files-current/web/guidelines/Guidelines-for-Virtual-Asset-Trading-Platform-Operators/Guidelines-for-Virtual-Asset-Trading-Platform-Operators.pdf?rev=f6152ff73d2b4e</w:instrText>
      </w:r>
      <w:r>
        <w:rPr>
          <w:lang w:eastAsia="zh-CN"/>
        </w:rPr>
        <w:instrText xml:space="preserve">8a8ce9dc025030c3b8" \h </w:instrText>
      </w:r>
      <w:r>
        <w:fldChar w:fldCharType="separate"/>
      </w:r>
      <w:r>
        <w:rPr>
          <w:lang w:eastAsia="zh-CN"/>
        </w:rPr>
        <w:t>适用于虚拟资产交易平台营运者的指引</w:t>
      </w:r>
      <w:r>
        <w:fldChar w:fldCharType="end"/>
      </w:r>
      <w:r>
        <w:rPr>
          <w:lang w:eastAsia="zh-CN"/>
        </w:rPr>
        <w:t>；</w:t>
      </w:r>
    </w:p>
    <w:p w:rsidR="009A33A9" w:rsidRDefault="00801BA6">
      <w:pPr>
        <w:pStyle w:val="Compact"/>
        <w:numPr>
          <w:ilvl w:val="0"/>
          <w:numId w:val="5"/>
        </w:numPr>
        <w:rPr>
          <w:lang w:eastAsia="zh-CN"/>
        </w:rPr>
      </w:pPr>
      <w:r>
        <w:rPr>
          <w:lang w:eastAsia="zh-CN"/>
        </w:rPr>
        <w:t>证监会</w:t>
      </w:r>
      <w:r>
        <w:fldChar w:fldCharType="begin"/>
      </w:r>
      <w:r>
        <w:rPr>
          <w:lang w:eastAsia="zh-CN"/>
        </w:rPr>
        <w:instrText xml:space="preserve"> HYPERLINK "https://www.sfc.hk/-/media/EN/assets/components/codes/files-current/web/guidelines/guideline-on-anti-money-laundering-and-counter-financing-of-terrorism-for-licensed-corporations/AML-Guideline-for</w:instrText>
      </w:r>
      <w:r>
        <w:rPr>
          <w:lang w:eastAsia="zh-CN"/>
        </w:rPr>
        <w:instrText xml:space="preserve">-LCs-and-SFC-licensed-VASPs_Eng_1-Jun-2023.pdf?rev=d250206851484229ab949a4698761cb7" \h </w:instrText>
      </w:r>
      <w:r>
        <w:fldChar w:fldCharType="separate"/>
      </w:r>
      <w:r>
        <w:rPr>
          <w:lang w:eastAsia="zh-CN"/>
        </w:rPr>
        <w:t>打击洗钱及恐怖分子资金筹集指引（适用于持牌法团及获证监会发牌的虚拟资产服务提供者）</w:t>
      </w:r>
      <w:r>
        <w:fldChar w:fldCharType="end"/>
      </w:r>
      <w:r>
        <w:rPr>
          <w:lang w:eastAsia="zh-CN"/>
        </w:rPr>
        <w:t>；</w:t>
      </w:r>
    </w:p>
    <w:p w:rsidR="009A33A9" w:rsidRDefault="00801BA6">
      <w:pPr>
        <w:pStyle w:val="Compact"/>
        <w:numPr>
          <w:ilvl w:val="0"/>
          <w:numId w:val="5"/>
        </w:numPr>
        <w:rPr>
          <w:lang w:eastAsia="zh-CN"/>
        </w:rPr>
      </w:pPr>
      <w:hyperlink r:id="rId11">
        <w:r>
          <w:rPr>
            <w:lang w:eastAsia="zh-CN"/>
          </w:rPr>
          <w:t>证监会发出适用于持牌法团及获证监会发牌的虚拟资产服务提供者的有联系实体的防止洗钱及恐怖分子资金筹集的指引</w:t>
        </w:r>
      </w:hyperlink>
      <w:r>
        <w:rPr>
          <w:lang w:eastAsia="zh-CN"/>
        </w:rPr>
        <w:t>；</w:t>
      </w:r>
    </w:p>
    <w:p w:rsidR="009A33A9" w:rsidRDefault="00801BA6">
      <w:pPr>
        <w:pStyle w:val="Compact"/>
        <w:numPr>
          <w:ilvl w:val="0"/>
          <w:numId w:val="5"/>
        </w:numPr>
        <w:rPr>
          <w:lang w:eastAsia="zh-CN"/>
        </w:rPr>
      </w:pPr>
      <w:r>
        <w:rPr>
          <w:lang w:eastAsia="zh-CN"/>
        </w:rPr>
        <w:t>证监会</w:t>
      </w:r>
      <w:r>
        <w:fldChar w:fldCharType="begin"/>
      </w:r>
      <w:r>
        <w:rPr>
          <w:lang w:eastAsia="zh-CN"/>
        </w:rPr>
        <w:instrText xml:space="preserve"> HYPERLINK "https://sc.sfc.hk/TuniS/www.sfc.hk/TC/Welcome-to-the-Fintech-Contact-Point/Virtua</w:instrText>
      </w:r>
      <w:r>
        <w:rPr>
          <w:lang w:eastAsia="zh-CN"/>
        </w:rPr>
        <w:instrText xml:space="preserve">l-assets/Virtual-asset-trading-platforms-operators/Regulatory-requirements/FAQs-on-licensing-related-matters" \h </w:instrText>
      </w:r>
      <w:r>
        <w:fldChar w:fldCharType="separate"/>
      </w:r>
      <w:r>
        <w:rPr>
          <w:lang w:eastAsia="zh-CN"/>
        </w:rPr>
        <w:t>关于发牌事宜的常见问题</w:t>
      </w:r>
      <w:r>
        <w:fldChar w:fldCharType="end"/>
      </w:r>
      <w:r>
        <w:rPr>
          <w:lang w:eastAsia="zh-CN"/>
        </w:rPr>
        <w:t>；及</w:t>
      </w:r>
    </w:p>
    <w:p w:rsidR="009A33A9" w:rsidRDefault="00801BA6">
      <w:pPr>
        <w:pStyle w:val="Compact"/>
        <w:numPr>
          <w:ilvl w:val="0"/>
          <w:numId w:val="5"/>
        </w:numPr>
        <w:rPr>
          <w:lang w:eastAsia="zh-CN"/>
        </w:rPr>
      </w:pPr>
      <w:r>
        <w:rPr>
          <w:lang w:eastAsia="zh-CN"/>
        </w:rPr>
        <w:t>证监会</w:t>
      </w:r>
      <w:r>
        <w:fldChar w:fldCharType="begin"/>
      </w:r>
      <w:r>
        <w:rPr>
          <w:lang w:eastAsia="zh-CN"/>
        </w:rPr>
        <w:instrText xml:space="preserve"> HYPERLINK "https://sc.sfc.hk/TuniS/www.sfc.hk/TC/Welcome-to-the-Fintech-Contact-Point/Virtual-assets/Virtual-asset-trading</w:instrText>
      </w:r>
      <w:r>
        <w:rPr>
          <w:lang w:eastAsia="zh-CN"/>
        </w:rPr>
        <w:instrText xml:space="preserve">-platforms-operators/Regulatory-requirements/FAQs-on-conduct-related-matters" \h </w:instrText>
      </w:r>
      <w:r>
        <w:fldChar w:fldCharType="separate"/>
      </w:r>
      <w:r>
        <w:rPr>
          <w:lang w:eastAsia="zh-CN"/>
        </w:rPr>
        <w:t>关于操守相关事宜的常见问题</w:t>
      </w:r>
      <w:r>
        <w:fldChar w:fldCharType="end"/>
      </w:r>
      <w:r>
        <w:rPr>
          <w:lang w:eastAsia="zh-CN"/>
        </w:rPr>
        <w:t xml:space="preserve"> </w:t>
      </w:r>
      <w:r>
        <w:rPr>
          <w:lang w:eastAsia="zh-CN"/>
        </w:rPr>
        <w:t>。</w:t>
      </w:r>
    </w:p>
    <w:p w:rsidR="009A33A9" w:rsidRDefault="00801BA6">
      <w:pPr>
        <w:pStyle w:val="FirstParagraph"/>
        <w:rPr>
          <w:lang w:eastAsia="zh-CN"/>
        </w:rPr>
      </w:pPr>
      <w:r>
        <w:rPr>
          <w:lang w:eastAsia="zh-CN"/>
        </w:rPr>
        <w:lastRenderedPageBreak/>
        <w:t>有关虚拟资产交易平台营运者监管要求的更多详细信息，请参阅易周律师行的通讯</w:t>
      </w:r>
      <w:hyperlink r:id="rId12">
        <w:r>
          <w:rPr>
            <w:lang w:eastAsia="zh-CN"/>
          </w:rPr>
          <w:t>香港虚拟资产交易所发牌制度将于</w:t>
        </w:r>
        <w:r>
          <w:rPr>
            <w:lang w:eastAsia="zh-CN"/>
          </w:rPr>
          <w:t>2023</w:t>
        </w:r>
        <w:r>
          <w:rPr>
            <w:lang w:eastAsia="zh-CN"/>
          </w:rPr>
          <w:t>年</w:t>
        </w:r>
        <w:r>
          <w:rPr>
            <w:lang w:eastAsia="zh-CN"/>
          </w:rPr>
          <w:t>3</w:t>
        </w:r>
        <w:r>
          <w:rPr>
            <w:lang w:eastAsia="zh-CN"/>
          </w:rPr>
          <w:t>月</w:t>
        </w:r>
        <w:r>
          <w:rPr>
            <w:lang w:eastAsia="zh-CN"/>
          </w:rPr>
          <w:t>1</w:t>
        </w:r>
        <w:r>
          <w:rPr>
            <w:lang w:eastAsia="zh-CN"/>
          </w:rPr>
          <w:t>日生效</w:t>
        </w:r>
      </w:hyperlink>
      <w:r>
        <w:rPr>
          <w:lang w:eastAsia="zh-CN"/>
        </w:rPr>
        <w:t>及</w:t>
      </w:r>
      <w:hyperlink r:id="rId13">
        <w:r>
          <w:rPr>
            <w:lang w:eastAsia="zh-CN"/>
          </w:rPr>
          <w:t>香港证监会敲定对虚拟资产交易平台的</w:t>
        </w:r>
        <w:proofErr w:type="gramStart"/>
        <w:r>
          <w:rPr>
            <w:lang w:eastAsia="zh-CN"/>
          </w:rPr>
          <w:t>规</w:t>
        </w:r>
        <w:proofErr w:type="gramEnd"/>
        <w:r>
          <w:rPr>
            <w:lang w:eastAsia="zh-CN"/>
          </w:rPr>
          <w:t>管</w:t>
        </w:r>
      </w:hyperlink>
      <w:r>
        <w:rPr>
          <w:lang w:eastAsia="zh-CN"/>
        </w:rPr>
        <w:t>。</w:t>
      </w:r>
    </w:p>
    <w:p w:rsidR="009A33A9" w:rsidRDefault="00801BA6">
      <w:pPr>
        <w:pStyle w:val="BodyText"/>
        <w:rPr>
          <w:lang w:eastAsia="zh-CN"/>
        </w:rPr>
      </w:pPr>
      <w:r>
        <w:rPr>
          <w:lang w:eastAsia="zh-CN"/>
        </w:rPr>
        <w:t>证监会有关虚拟资产交易平台营运的指引材料</w:t>
      </w:r>
    </w:p>
    <w:p w:rsidR="009A33A9" w:rsidRDefault="00801BA6">
      <w:pPr>
        <w:pStyle w:val="BodyText"/>
        <w:rPr>
          <w:lang w:eastAsia="zh-CN"/>
        </w:rPr>
      </w:pPr>
      <w:r>
        <w:rPr>
          <w:lang w:eastAsia="zh-CN"/>
        </w:rPr>
        <w:t>证监会最新的虚拟资产交易平台营运者的通函指证监会为协助牌照申请人及就监管规定及持续呈报及具报责任提供指引而发出的各种文件，包括：</w:t>
      </w:r>
    </w:p>
    <w:p w:rsidR="009A33A9" w:rsidRDefault="00801BA6">
      <w:pPr>
        <w:pStyle w:val="Compact"/>
        <w:numPr>
          <w:ilvl w:val="0"/>
          <w:numId w:val="6"/>
        </w:numPr>
        <w:rPr>
          <w:lang w:eastAsia="zh-CN"/>
        </w:rPr>
      </w:pPr>
      <w:hyperlink r:id="rId14">
        <w:r>
          <w:rPr>
            <w:lang w:eastAsia="zh-CN"/>
          </w:rPr>
          <w:t>证监会适用于虚拟资产交易平台营运者的发</w:t>
        </w:r>
        <w:r>
          <w:rPr>
            <w:lang w:eastAsia="zh-CN"/>
          </w:rPr>
          <w:t>牌手册</w:t>
        </w:r>
      </w:hyperlink>
      <w:r>
        <w:rPr>
          <w:lang w:eastAsia="zh-CN"/>
        </w:rPr>
        <w:t>（</w:t>
      </w:r>
      <w:r>
        <w:rPr>
          <w:b/>
          <w:lang w:eastAsia="zh-CN"/>
        </w:rPr>
        <w:t>虚拟资产交易平台营运者的发牌手册</w:t>
      </w:r>
      <w:r>
        <w:rPr>
          <w:lang w:eastAsia="zh-CN"/>
        </w:rPr>
        <w:t>）订明获发牌后虚拟资产交易平台营运者的发牌申请程序及持续义务；</w:t>
      </w:r>
    </w:p>
    <w:p w:rsidR="009A33A9" w:rsidRDefault="00801BA6">
      <w:pPr>
        <w:pStyle w:val="Compact"/>
        <w:numPr>
          <w:ilvl w:val="0"/>
          <w:numId w:val="6"/>
        </w:numPr>
        <w:rPr>
          <w:lang w:eastAsia="zh-CN"/>
        </w:rPr>
      </w:pPr>
      <w:r>
        <w:rPr>
          <w:lang w:eastAsia="zh-CN"/>
        </w:rPr>
        <w:t>证监会</w:t>
      </w:r>
      <w:r>
        <w:fldChar w:fldCharType="begin"/>
      </w:r>
      <w:r>
        <w:rPr>
          <w:lang w:eastAsia="zh-CN"/>
        </w:rPr>
        <w:instrText xml:space="preserve"> HYPERLINK "https://sc.sfc.hk/TuniS/www.sfc.hk/TC/Welcome-to-the-Fintech-Contact-Point/Virtual-assets/Virtual-asset-trading-platforms-operators/Regulatory-requirements/FAQs-on-licensing-related-matte</w:instrText>
      </w:r>
      <w:r>
        <w:rPr>
          <w:lang w:eastAsia="zh-CN"/>
        </w:rPr>
        <w:instrText xml:space="preserve">rs" \h </w:instrText>
      </w:r>
      <w:r>
        <w:fldChar w:fldCharType="separate"/>
      </w:r>
      <w:r>
        <w:rPr>
          <w:lang w:eastAsia="zh-CN"/>
        </w:rPr>
        <w:t>关于发牌事宜的常见问题</w:t>
      </w:r>
      <w:r>
        <w:fldChar w:fldCharType="end"/>
      </w:r>
      <w:r>
        <w:rPr>
          <w:lang w:eastAsia="zh-CN"/>
        </w:rPr>
        <w:t>；及</w:t>
      </w:r>
    </w:p>
    <w:p w:rsidR="009A33A9" w:rsidRDefault="00801BA6">
      <w:pPr>
        <w:pStyle w:val="Compact"/>
        <w:numPr>
          <w:ilvl w:val="0"/>
          <w:numId w:val="6"/>
        </w:numPr>
        <w:rPr>
          <w:lang w:eastAsia="zh-CN"/>
        </w:rPr>
      </w:pPr>
      <w:r>
        <w:rPr>
          <w:lang w:eastAsia="zh-CN"/>
        </w:rPr>
        <w:t>证监会</w:t>
      </w:r>
      <w:r>
        <w:fldChar w:fldCharType="begin"/>
      </w:r>
      <w:r>
        <w:rPr>
          <w:lang w:eastAsia="zh-CN"/>
        </w:rPr>
        <w:instrText xml:space="preserve"> HYPERLINK "https://sc.sfc.hk/TuniS/www.sfc.hk/TC/Welcome-to-the-Fintech-Contact-Point/Virtual-assets/Virtual-asset-trading-platforms-operators/Regulatory-requirements/FAQs-on-conduct-related-matters" \h </w:instrText>
      </w:r>
      <w:r>
        <w:fldChar w:fldCharType="separate"/>
      </w:r>
      <w:r>
        <w:rPr>
          <w:lang w:eastAsia="zh-CN"/>
        </w:rPr>
        <w:t>关于行为相关事宜的常见问题</w:t>
      </w:r>
      <w:r>
        <w:fldChar w:fldCharType="end"/>
      </w:r>
      <w:r>
        <w:rPr>
          <w:lang w:eastAsia="zh-CN"/>
        </w:rPr>
        <w:t xml:space="preserve"> </w:t>
      </w:r>
      <w:r>
        <w:rPr>
          <w:lang w:eastAsia="zh-CN"/>
        </w:rPr>
        <w:t>。</w:t>
      </w:r>
    </w:p>
    <w:p w:rsidR="009A33A9" w:rsidRDefault="00801BA6">
      <w:pPr>
        <w:pStyle w:val="FirstParagraph"/>
        <w:rPr>
          <w:lang w:eastAsia="zh-CN"/>
        </w:rPr>
      </w:pPr>
      <w:r>
        <w:rPr>
          <w:lang w:eastAsia="zh-CN"/>
        </w:rPr>
        <w:t>虚拟资产交易平台</w:t>
      </w:r>
      <w:r>
        <w:rPr>
          <w:lang w:eastAsia="zh-CN"/>
        </w:rPr>
        <w:t>营运者发牌手册及常见问题的要点</w:t>
      </w:r>
    </w:p>
    <w:p w:rsidR="009A33A9" w:rsidRDefault="00801BA6">
      <w:pPr>
        <w:pStyle w:val="BodyText"/>
        <w:rPr>
          <w:lang w:eastAsia="zh-CN"/>
        </w:rPr>
      </w:pPr>
      <w:r>
        <w:rPr>
          <w:lang w:eastAsia="zh-CN"/>
        </w:rPr>
        <w:t>在香港以外开展虚拟资产业务</w:t>
      </w:r>
    </w:p>
    <w:p w:rsidR="009A33A9" w:rsidRDefault="00801BA6">
      <w:pPr>
        <w:pStyle w:val="BodyText"/>
        <w:rPr>
          <w:lang w:eastAsia="zh-CN"/>
        </w:rPr>
      </w:pPr>
      <w:r>
        <w:rPr>
          <w:lang w:eastAsia="zh-CN"/>
        </w:rPr>
        <w:t>根据《证券及期货条例》及</w:t>
      </w:r>
      <w:r>
        <w:rPr>
          <w:lang w:eastAsia="zh-CN"/>
        </w:rPr>
        <w:t>/</w:t>
      </w:r>
      <w:r>
        <w:rPr>
          <w:lang w:eastAsia="zh-CN"/>
        </w:rPr>
        <w:t>或《打击洗钱条例》取得的牌照，只容许持有人在香港经营经营虚拟资产交易所的业务。在香港以外经营的虚拟货币交易平台须遵守有关司法管辖区的法律及监管规定。</w:t>
      </w:r>
    </w:p>
    <w:p w:rsidR="009A33A9" w:rsidRDefault="00801BA6">
      <w:pPr>
        <w:pStyle w:val="BodyText"/>
        <w:rPr>
          <w:lang w:eastAsia="zh-CN"/>
        </w:rPr>
      </w:pPr>
      <w:r>
        <w:rPr>
          <w:lang w:eastAsia="zh-CN"/>
        </w:rPr>
        <w:t>在香港以外积极推销虚拟资产服务</w:t>
      </w:r>
    </w:p>
    <w:p w:rsidR="009A33A9" w:rsidRDefault="00801BA6">
      <w:pPr>
        <w:pStyle w:val="BodyText"/>
        <w:rPr>
          <w:lang w:eastAsia="zh-CN"/>
        </w:rPr>
      </w:pPr>
      <w:r>
        <w:rPr>
          <w:lang w:eastAsia="zh-CN"/>
        </w:rPr>
        <w:t>根据《证券及期货条例》第</w:t>
      </w:r>
      <w:r>
        <w:rPr>
          <w:lang w:eastAsia="zh-CN"/>
        </w:rPr>
        <w:t>115</w:t>
      </w:r>
      <w:r>
        <w:rPr>
          <w:lang w:eastAsia="zh-CN"/>
        </w:rPr>
        <w:t>条及《打击洗钱条例》第</w:t>
      </w:r>
      <w:r>
        <w:rPr>
          <w:lang w:eastAsia="zh-CN"/>
        </w:rPr>
        <w:t>53ZRB</w:t>
      </w:r>
      <w:r>
        <w:rPr>
          <w:lang w:eastAsia="zh-CN"/>
        </w:rPr>
        <w:t>条，任何人不论在香港或从香港以外的地方，向香港公众积极推广，提供任何根据《证券及期货条例》属受</w:t>
      </w:r>
      <w:proofErr w:type="gramStart"/>
      <w:r>
        <w:rPr>
          <w:lang w:eastAsia="zh-CN"/>
        </w:rPr>
        <w:t>规管活动</w:t>
      </w:r>
      <w:proofErr w:type="gramEnd"/>
      <w:r>
        <w:rPr>
          <w:lang w:eastAsia="zh-CN"/>
        </w:rPr>
        <w:t>的服务，或根据《打击洗钱条例》（如在香港提供）属虚拟资产的服务，除非该人已获证监会发牌，属犯罪。证监会就</w:t>
      </w:r>
      <w:r>
        <w:fldChar w:fldCharType="begin"/>
      </w:r>
      <w:r>
        <w:rPr>
          <w:lang w:eastAsia="zh-CN"/>
        </w:rPr>
        <w:instrText xml:space="preserve"> HYPERLINK "https://sc.sfc.hk/TuniS/www.sfc.hk/TC/Welcome-to-the-Fintech-Contact-Point/Virtual-assets/Virtual-asset-trad</w:instrText>
      </w:r>
      <w:r>
        <w:rPr>
          <w:lang w:eastAsia="zh-CN"/>
        </w:rPr>
        <w:instrText xml:space="preserve">ing-platforms-operators/Regulatory-requirements/FAQs-on-licensing-related-matters/Actively-markets-under-section-115-of-the-SFO-and-section-53ZRB-of-the-AMLO/Actively-markets-under-section-115-of-the-SFO-and-section-53ZRB-of-the-AMLO" \h </w:instrText>
      </w:r>
      <w:r>
        <w:fldChar w:fldCharType="separate"/>
      </w:r>
      <w:r>
        <w:rPr>
          <w:lang w:eastAsia="zh-CN"/>
        </w:rPr>
        <w:t>“</w:t>
      </w:r>
      <w:r>
        <w:rPr>
          <w:lang w:eastAsia="zh-CN"/>
        </w:rPr>
        <w:t>积极推广</w:t>
      </w:r>
      <w:r>
        <w:rPr>
          <w:lang w:eastAsia="zh-CN"/>
        </w:rPr>
        <w:t>”</w:t>
      </w:r>
      <w:r>
        <w:rPr>
          <w:lang w:eastAsia="zh-CN"/>
        </w:rPr>
        <w:t>的含义发出一份常见问题</w:t>
      </w:r>
      <w:r>
        <w:fldChar w:fldCharType="end"/>
      </w:r>
      <w:r>
        <w:rPr>
          <w:lang w:eastAsia="zh-CN"/>
        </w:rPr>
        <w:t>，指出：</w:t>
      </w:r>
    </w:p>
    <w:p w:rsidR="009A33A9" w:rsidRDefault="00801BA6">
      <w:pPr>
        <w:pStyle w:val="Compact"/>
        <w:numPr>
          <w:ilvl w:val="0"/>
          <w:numId w:val="7"/>
        </w:numPr>
        <w:rPr>
          <w:lang w:eastAsia="zh-CN"/>
        </w:rPr>
      </w:pPr>
      <w:r>
        <w:rPr>
          <w:lang w:eastAsia="zh-CN"/>
        </w:rPr>
        <w:t>积极推广可能包括，例如，经常拜访香港投资者并推广其服务（包括提供产品）；举办面向香港投资大众的大众传媒节目</w:t>
      </w:r>
      <w:r>
        <w:rPr>
          <w:lang w:eastAsia="zh-CN"/>
        </w:rPr>
        <w:t>;</w:t>
      </w:r>
      <w:r>
        <w:rPr>
          <w:lang w:eastAsia="zh-CN"/>
        </w:rPr>
        <w:t>以及针对香港投资者的互联网活动；及</w:t>
      </w:r>
    </w:p>
    <w:p w:rsidR="009A33A9" w:rsidRDefault="00801BA6">
      <w:pPr>
        <w:pStyle w:val="Compact"/>
        <w:numPr>
          <w:ilvl w:val="0"/>
          <w:numId w:val="7"/>
        </w:numPr>
        <w:rPr>
          <w:lang w:eastAsia="zh-CN"/>
        </w:rPr>
      </w:pPr>
      <w:r>
        <w:rPr>
          <w:lang w:eastAsia="zh-CN"/>
        </w:rPr>
        <w:t>在评估是否积极向公众推广服务时，证监会会考虑（除其他外）：</w:t>
      </w:r>
    </w:p>
    <w:p w:rsidR="009A33A9" w:rsidRDefault="00801BA6">
      <w:pPr>
        <w:pStyle w:val="Compact"/>
        <w:numPr>
          <w:ilvl w:val="1"/>
          <w:numId w:val="8"/>
        </w:numPr>
        <w:rPr>
          <w:lang w:eastAsia="zh-CN"/>
        </w:rPr>
      </w:pPr>
      <w:r>
        <w:rPr>
          <w:lang w:eastAsia="zh-CN"/>
        </w:rPr>
        <w:t>是否有详细的服务推广计划；</w:t>
      </w:r>
    </w:p>
    <w:p w:rsidR="009A33A9" w:rsidRDefault="00801BA6">
      <w:pPr>
        <w:pStyle w:val="Compact"/>
        <w:numPr>
          <w:ilvl w:val="1"/>
          <w:numId w:val="8"/>
        </w:numPr>
        <w:rPr>
          <w:lang w:eastAsia="zh-CN"/>
        </w:rPr>
      </w:pPr>
      <w:r>
        <w:rPr>
          <w:lang w:eastAsia="zh-CN"/>
        </w:rPr>
        <w:t>有关服务是否透过直接邮寄、在本地报纸刊发广告、广播或其他互联网</w:t>
      </w:r>
      <w:r>
        <w:rPr>
          <w:lang w:eastAsia="zh-CN"/>
        </w:rPr>
        <w:t>“</w:t>
      </w:r>
      <w:r>
        <w:rPr>
          <w:lang w:eastAsia="zh-CN"/>
        </w:rPr>
        <w:t>推送</w:t>
      </w:r>
      <w:r>
        <w:rPr>
          <w:lang w:eastAsia="zh-CN"/>
        </w:rPr>
        <w:t>”</w:t>
      </w:r>
      <w:r>
        <w:rPr>
          <w:lang w:eastAsia="zh-CN"/>
        </w:rPr>
        <w:t>技术等营销手段广泛宣传；</w:t>
      </w:r>
    </w:p>
    <w:p w:rsidR="009A33A9" w:rsidRDefault="00801BA6">
      <w:pPr>
        <w:pStyle w:val="Compact"/>
        <w:numPr>
          <w:ilvl w:val="1"/>
          <w:numId w:val="8"/>
        </w:numPr>
        <w:rPr>
          <w:lang w:eastAsia="zh-CN"/>
        </w:rPr>
      </w:pPr>
      <w:r>
        <w:rPr>
          <w:lang w:eastAsia="zh-CN"/>
        </w:rPr>
        <w:t>相关推广是否以协调一致的方式进行，并按照计划或时间表执行；及</w:t>
      </w:r>
    </w:p>
    <w:p w:rsidR="009A33A9" w:rsidRDefault="00801BA6">
      <w:pPr>
        <w:pStyle w:val="Compact"/>
        <w:numPr>
          <w:ilvl w:val="1"/>
          <w:numId w:val="8"/>
        </w:numPr>
        <w:rPr>
          <w:lang w:eastAsia="zh-CN"/>
        </w:rPr>
      </w:pPr>
      <w:r>
        <w:rPr>
          <w:lang w:eastAsia="zh-CN"/>
        </w:rPr>
        <w:t>服务是否以香港市民为对象进行销售，例如以中文书写及以港元计价。</w:t>
      </w:r>
    </w:p>
    <w:p w:rsidR="009A33A9" w:rsidRDefault="00801BA6">
      <w:pPr>
        <w:pStyle w:val="FirstParagraph"/>
        <w:rPr>
          <w:lang w:eastAsia="zh-CN"/>
        </w:rPr>
      </w:pPr>
      <w:r>
        <w:rPr>
          <w:lang w:eastAsia="zh-CN"/>
        </w:rPr>
        <w:t>值得注意的是，证监会并没有借此机会扩大其在《证券</w:t>
      </w:r>
      <w:r>
        <w:rPr>
          <w:lang w:eastAsia="zh-CN"/>
        </w:rPr>
        <w:t>及期货条例》第</w:t>
      </w:r>
      <w:r>
        <w:rPr>
          <w:lang w:eastAsia="zh-CN"/>
        </w:rPr>
        <w:t>115</w:t>
      </w:r>
      <w:r>
        <w:rPr>
          <w:lang w:eastAsia="zh-CN"/>
        </w:rPr>
        <w:t>条的背景下就</w:t>
      </w:r>
      <w:r>
        <w:rPr>
          <w:lang w:eastAsia="zh-CN"/>
        </w:rPr>
        <w:t>“</w:t>
      </w:r>
      <w:r>
        <w:rPr>
          <w:lang w:eastAsia="zh-CN"/>
        </w:rPr>
        <w:t>积极推广</w:t>
      </w:r>
      <w:r>
        <w:rPr>
          <w:lang w:eastAsia="zh-CN"/>
        </w:rPr>
        <w:t>”</w:t>
      </w:r>
      <w:r>
        <w:rPr>
          <w:lang w:eastAsia="zh-CN"/>
        </w:rPr>
        <w:t>一词的释义所载的常见问题。鉴于证监会在</w:t>
      </w:r>
      <w:r>
        <w:fldChar w:fldCharType="begin"/>
      </w:r>
      <w:r>
        <w:rPr>
          <w:lang w:eastAsia="zh-CN"/>
        </w:rPr>
        <w:instrText xml:space="preserve"> HYPERLINK "https://www.sfat.gov.hk/files/AN-7_and_8_and_9-2007-Determination.pdf" \h </w:instrText>
      </w:r>
      <w:r>
        <w:fldChar w:fldCharType="separate"/>
      </w:r>
      <w:proofErr w:type="gramStart"/>
      <w:r>
        <w:rPr>
          <w:lang w:eastAsia="zh-CN"/>
        </w:rPr>
        <w:t>吴肖梅</w:t>
      </w:r>
      <w:proofErr w:type="gramEnd"/>
      <w:r>
        <w:rPr>
          <w:lang w:eastAsia="zh-CN"/>
        </w:rPr>
        <w:t>与证监会一案</w:t>
      </w:r>
      <w:r>
        <w:fldChar w:fldCharType="end"/>
      </w:r>
      <w:r>
        <w:rPr>
          <w:lang w:eastAsia="zh-CN"/>
        </w:rPr>
        <w:t>中辩称</w:t>
      </w:r>
      <w:hyperlink w:anchor="footnote-598-2">
        <w:r>
          <w:rPr>
            <w:vertAlign w:val="superscript"/>
            <w:lang w:eastAsia="zh-CN"/>
          </w:rPr>
          <w:t>2</w:t>
        </w:r>
      </w:hyperlink>
      <w:r>
        <w:rPr>
          <w:lang w:eastAsia="zh-CN"/>
        </w:rPr>
        <w:t>：</w:t>
      </w:r>
    </w:p>
    <w:p w:rsidR="009A33A9" w:rsidRDefault="00801BA6">
      <w:pPr>
        <w:pStyle w:val="BodyText"/>
        <w:rPr>
          <w:lang w:eastAsia="zh-CN"/>
        </w:rPr>
      </w:pPr>
      <w:r>
        <w:rPr>
          <w:i/>
          <w:lang w:eastAsia="zh-CN"/>
        </w:rPr>
        <w:t>“</w:t>
      </w:r>
      <w:r>
        <w:rPr>
          <w:i/>
          <w:lang w:eastAsia="zh-CN"/>
        </w:rPr>
        <w:t>积极推广</w:t>
      </w:r>
      <w:r>
        <w:rPr>
          <w:i/>
          <w:lang w:eastAsia="zh-CN"/>
        </w:rPr>
        <w:t>”</w:t>
      </w:r>
      <w:r>
        <w:rPr>
          <w:i/>
          <w:lang w:eastAsia="zh-CN"/>
        </w:rPr>
        <w:t>一词与证监会的解释性材料结合使用时，必须理解为不超过主要意义上的推广，即向香港公众积极宣传该服务</w:t>
      </w:r>
      <w:r>
        <w:rPr>
          <w:i/>
          <w:lang w:eastAsia="zh-CN"/>
        </w:rPr>
        <w:t>”</w:t>
      </w:r>
      <w:r>
        <w:rPr>
          <w:i/>
          <w:lang w:eastAsia="zh-CN"/>
        </w:rPr>
        <w:t>。</w:t>
      </w:r>
    </w:p>
    <w:p w:rsidR="009A33A9" w:rsidRDefault="00801BA6">
      <w:pPr>
        <w:pStyle w:val="BodyText"/>
        <w:rPr>
          <w:lang w:eastAsia="zh-CN"/>
        </w:rPr>
      </w:pPr>
      <w:r>
        <w:rPr>
          <w:lang w:eastAsia="zh-CN"/>
        </w:rPr>
        <w:t>同样值得注意的，或许</w:t>
      </w:r>
      <w:proofErr w:type="gramStart"/>
      <w:r>
        <w:rPr>
          <w:lang w:eastAsia="zh-CN"/>
        </w:rPr>
        <w:t>是石仲廉</w:t>
      </w:r>
      <w:proofErr w:type="gramEnd"/>
      <w:r>
        <w:rPr>
          <w:lang w:eastAsia="zh-CN"/>
        </w:rPr>
        <w:t>法官的</w:t>
      </w:r>
      <w:r>
        <w:rPr>
          <w:lang w:eastAsia="zh-CN"/>
        </w:rPr>
        <w:t>评论</w:t>
      </w:r>
      <w:r>
        <w:rPr>
          <w:lang w:eastAsia="zh-CN"/>
        </w:rPr>
        <w:t>:“</w:t>
      </w:r>
      <w:r>
        <w:rPr>
          <w:i/>
          <w:lang w:eastAsia="zh-CN"/>
        </w:rPr>
        <w:t>我不认为向法案委员会提交的咨询文件的脚注或证监会网页的内容只不过是一些可能作出的诠释</w:t>
      </w:r>
      <w:r>
        <w:rPr>
          <w:lang w:eastAsia="zh-CN"/>
        </w:rPr>
        <w:t>”</w:t>
      </w:r>
      <w:r>
        <w:rPr>
          <w:lang w:eastAsia="zh-CN"/>
        </w:rPr>
        <w:t>。</w:t>
      </w:r>
    </w:p>
    <w:p w:rsidR="009A33A9" w:rsidRDefault="00801BA6">
      <w:pPr>
        <w:pStyle w:val="BodyText"/>
        <w:rPr>
          <w:lang w:eastAsia="zh-CN"/>
        </w:rPr>
      </w:pPr>
      <w:r>
        <w:rPr>
          <w:lang w:eastAsia="zh-CN"/>
        </w:rPr>
        <w:t>证监会监管沙盒</w:t>
      </w:r>
    </w:p>
    <w:p w:rsidR="009A33A9" w:rsidRDefault="00801BA6">
      <w:pPr>
        <w:pStyle w:val="BodyText"/>
        <w:rPr>
          <w:lang w:eastAsia="zh-CN"/>
        </w:rPr>
      </w:pPr>
      <w:r>
        <w:rPr>
          <w:lang w:eastAsia="zh-CN"/>
        </w:rPr>
        <w:t>香港证监会</w:t>
      </w:r>
      <w:proofErr w:type="gramStart"/>
      <w:r>
        <w:rPr>
          <w:lang w:eastAsia="zh-CN"/>
        </w:rPr>
        <w:t>监管沙盒于</w:t>
      </w:r>
      <w:proofErr w:type="gramEnd"/>
      <w:r>
        <w:rPr>
          <w:lang w:eastAsia="zh-CN"/>
        </w:rPr>
        <w:t>2017</w:t>
      </w:r>
      <w:r>
        <w:rPr>
          <w:lang w:eastAsia="zh-CN"/>
        </w:rPr>
        <w:t>年推出，旨在为使用金融科技进行监管活动的公司提供一个有限的监管环境。</w:t>
      </w:r>
    </w:p>
    <w:p w:rsidR="009A33A9" w:rsidRDefault="00801BA6">
      <w:pPr>
        <w:pStyle w:val="BodyText"/>
        <w:rPr>
          <w:lang w:eastAsia="zh-CN"/>
        </w:rPr>
      </w:pPr>
      <w:r>
        <w:rPr>
          <w:lang w:eastAsia="zh-CN"/>
        </w:rPr>
        <w:t>根据</w:t>
      </w:r>
      <w:hyperlink r:id="rId15">
        <w:r>
          <w:rPr>
            <w:lang w:eastAsia="zh-CN"/>
          </w:rPr>
          <w:t>虚拟资产交易平台营运者的发牌手册</w:t>
        </w:r>
      </w:hyperlink>
      <w:r>
        <w:rPr>
          <w:lang w:eastAsia="zh-CN"/>
        </w:rPr>
        <w:t>及</w:t>
      </w:r>
      <w:hyperlink r:id="rId16">
        <w:r>
          <w:rPr>
            <w:lang w:eastAsia="zh-CN"/>
          </w:rPr>
          <w:t>有关证监会</w:t>
        </w:r>
        <w:proofErr w:type="gramStart"/>
        <w:r>
          <w:rPr>
            <w:lang w:eastAsia="zh-CN"/>
          </w:rPr>
          <w:t>监管沙盒的</w:t>
        </w:r>
        <w:proofErr w:type="gramEnd"/>
        <w:r>
          <w:rPr>
            <w:lang w:eastAsia="zh-CN"/>
          </w:rPr>
          <w:t>常见问题</w:t>
        </w:r>
      </w:hyperlink>
      <w:r>
        <w:rPr>
          <w:lang w:eastAsia="zh-CN"/>
        </w:rPr>
        <w:t>，在取得牌照后，虚拟资产交易平台营运者将进入证监会监管沙盒，以便证监会评估及监察其提供的服务及内部监控</w:t>
      </w:r>
      <w:r>
        <w:rPr>
          <w:lang w:eastAsia="zh-CN"/>
        </w:rPr>
        <w:lastRenderedPageBreak/>
        <w:t>系统。证监会预期这将促进证监会与虚拟资产平台营运者之间的对话，使平台营运者能够识别和处理其活动所产生的任何风险。</w:t>
      </w:r>
    </w:p>
    <w:tbl>
      <w:tblPr>
        <w:tblW w:w="5000" w:type="pct"/>
        <w:tblLook w:val="07C0" w:firstRow="0" w:lastRow="1" w:firstColumn="1" w:lastColumn="1" w:noHBand="1" w:noVBand="1"/>
      </w:tblPr>
      <w:tblGrid>
        <w:gridCol w:w="1411"/>
        <w:gridCol w:w="8983"/>
      </w:tblGrid>
      <w:tr w:rsidR="009A33A9">
        <w:tc>
          <w:tcPr>
            <w:tcW w:w="0" w:type="auto"/>
          </w:tcPr>
          <w:p w:rsidR="009A33A9" w:rsidRDefault="00801BA6">
            <w:proofErr w:type="spellStart"/>
            <w:r>
              <w:t>资格要求</w:t>
            </w:r>
            <w:proofErr w:type="spellEnd"/>
          </w:p>
        </w:tc>
        <w:tc>
          <w:tcPr>
            <w:tcW w:w="0" w:type="auto"/>
          </w:tcPr>
          <w:p w:rsidR="009A33A9" w:rsidRDefault="00801BA6">
            <w:pPr>
              <w:rPr>
                <w:lang w:eastAsia="zh-CN"/>
              </w:rPr>
            </w:pPr>
            <w:proofErr w:type="gramStart"/>
            <w:r>
              <w:rPr>
                <w:lang w:eastAsia="zh-CN"/>
              </w:rPr>
              <w:t>沙盒开放</w:t>
            </w:r>
            <w:proofErr w:type="gramEnd"/>
            <w:r>
              <w:rPr>
                <w:lang w:eastAsia="zh-CN"/>
              </w:rPr>
              <w:t>予有意根据《证券及期货条例》及</w:t>
            </w:r>
            <w:r>
              <w:rPr>
                <w:lang w:eastAsia="zh-CN"/>
              </w:rPr>
              <w:t>/</w:t>
            </w:r>
            <w:r>
              <w:rPr>
                <w:lang w:eastAsia="zh-CN"/>
              </w:rPr>
              <w:t>或《打击洗钱条例》进行获发牌活动的虚拟资产交易平台营运者。平台运营商需要</w:t>
            </w:r>
            <w:r>
              <w:rPr>
                <w:lang w:eastAsia="zh-CN"/>
              </w:rPr>
              <w:t>“</w:t>
            </w:r>
            <w:r>
              <w:rPr>
                <w:lang w:eastAsia="zh-CN"/>
              </w:rPr>
              <w:t>适当</w:t>
            </w:r>
            <w:r>
              <w:rPr>
                <w:lang w:eastAsia="zh-CN"/>
              </w:rPr>
              <w:t>”</w:t>
            </w:r>
            <w:r>
              <w:rPr>
                <w:lang w:eastAsia="zh-CN"/>
              </w:rPr>
              <w:t>，使用创新技术，并致力于使用金融科技运营虚拟资产交易平台。</w:t>
            </w:r>
          </w:p>
        </w:tc>
      </w:tr>
      <w:tr w:rsidR="009A33A9">
        <w:tc>
          <w:tcPr>
            <w:tcW w:w="0" w:type="auto"/>
          </w:tcPr>
          <w:p w:rsidR="009A33A9" w:rsidRDefault="00801BA6">
            <w:proofErr w:type="spellStart"/>
            <w:r>
              <w:t>发牌条件</w:t>
            </w:r>
            <w:proofErr w:type="spellEnd"/>
          </w:p>
        </w:tc>
        <w:tc>
          <w:tcPr>
            <w:tcW w:w="0" w:type="auto"/>
          </w:tcPr>
          <w:p w:rsidR="009A33A9" w:rsidRDefault="00801BA6">
            <w:pPr>
              <w:rPr>
                <w:lang w:eastAsia="zh-CN"/>
              </w:rPr>
            </w:pPr>
            <w:r>
              <w:rPr>
                <w:lang w:eastAsia="zh-CN"/>
              </w:rPr>
              <w:t>为减轻持牌平台营运者在沙盒内的潜在投资者风险，证监会可能会施加发牌条件（例如要求平台营运者定期接受证监会监督审核）。</w:t>
            </w:r>
          </w:p>
        </w:tc>
      </w:tr>
      <w:tr w:rsidR="009A33A9">
        <w:tc>
          <w:tcPr>
            <w:tcW w:w="0" w:type="auto"/>
          </w:tcPr>
          <w:p w:rsidR="009A33A9" w:rsidRDefault="00801BA6">
            <w:pPr>
              <w:rPr>
                <w:lang w:eastAsia="zh-CN"/>
              </w:rPr>
            </w:pPr>
            <w:r>
              <w:rPr>
                <w:lang w:eastAsia="zh-CN"/>
              </w:rPr>
              <w:t>密切证监会的监察和监督</w:t>
            </w:r>
          </w:p>
        </w:tc>
        <w:tc>
          <w:tcPr>
            <w:tcW w:w="0" w:type="auto"/>
          </w:tcPr>
          <w:p w:rsidR="009A33A9" w:rsidRDefault="00801BA6">
            <w:pPr>
              <w:rPr>
                <w:lang w:eastAsia="zh-CN"/>
              </w:rPr>
            </w:pPr>
            <w:r>
              <w:rPr>
                <w:lang w:eastAsia="zh-CN"/>
              </w:rPr>
              <w:t>平台营运者在</w:t>
            </w:r>
            <w:proofErr w:type="gramStart"/>
            <w:r>
              <w:rPr>
                <w:lang w:eastAsia="zh-CN"/>
              </w:rPr>
              <w:t>监管沙盒期间</w:t>
            </w:r>
            <w:proofErr w:type="gramEnd"/>
            <w:r>
              <w:rPr>
                <w:lang w:eastAsia="zh-CN"/>
              </w:rPr>
              <w:t>，可能会受到证监会更多的监察和监管。香港证监会的意图是与平台营运者进行沟通，并可能强调企业能进一步改善其内部监控及风险管理的合</w:t>
            </w:r>
            <w:proofErr w:type="gramStart"/>
            <w:r>
              <w:rPr>
                <w:lang w:eastAsia="zh-CN"/>
              </w:rPr>
              <w:t>规</w:t>
            </w:r>
            <w:proofErr w:type="gramEnd"/>
            <w:r>
              <w:rPr>
                <w:lang w:eastAsia="zh-CN"/>
              </w:rPr>
              <w:t>范畴。</w:t>
            </w:r>
          </w:p>
        </w:tc>
      </w:tr>
      <w:tr w:rsidR="009A33A9">
        <w:tc>
          <w:tcPr>
            <w:tcW w:w="0" w:type="auto"/>
          </w:tcPr>
          <w:p w:rsidR="009A33A9" w:rsidRDefault="00801BA6">
            <w:proofErr w:type="spellStart"/>
            <w:r>
              <w:t>投资者保障措施</w:t>
            </w:r>
            <w:proofErr w:type="spellEnd"/>
          </w:p>
        </w:tc>
        <w:tc>
          <w:tcPr>
            <w:tcW w:w="0" w:type="auto"/>
          </w:tcPr>
          <w:p w:rsidR="009A33A9" w:rsidRDefault="00801BA6">
            <w:pPr>
              <w:rPr>
                <w:lang w:eastAsia="zh-CN"/>
              </w:rPr>
            </w:pPr>
            <w:r>
              <w:rPr>
                <w:lang w:eastAsia="zh-CN"/>
              </w:rPr>
              <w:t>香港证监会期望虚拟资产平台营办商落实投资者保障措施，以应对实际或潜在风险。他们应该告知客户他们参与了沙盒，并充分披露任何潜在的风险和赔偿安排。</w:t>
            </w:r>
          </w:p>
        </w:tc>
      </w:tr>
      <w:tr w:rsidR="009A33A9">
        <w:tc>
          <w:tcPr>
            <w:tcW w:w="0" w:type="auto"/>
          </w:tcPr>
          <w:p w:rsidR="009A33A9" w:rsidRDefault="00801BA6">
            <w:proofErr w:type="spellStart"/>
            <w:r>
              <w:t>退出沙盒</w:t>
            </w:r>
            <w:proofErr w:type="spellEnd"/>
          </w:p>
        </w:tc>
        <w:tc>
          <w:tcPr>
            <w:tcW w:w="0" w:type="auto"/>
          </w:tcPr>
          <w:p w:rsidR="009A33A9" w:rsidRDefault="00801BA6">
            <w:pPr>
              <w:rPr>
                <w:lang w:eastAsia="zh-CN"/>
              </w:rPr>
            </w:pPr>
            <w:r>
              <w:rPr>
                <w:lang w:eastAsia="zh-CN"/>
              </w:rPr>
              <w:t>一旦平台营运者能够证明其科技的可靠性和内部监控程序来解决已识别的风险，他们就可以要求移除部分或全部发牌条件。相反，如果平台营运者未能满足监管要求，则可能被撤销牌照。</w:t>
            </w:r>
          </w:p>
        </w:tc>
      </w:tr>
    </w:tbl>
    <w:p w:rsidR="009A33A9" w:rsidRDefault="00801BA6">
      <w:pPr>
        <w:pStyle w:val="BodyText"/>
        <w:rPr>
          <w:lang w:eastAsia="zh-CN"/>
        </w:rPr>
      </w:pPr>
      <w:r>
        <w:rPr>
          <w:lang w:eastAsia="zh-CN"/>
        </w:rPr>
        <w:t>核心职能经理</w:t>
      </w:r>
    </w:p>
    <w:p w:rsidR="009A33A9" w:rsidRDefault="00801BA6">
      <w:pPr>
        <w:pStyle w:val="BodyText"/>
        <w:rPr>
          <w:lang w:eastAsia="zh-CN"/>
        </w:rPr>
      </w:pPr>
      <w:r>
        <w:rPr>
          <w:lang w:eastAsia="zh-CN"/>
        </w:rPr>
        <w:t>证监会已为持牌虚拟资产交易平台营运</w:t>
      </w:r>
      <w:proofErr w:type="gramStart"/>
      <w:r>
        <w:rPr>
          <w:lang w:eastAsia="zh-CN"/>
        </w:rPr>
        <w:t>者推行</w:t>
      </w:r>
      <w:proofErr w:type="gramEnd"/>
      <w:r>
        <w:rPr>
          <w:lang w:eastAsia="zh-CN"/>
        </w:rPr>
        <w:t>核心职能经理制度（详情载于证监会</w:t>
      </w:r>
      <w:r>
        <w:fldChar w:fldCharType="begin"/>
      </w:r>
      <w:r>
        <w:rPr>
          <w:lang w:eastAsia="zh-CN"/>
        </w:rPr>
        <w:instrText xml:space="preserve"> HYPERLINK "https://sc.sfc.hk/TuniS/www.sfc.hk/TC/Welcome-to-the-Fintech-Contact-Point/Virtual-assets/Virtual-asset-trading-pla</w:instrText>
      </w:r>
      <w:r>
        <w:rPr>
          <w:lang w:eastAsia="zh-CN"/>
        </w:rPr>
        <w:instrText xml:space="preserve">tforms-operators/Regulatory-requirements/FAQs-on-licensing-related-matters/Measures-for-augmenting-senior-management-accountability-in-Platform-Operators/Measures-for-augmenting-senior-management-accountability-in-Platform-Operators" \h </w:instrText>
      </w:r>
      <w:r>
        <w:fldChar w:fldCharType="separate"/>
      </w:r>
      <w:r>
        <w:rPr>
          <w:lang w:eastAsia="zh-CN"/>
        </w:rPr>
        <w:t>加强平台营运</w:t>
      </w:r>
      <w:proofErr w:type="gramStart"/>
      <w:r>
        <w:rPr>
          <w:lang w:eastAsia="zh-CN"/>
        </w:rPr>
        <w:t>者高级管理层问责措施</w:t>
      </w:r>
      <w:proofErr w:type="gramEnd"/>
      <w:r>
        <w:rPr>
          <w:lang w:eastAsia="zh-CN"/>
        </w:rPr>
        <w:t>的常</w:t>
      </w:r>
      <w:r>
        <w:rPr>
          <w:lang w:eastAsia="zh-CN"/>
        </w:rPr>
        <w:t>见问题</w:t>
      </w:r>
      <w:r>
        <w:fldChar w:fldCharType="end"/>
      </w:r>
      <w:r>
        <w:rPr>
          <w:lang w:eastAsia="zh-CN"/>
        </w:rPr>
        <w:t>)</w:t>
      </w:r>
      <w:r>
        <w:rPr>
          <w:lang w:eastAsia="zh-CN"/>
        </w:rPr>
        <w:t>，该制度以适用于其他证监会持牌实体的核心职能经理制度为基础。持牌虚拟交易平台营运者须委任一名或多名虚拟交易平台营运者为主要负责管理平台营办商各项</w:t>
      </w:r>
      <w:r>
        <w:rPr>
          <w:lang w:eastAsia="zh-CN"/>
        </w:rPr>
        <w:t>“</w:t>
      </w:r>
      <w:r>
        <w:rPr>
          <w:lang w:eastAsia="zh-CN"/>
        </w:rPr>
        <w:t>核心职能</w:t>
      </w:r>
      <w:r>
        <w:rPr>
          <w:lang w:eastAsia="zh-CN"/>
        </w:rPr>
        <w:t>”</w:t>
      </w:r>
      <w:r>
        <w:rPr>
          <w:lang w:eastAsia="zh-CN"/>
        </w:rPr>
        <w:t>的个人</w:t>
      </w:r>
      <w:r>
        <w:rPr>
          <w:lang w:eastAsia="zh-CN"/>
        </w:rPr>
        <w:t>(</w:t>
      </w:r>
      <w:r>
        <w:rPr>
          <w:lang w:eastAsia="zh-CN"/>
        </w:rPr>
        <w:t>可单独或与他人共同负责</w:t>
      </w:r>
      <w:r>
        <w:rPr>
          <w:lang w:eastAsia="zh-CN"/>
        </w:rPr>
        <w:t>)</w:t>
      </w:r>
      <w:r>
        <w:rPr>
          <w:lang w:eastAsia="zh-CN"/>
        </w:rPr>
        <w:t>，这些</w:t>
      </w:r>
      <w:r>
        <w:rPr>
          <w:lang w:eastAsia="zh-CN"/>
        </w:rPr>
        <w:t>“</w:t>
      </w:r>
      <w:r>
        <w:rPr>
          <w:lang w:eastAsia="zh-CN"/>
        </w:rPr>
        <w:t>核心职能</w:t>
      </w:r>
      <w:r>
        <w:rPr>
          <w:lang w:eastAsia="zh-CN"/>
        </w:rPr>
        <w:t>”</w:t>
      </w:r>
      <w:r>
        <w:rPr>
          <w:lang w:eastAsia="zh-CN"/>
        </w:rPr>
        <w:t>包括：</w:t>
      </w:r>
    </w:p>
    <w:p w:rsidR="009A33A9" w:rsidRDefault="00801BA6">
      <w:pPr>
        <w:pStyle w:val="Compact"/>
        <w:numPr>
          <w:ilvl w:val="0"/>
          <w:numId w:val="9"/>
        </w:numPr>
      </w:pPr>
      <w:r>
        <w:rPr>
          <w:lang w:eastAsia="zh-CN"/>
        </w:rPr>
        <w:t>全面管理监督</w:t>
      </w:r>
      <w:r>
        <w:rPr>
          <w:lang w:eastAsia="zh-CN"/>
        </w:rPr>
        <w:t xml:space="preserve"> - </w:t>
      </w:r>
      <w:r>
        <w:rPr>
          <w:lang w:eastAsia="zh-CN"/>
        </w:rPr>
        <w:t>负责平台营运者整体运营的日常指导和有效管理监督（如首席执行官或总裁）。</w:t>
      </w:r>
      <w:proofErr w:type="spellStart"/>
      <w:r>
        <w:t>主要职责包括</w:t>
      </w:r>
      <w:proofErr w:type="spellEnd"/>
      <w:r>
        <w:t>：</w:t>
      </w:r>
    </w:p>
    <w:p w:rsidR="009A33A9" w:rsidRDefault="00801BA6">
      <w:pPr>
        <w:pStyle w:val="Compact"/>
        <w:numPr>
          <w:ilvl w:val="1"/>
          <w:numId w:val="10"/>
        </w:numPr>
        <w:rPr>
          <w:lang w:eastAsia="zh-CN"/>
        </w:rPr>
      </w:pPr>
      <w:r>
        <w:rPr>
          <w:lang w:eastAsia="zh-CN"/>
        </w:rPr>
        <w:t>开发平台营运者的业务模式、目标、战略、组织结构、控制和政策；</w:t>
      </w:r>
    </w:p>
    <w:p w:rsidR="009A33A9" w:rsidRDefault="00801BA6">
      <w:pPr>
        <w:pStyle w:val="Compact"/>
        <w:numPr>
          <w:ilvl w:val="1"/>
          <w:numId w:val="10"/>
        </w:numPr>
        <w:rPr>
          <w:lang w:eastAsia="zh-CN"/>
        </w:rPr>
      </w:pPr>
      <w:r>
        <w:rPr>
          <w:lang w:eastAsia="zh-CN"/>
        </w:rPr>
        <w:t>发展和推广良好的公司管治做法、文化和道德规范；及</w:t>
      </w:r>
    </w:p>
    <w:p w:rsidR="009A33A9" w:rsidRDefault="00801BA6">
      <w:pPr>
        <w:pStyle w:val="Compact"/>
        <w:numPr>
          <w:ilvl w:val="1"/>
          <w:numId w:val="10"/>
        </w:numPr>
        <w:rPr>
          <w:lang w:eastAsia="zh-CN"/>
        </w:rPr>
      </w:pPr>
      <w:r>
        <w:rPr>
          <w:lang w:eastAsia="zh-CN"/>
        </w:rPr>
        <w:t>执行和监督董事会批准的业务目标、战略和计划的实施，以及组织结构和控制的有效</w:t>
      </w:r>
      <w:r>
        <w:rPr>
          <w:lang w:eastAsia="zh-CN"/>
        </w:rPr>
        <w:t>性。</w:t>
      </w:r>
    </w:p>
    <w:p w:rsidR="009A33A9" w:rsidRDefault="00801BA6">
      <w:pPr>
        <w:pStyle w:val="Compact"/>
        <w:numPr>
          <w:ilvl w:val="0"/>
          <w:numId w:val="9"/>
        </w:numPr>
        <w:rPr>
          <w:lang w:eastAsia="zh-CN"/>
        </w:rPr>
      </w:pPr>
      <w:r>
        <w:rPr>
          <w:lang w:eastAsia="zh-CN"/>
        </w:rPr>
        <w:t>主要业务线</w:t>
      </w:r>
      <w:r>
        <w:rPr>
          <w:lang w:eastAsia="zh-CN"/>
        </w:rPr>
        <w:t xml:space="preserve"> - </w:t>
      </w:r>
      <w:r>
        <w:rPr>
          <w:lang w:eastAsia="zh-CN"/>
        </w:rPr>
        <w:t>指导和监督由一种或多种受《证券及期货条例》监管的活动和</w:t>
      </w:r>
      <w:r>
        <w:rPr>
          <w:lang w:eastAsia="zh-CN"/>
        </w:rPr>
        <w:t>/</w:t>
      </w:r>
      <w:r>
        <w:rPr>
          <w:lang w:eastAsia="zh-CN"/>
        </w:rPr>
        <w:t>或《打击洗钱条例》下的虚拟资产服务组成的业务线（例如自动交易服务主管、经纪服务主管或销售主管）；</w:t>
      </w:r>
    </w:p>
    <w:p w:rsidR="009A33A9" w:rsidRDefault="00801BA6">
      <w:pPr>
        <w:pStyle w:val="Compact"/>
        <w:numPr>
          <w:ilvl w:val="0"/>
          <w:numId w:val="9"/>
        </w:numPr>
      </w:pPr>
      <w:proofErr w:type="spellStart"/>
      <w:r>
        <w:t>营运控制和检讨</w:t>
      </w:r>
      <w:proofErr w:type="spellEnd"/>
      <w:r>
        <w:t xml:space="preserve"> - </w:t>
      </w:r>
      <w:proofErr w:type="spellStart"/>
      <w:r>
        <w:t>负责</w:t>
      </w:r>
      <w:proofErr w:type="spellEnd"/>
      <w:r>
        <w:t>：</w:t>
      </w:r>
    </w:p>
    <w:p w:rsidR="009A33A9" w:rsidRDefault="00801BA6">
      <w:pPr>
        <w:pStyle w:val="Compact"/>
        <w:numPr>
          <w:ilvl w:val="1"/>
          <w:numId w:val="11"/>
        </w:numPr>
        <w:rPr>
          <w:lang w:eastAsia="zh-CN"/>
        </w:rPr>
      </w:pPr>
      <w:r>
        <w:rPr>
          <w:lang w:eastAsia="zh-CN"/>
        </w:rPr>
        <w:t>建立和维持适当和有效的平台运行控制系统；及</w:t>
      </w:r>
    </w:p>
    <w:p w:rsidR="009A33A9" w:rsidRDefault="00801BA6">
      <w:pPr>
        <w:pStyle w:val="Compact"/>
        <w:numPr>
          <w:ilvl w:val="1"/>
          <w:numId w:val="11"/>
        </w:numPr>
        <w:rPr>
          <w:lang w:eastAsia="zh-CN"/>
        </w:rPr>
      </w:pPr>
      <w:r>
        <w:rPr>
          <w:lang w:eastAsia="zh-CN"/>
        </w:rPr>
        <w:t>检讨平台营运商对内部控制系统的遵从情况，以及内部控制系统的充分性和有效性</w:t>
      </w:r>
      <w:r>
        <w:rPr>
          <w:lang w:eastAsia="zh-CN"/>
        </w:rPr>
        <w:t>(</w:t>
      </w:r>
      <w:r>
        <w:rPr>
          <w:lang w:eastAsia="zh-CN"/>
        </w:rPr>
        <w:t>例如营运总监、营运总监、内部审计总监</w:t>
      </w:r>
      <w:r>
        <w:rPr>
          <w:lang w:eastAsia="zh-CN"/>
        </w:rPr>
        <w:t>)</w:t>
      </w:r>
      <w:r>
        <w:rPr>
          <w:lang w:eastAsia="zh-CN"/>
        </w:rPr>
        <w:t>；</w:t>
      </w:r>
    </w:p>
    <w:p w:rsidR="009A33A9" w:rsidRDefault="00801BA6">
      <w:pPr>
        <w:pStyle w:val="Compact"/>
        <w:numPr>
          <w:ilvl w:val="0"/>
          <w:numId w:val="9"/>
        </w:numPr>
        <w:rPr>
          <w:lang w:eastAsia="zh-CN"/>
        </w:rPr>
      </w:pPr>
      <w:r>
        <w:rPr>
          <w:lang w:eastAsia="zh-CN"/>
        </w:rPr>
        <w:t>风险管理</w:t>
      </w:r>
      <w:r>
        <w:rPr>
          <w:lang w:eastAsia="zh-CN"/>
        </w:rPr>
        <w:t xml:space="preserve"> - </w:t>
      </w:r>
      <w:r>
        <w:rPr>
          <w:lang w:eastAsia="zh-CN"/>
        </w:rPr>
        <w:t>负责识别、评估、监测和报告平台营运者运营中产生的风险（如首席风险官、风险管理主管）：</w:t>
      </w:r>
    </w:p>
    <w:p w:rsidR="009A33A9" w:rsidRDefault="00801BA6">
      <w:pPr>
        <w:pStyle w:val="Compact"/>
        <w:numPr>
          <w:ilvl w:val="0"/>
          <w:numId w:val="9"/>
        </w:numPr>
        <w:rPr>
          <w:lang w:eastAsia="zh-CN"/>
        </w:rPr>
      </w:pPr>
      <w:r>
        <w:rPr>
          <w:lang w:eastAsia="zh-CN"/>
        </w:rPr>
        <w:t>财务与会计</w:t>
      </w:r>
      <w:r>
        <w:rPr>
          <w:lang w:eastAsia="zh-CN"/>
        </w:rPr>
        <w:t xml:space="preserve"> - </w:t>
      </w:r>
      <w:r>
        <w:rPr>
          <w:lang w:eastAsia="zh-CN"/>
        </w:rPr>
        <w:t>负责确保及时准确的财务报告和分析</w:t>
      </w:r>
      <w:r>
        <w:rPr>
          <w:lang w:eastAsia="zh-CN"/>
        </w:rPr>
        <w:t>平台营运者的运营成果和财务状况（如首席财务官、财务总监或财务总监）；</w:t>
      </w:r>
    </w:p>
    <w:p w:rsidR="009A33A9" w:rsidRDefault="00801BA6">
      <w:pPr>
        <w:pStyle w:val="Compact"/>
        <w:numPr>
          <w:ilvl w:val="0"/>
          <w:numId w:val="9"/>
        </w:numPr>
        <w:rPr>
          <w:lang w:eastAsia="zh-CN"/>
        </w:rPr>
      </w:pPr>
      <w:r>
        <w:rPr>
          <w:lang w:eastAsia="zh-CN"/>
        </w:rPr>
        <w:t>信息技术</w:t>
      </w:r>
      <w:r>
        <w:rPr>
          <w:lang w:eastAsia="zh-CN"/>
        </w:rPr>
        <w:t xml:space="preserve"> - </w:t>
      </w:r>
      <w:r>
        <w:rPr>
          <w:lang w:eastAsia="zh-CN"/>
        </w:rPr>
        <w:t>负责平台营运者计算机系统的设计、开发、运营和维护（例如首席信息官或信息技术主管）；</w:t>
      </w:r>
    </w:p>
    <w:p w:rsidR="009A33A9" w:rsidRDefault="00801BA6">
      <w:pPr>
        <w:pStyle w:val="Compact"/>
        <w:numPr>
          <w:ilvl w:val="0"/>
          <w:numId w:val="9"/>
        </w:numPr>
      </w:pPr>
      <w:r>
        <w:rPr>
          <w:lang w:eastAsia="zh-CN"/>
        </w:rPr>
        <w:t>合</w:t>
      </w:r>
      <w:proofErr w:type="gramStart"/>
      <w:r>
        <w:rPr>
          <w:lang w:eastAsia="zh-CN"/>
        </w:rPr>
        <w:t>规</w:t>
      </w:r>
      <w:proofErr w:type="gramEnd"/>
      <w:r>
        <w:rPr>
          <w:lang w:eastAsia="zh-CN"/>
        </w:rPr>
        <w:t>（如首席合</w:t>
      </w:r>
      <w:proofErr w:type="gramStart"/>
      <w:r>
        <w:rPr>
          <w:lang w:eastAsia="zh-CN"/>
        </w:rPr>
        <w:t>规</w:t>
      </w:r>
      <w:proofErr w:type="gramEnd"/>
      <w:r>
        <w:rPr>
          <w:lang w:eastAsia="zh-CN"/>
        </w:rPr>
        <w:t>官或法律与合</w:t>
      </w:r>
      <w:proofErr w:type="gramStart"/>
      <w:r>
        <w:rPr>
          <w:lang w:eastAsia="zh-CN"/>
        </w:rPr>
        <w:t>规</w:t>
      </w:r>
      <w:proofErr w:type="gramEnd"/>
      <w:r>
        <w:rPr>
          <w:lang w:eastAsia="zh-CN"/>
        </w:rPr>
        <w:t>主管）</w:t>
      </w:r>
      <w:r>
        <w:rPr>
          <w:lang w:eastAsia="zh-CN"/>
        </w:rPr>
        <w:t xml:space="preserve">- </w:t>
      </w:r>
      <w:r>
        <w:rPr>
          <w:lang w:eastAsia="zh-CN"/>
        </w:rPr>
        <w:t>负责平台营运者整体运营的日常指导和有效管理监督（如首席执行官或总裁）。</w:t>
      </w:r>
      <w:proofErr w:type="spellStart"/>
      <w:r>
        <w:t>主要职责包括</w:t>
      </w:r>
      <w:proofErr w:type="spellEnd"/>
      <w:r>
        <w:t>：</w:t>
      </w:r>
    </w:p>
    <w:p w:rsidR="009A33A9" w:rsidRDefault="00801BA6">
      <w:pPr>
        <w:pStyle w:val="Compact"/>
        <w:numPr>
          <w:ilvl w:val="1"/>
          <w:numId w:val="12"/>
        </w:numPr>
        <w:rPr>
          <w:lang w:eastAsia="zh-CN"/>
        </w:rPr>
      </w:pPr>
      <w:r>
        <w:rPr>
          <w:lang w:eastAsia="zh-CN"/>
        </w:rPr>
        <w:t>制定政策和程序，以遵守平台营运者运营所在司法管辖区的法律和监管要求；</w:t>
      </w:r>
    </w:p>
    <w:p w:rsidR="009A33A9" w:rsidRDefault="00801BA6">
      <w:pPr>
        <w:pStyle w:val="Compact"/>
        <w:numPr>
          <w:ilvl w:val="1"/>
          <w:numId w:val="12"/>
        </w:numPr>
        <w:rPr>
          <w:lang w:eastAsia="zh-CN"/>
        </w:rPr>
      </w:pPr>
      <w:r>
        <w:rPr>
          <w:lang w:eastAsia="zh-CN"/>
        </w:rPr>
        <w:lastRenderedPageBreak/>
        <w:t>监测平台营运者对既定政策和程序的遵守情况；及</w:t>
      </w:r>
    </w:p>
    <w:p w:rsidR="009A33A9" w:rsidRDefault="00801BA6">
      <w:pPr>
        <w:pStyle w:val="Compact"/>
        <w:numPr>
          <w:ilvl w:val="1"/>
          <w:numId w:val="12"/>
        </w:numPr>
        <w:rPr>
          <w:lang w:eastAsia="zh-CN"/>
        </w:rPr>
      </w:pPr>
      <w:r>
        <w:rPr>
          <w:lang w:eastAsia="zh-CN"/>
        </w:rPr>
        <w:t>向董事会和高级管理</w:t>
      </w:r>
      <w:proofErr w:type="gramStart"/>
      <w:r>
        <w:rPr>
          <w:lang w:eastAsia="zh-CN"/>
        </w:rPr>
        <w:t>层报告合规</w:t>
      </w:r>
      <w:proofErr w:type="gramEnd"/>
      <w:r>
        <w:rPr>
          <w:lang w:eastAsia="zh-CN"/>
        </w:rPr>
        <w:t>事宜</w:t>
      </w:r>
    </w:p>
    <w:p w:rsidR="009A33A9" w:rsidRDefault="00801BA6">
      <w:pPr>
        <w:pStyle w:val="Compact"/>
        <w:numPr>
          <w:ilvl w:val="0"/>
          <w:numId w:val="9"/>
        </w:numPr>
        <w:rPr>
          <w:lang w:eastAsia="zh-CN"/>
        </w:rPr>
      </w:pPr>
      <w:r>
        <w:rPr>
          <w:lang w:eastAsia="zh-CN"/>
        </w:rPr>
        <w:t>打击洗钱及恐怖分子资金筹集</w:t>
      </w:r>
      <w:r w:rsidR="007E69C4">
        <w:rPr>
          <w:rFonts w:eastAsiaTheme="minorEastAsia" w:hint="eastAsia"/>
          <w:lang w:eastAsia="zh-CN"/>
        </w:rPr>
        <w:t xml:space="preserve"> </w:t>
      </w:r>
      <w:r w:rsidR="007E69C4">
        <w:rPr>
          <w:lang w:eastAsia="zh-CN"/>
        </w:rPr>
        <w:t xml:space="preserve">- </w:t>
      </w:r>
      <w:r>
        <w:rPr>
          <w:lang w:eastAsia="zh-CN"/>
        </w:rPr>
        <w:t>负责建立和维护内部控制程序，以保护平台营运者不参与洗钱或恐怖分子资金筹集（例如金融犯罪预防主管或合</w:t>
      </w:r>
      <w:proofErr w:type="gramStart"/>
      <w:r>
        <w:rPr>
          <w:lang w:eastAsia="zh-CN"/>
        </w:rPr>
        <w:t>规</w:t>
      </w:r>
      <w:proofErr w:type="gramEnd"/>
      <w:r>
        <w:rPr>
          <w:lang w:eastAsia="zh-CN"/>
        </w:rPr>
        <w:t>主管）。</w:t>
      </w:r>
    </w:p>
    <w:p w:rsidR="009A33A9" w:rsidRDefault="00801BA6">
      <w:pPr>
        <w:pStyle w:val="FirstParagraph"/>
        <w:rPr>
          <w:lang w:eastAsia="zh-CN"/>
        </w:rPr>
      </w:pPr>
      <w:r>
        <w:rPr>
          <w:lang w:eastAsia="zh-CN"/>
        </w:rPr>
        <w:t>鉴于虚拟交易平台营运者将采用不同的组织及管治架构，证监会将允许委任</w:t>
      </w:r>
      <w:proofErr w:type="gramStart"/>
      <w:r>
        <w:rPr>
          <w:lang w:eastAsia="zh-CN"/>
        </w:rPr>
        <w:t>一</w:t>
      </w:r>
      <w:proofErr w:type="gramEnd"/>
      <w:r>
        <w:rPr>
          <w:lang w:eastAsia="zh-CN"/>
        </w:rPr>
        <w:t>名人士担任两项或多项核心职能的首席执行官，或委任两名或两名以上人士共同管理一项核心职能（如符合平台的营运及控制</w:t>
      </w:r>
      <w:proofErr w:type="gramStart"/>
      <w:r>
        <w:rPr>
          <w:lang w:eastAsia="zh-CN"/>
        </w:rPr>
        <w:t>规</w:t>
      </w:r>
      <w:proofErr w:type="gramEnd"/>
      <w:r>
        <w:rPr>
          <w:lang w:eastAsia="zh-CN"/>
        </w:rPr>
        <w:t>）。</w:t>
      </w:r>
    </w:p>
    <w:p w:rsidR="009A33A9" w:rsidRDefault="00801BA6">
      <w:pPr>
        <w:pStyle w:val="BodyText"/>
        <w:rPr>
          <w:lang w:eastAsia="zh-CN"/>
        </w:rPr>
      </w:pPr>
      <w:r>
        <w:rPr>
          <w:lang w:eastAsia="zh-CN"/>
        </w:rPr>
        <w:t>总体管理监督和关键业务</w:t>
      </w:r>
      <w:proofErr w:type="gramStart"/>
      <w:r>
        <w:rPr>
          <w:lang w:eastAsia="zh-CN"/>
        </w:rPr>
        <w:t>线职能</w:t>
      </w:r>
      <w:proofErr w:type="gramEnd"/>
      <w:r>
        <w:rPr>
          <w:lang w:eastAsia="zh-CN"/>
        </w:rPr>
        <w:t>的核心职能主管通常需要对他们监督的活动负责。只要他们对平台营运者负责，他们就可以不在香港居住。</w:t>
      </w:r>
    </w:p>
    <w:p w:rsidR="009A33A9" w:rsidRDefault="00801BA6">
      <w:pPr>
        <w:pStyle w:val="BodyText"/>
        <w:rPr>
          <w:lang w:eastAsia="zh-CN"/>
        </w:rPr>
      </w:pPr>
      <w:r>
        <w:rPr>
          <w:lang w:eastAsia="zh-CN"/>
        </w:rPr>
        <w:t>虚拟资产服务提供者负责人员</w:t>
      </w:r>
    </w:p>
    <w:p w:rsidR="009A33A9" w:rsidRDefault="00801BA6">
      <w:pPr>
        <w:pStyle w:val="BodyText"/>
        <w:rPr>
          <w:lang w:eastAsia="zh-CN"/>
        </w:rPr>
      </w:pPr>
      <w:r>
        <w:rPr>
          <w:lang w:eastAsia="zh-CN"/>
        </w:rPr>
        <w:t>牌照申请人必须委任至少两名负责人员，负责监督持牌虚拟资产服务</w:t>
      </w:r>
      <w:r>
        <w:rPr>
          <w:lang w:eastAsia="zh-CN"/>
        </w:rPr>
        <w:t>提供者的运作，并确保遵守</w:t>
      </w:r>
      <w:r>
        <w:rPr>
          <w:lang w:eastAsia="zh-CN"/>
        </w:rPr>
        <w:t>“</w:t>
      </w:r>
      <w:r>
        <w:rPr>
          <w:lang w:eastAsia="zh-CN"/>
        </w:rPr>
        <w:t>打击洗钱</w:t>
      </w:r>
      <w:r>
        <w:rPr>
          <w:lang w:eastAsia="zh-CN"/>
        </w:rPr>
        <w:t>”/“</w:t>
      </w:r>
      <w:r>
        <w:rPr>
          <w:lang w:eastAsia="zh-CN"/>
        </w:rPr>
        <w:t>反对恐怖资金筹集</w:t>
      </w:r>
      <w:r>
        <w:rPr>
          <w:lang w:eastAsia="zh-CN"/>
        </w:rPr>
        <w:t>”</w:t>
      </w:r>
      <w:r>
        <w:rPr>
          <w:lang w:eastAsia="zh-CN"/>
        </w:rPr>
        <w:t>及其他监管要求。根据《打击洗钱条例》和《证券及期货条例》持有双重牌照的虚拟交易平台营运者只需拥有两名</w:t>
      </w:r>
      <w:r>
        <w:rPr>
          <w:lang w:eastAsia="zh-CN"/>
        </w:rPr>
        <w:t>(</w:t>
      </w:r>
      <w:r>
        <w:rPr>
          <w:lang w:eastAsia="zh-CN"/>
        </w:rPr>
        <w:t>而不是四名</w:t>
      </w:r>
      <w:r>
        <w:rPr>
          <w:lang w:eastAsia="zh-CN"/>
        </w:rPr>
        <w:t>)</w:t>
      </w:r>
      <w:r>
        <w:rPr>
          <w:lang w:eastAsia="zh-CN"/>
        </w:rPr>
        <w:t>双重牌照的负责人员即可满足这一要求。</w:t>
      </w:r>
      <w:r>
        <w:rPr>
          <w:lang w:eastAsia="zh-CN"/>
        </w:rPr>
        <w:t xml:space="preserve"> </w:t>
      </w:r>
      <w:hyperlink w:anchor="footnote-598-3">
        <w:r>
          <w:rPr>
            <w:vertAlign w:val="superscript"/>
            <w:lang w:eastAsia="zh-CN"/>
          </w:rPr>
          <w:t>3</w:t>
        </w:r>
      </w:hyperlink>
    </w:p>
    <w:p w:rsidR="009A33A9" w:rsidRDefault="00801BA6">
      <w:pPr>
        <w:pStyle w:val="BodyText"/>
        <w:rPr>
          <w:lang w:eastAsia="zh-CN"/>
        </w:rPr>
      </w:pPr>
      <w:r>
        <w:rPr>
          <w:lang w:eastAsia="zh-CN"/>
        </w:rPr>
        <w:t>虚拟资产服务提供者负责人员的规定与《证券及期货条例》下其他持牌法团负责人员的规定相同，并规定：</w:t>
      </w:r>
    </w:p>
    <w:p w:rsidR="009A33A9" w:rsidRDefault="00801BA6">
      <w:pPr>
        <w:pStyle w:val="Compact"/>
        <w:numPr>
          <w:ilvl w:val="0"/>
          <w:numId w:val="13"/>
        </w:numPr>
        <w:rPr>
          <w:lang w:eastAsia="zh-CN"/>
        </w:rPr>
      </w:pPr>
      <w:r>
        <w:rPr>
          <w:lang w:eastAsia="zh-CN"/>
        </w:rPr>
        <w:t>至少有一名负责人员必须是虚拟资产服务提供者的执行董事；</w:t>
      </w:r>
    </w:p>
    <w:p w:rsidR="009A33A9" w:rsidRDefault="00801BA6">
      <w:pPr>
        <w:pStyle w:val="Compact"/>
        <w:numPr>
          <w:ilvl w:val="0"/>
          <w:numId w:val="13"/>
        </w:numPr>
        <w:rPr>
          <w:lang w:eastAsia="zh-CN"/>
        </w:rPr>
      </w:pPr>
      <w:r>
        <w:rPr>
          <w:lang w:eastAsia="zh-CN"/>
        </w:rPr>
        <w:t>如果虚拟资产服务提供者有一个以上的执行董事，他们必须全部被任命为负责人员</w:t>
      </w:r>
      <w:r>
        <w:rPr>
          <w:lang w:eastAsia="zh-CN"/>
        </w:rPr>
        <w:t>；</w:t>
      </w:r>
    </w:p>
    <w:p w:rsidR="009A33A9" w:rsidRDefault="00801BA6">
      <w:pPr>
        <w:pStyle w:val="Compact"/>
        <w:numPr>
          <w:ilvl w:val="0"/>
          <w:numId w:val="13"/>
        </w:numPr>
        <w:rPr>
          <w:lang w:eastAsia="zh-CN"/>
        </w:rPr>
      </w:pPr>
      <w:r>
        <w:rPr>
          <w:lang w:eastAsia="zh-CN"/>
        </w:rPr>
        <w:t>最少一名负责人员必须通常居于香港；及</w:t>
      </w:r>
    </w:p>
    <w:p w:rsidR="009A33A9" w:rsidRDefault="00801BA6">
      <w:pPr>
        <w:pStyle w:val="Compact"/>
        <w:numPr>
          <w:ilvl w:val="0"/>
          <w:numId w:val="13"/>
        </w:numPr>
        <w:rPr>
          <w:lang w:eastAsia="zh-CN"/>
        </w:rPr>
      </w:pPr>
      <w:r>
        <w:rPr>
          <w:lang w:eastAsia="zh-CN"/>
        </w:rPr>
        <w:t>必须至少有一名负责人员随时监督虚拟资产服务的业务。</w:t>
      </w:r>
    </w:p>
    <w:p w:rsidR="009A33A9" w:rsidRDefault="00801BA6">
      <w:pPr>
        <w:pStyle w:val="FirstParagraph"/>
        <w:rPr>
          <w:lang w:eastAsia="zh-CN"/>
        </w:rPr>
      </w:pPr>
      <w:r>
        <w:rPr>
          <w:lang w:eastAsia="zh-CN"/>
        </w:rPr>
        <w:t>负责人员必须</w:t>
      </w:r>
      <w:r>
        <w:rPr>
          <w:lang w:eastAsia="zh-CN"/>
        </w:rPr>
        <w:t>“</w:t>
      </w:r>
      <w:r>
        <w:rPr>
          <w:lang w:eastAsia="zh-CN"/>
        </w:rPr>
        <w:t>合适及恰当</w:t>
      </w:r>
      <w:r>
        <w:rPr>
          <w:lang w:eastAsia="zh-CN"/>
        </w:rPr>
        <w:t>”</w:t>
      </w:r>
      <w:r>
        <w:rPr>
          <w:lang w:eastAsia="zh-CN"/>
        </w:rPr>
        <w:t>，其标准包括该人的财务状况</w:t>
      </w:r>
      <w:r>
        <w:rPr>
          <w:lang w:eastAsia="zh-CN"/>
        </w:rPr>
        <w:t>/</w:t>
      </w:r>
      <w:r>
        <w:rPr>
          <w:lang w:eastAsia="zh-CN"/>
        </w:rPr>
        <w:t>赔偿能力；他们的教育或其他资格和经验；他们的能力、诚实和财务诚信；没有对洗钱或恐怖分子资金筹集罪行或其他涉及欺诈、腐败或不诚实行为的罪行定罪；以及遵守持牌虚拟资产服务提供者的打击洗钱</w:t>
      </w:r>
      <w:r>
        <w:rPr>
          <w:lang w:eastAsia="zh-CN"/>
        </w:rPr>
        <w:t>/</w:t>
      </w:r>
      <w:r>
        <w:rPr>
          <w:lang w:eastAsia="zh-CN"/>
        </w:rPr>
        <w:t>恐怖分子资金筹集义务和其他义务。在实践中，证监会的问题可能延伸至股东（包括最终所有者）的资金来源，并可能涉及提供大量证据，特别是在资金源自或来自非金融行动特别工作组的司法管辖区的情</w:t>
      </w:r>
      <w:r>
        <w:rPr>
          <w:lang w:eastAsia="zh-CN"/>
        </w:rPr>
        <w:t>况下。</w:t>
      </w:r>
    </w:p>
    <w:p w:rsidR="009A33A9" w:rsidRDefault="00801BA6">
      <w:pPr>
        <w:pStyle w:val="BodyText"/>
        <w:rPr>
          <w:lang w:eastAsia="zh-CN"/>
        </w:rPr>
      </w:pPr>
      <w:r>
        <w:rPr>
          <w:lang w:eastAsia="zh-CN"/>
        </w:rPr>
        <w:t>负责人员的具体胜任能力准则摘要如下。</w:t>
      </w:r>
      <w:r>
        <w:fldChar w:fldCharType="begin"/>
      </w:r>
      <w:r>
        <w:rPr>
          <w:lang w:eastAsia="zh-CN"/>
        </w:rPr>
        <w:instrText xml:space="preserve"> HYPERLINK \l "footnote-598-4" \h </w:instrText>
      </w:r>
      <w:r>
        <w:fldChar w:fldCharType="separate"/>
      </w:r>
      <w:r>
        <w:rPr>
          <w:vertAlign w:val="superscript"/>
          <w:lang w:eastAsia="zh-CN"/>
        </w:rPr>
        <w:t>4</w:t>
      </w:r>
      <w:r>
        <w:rPr>
          <w:vertAlign w:val="superscript"/>
        </w:rPr>
        <w:fldChar w:fldCharType="end"/>
      </w:r>
    </w:p>
    <w:tbl>
      <w:tblPr>
        <w:tblStyle w:val="TableGrid"/>
        <w:tblW w:w="9586" w:type="dxa"/>
        <w:tblLayout w:type="fixed"/>
        <w:tblLook w:val="04A0" w:firstRow="1" w:lastRow="0" w:firstColumn="1" w:lastColumn="0" w:noHBand="0" w:noVBand="1"/>
      </w:tblPr>
      <w:tblGrid>
        <w:gridCol w:w="1418"/>
        <w:gridCol w:w="2092"/>
        <w:gridCol w:w="1410"/>
        <w:gridCol w:w="1470"/>
        <w:gridCol w:w="1643"/>
        <w:gridCol w:w="1553"/>
      </w:tblGrid>
      <w:tr w:rsidR="007E69C4" w:rsidRPr="00686354" w:rsidTr="002A4EB1">
        <w:tc>
          <w:tcPr>
            <w:tcW w:w="1418" w:type="dxa"/>
          </w:tcPr>
          <w:p w:rsidR="007E69C4" w:rsidRPr="00686354" w:rsidRDefault="007E69C4" w:rsidP="002A4EB1">
            <w:pPr>
              <w:adjustRightInd w:val="0"/>
              <w:snapToGrid w:val="0"/>
              <w:jc w:val="both"/>
              <w:rPr>
                <w:rFonts w:ascii="PMingLiU" w:eastAsia="PMingLiU" w:hAnsi="PMingLiU" w:cs="SimSun"/>
                <w:lang w:eastAsia="zh-CN"/>
              </w:rPr>
            </w:pPr>
          </w:p>
        </w:tc>
        <w:tc>
          <w:tcPr>
            <w:tcW w:w="3502" w:type="dxa"/>
            <w:gridSpan w:val="2"/>
          </w:tcPr>
          <w:p w:rsidR="007E69C4" w:rsidRPr="00686354" w:rsidRDefault="007E69C4" w:rsidP="002A4EB1">
            <w:pPr>
              <w:adjustRightInd w:val="0"/>
              <w:snapToGrid w:val="0"/>
              <w:jc w:val="both"/>
              <w:rPr>
                <w:rFonts w:ascii="PMingLiU" w:eastAsia="PMingLiU" w:hAnsi="PMingLiU" w:cs="SimSun"/>
              </w:rPr>
            </w:pPr>
            <w:r w:rsidRPr="00686354">
              <w:rPr>
                <w:rFonts w:ascii="PMingLiU" w:eastAsia="PMingLiU" w:hAnsi="PMingLiU" w:cs="SimSun" w:hint="eastAsia"/>
                <w:lang w:eastAsia="zh-CN"/>
              </w:rPr>
              <w:t>选择</w:t>
            </w:r>
            <w:r w:rsidRPr="00686354">
              <w:rPr>
                <w:rFonts w:ascii="PMingLiU" w:eastAsia="PMingLiU" w:hAnsi="PMingLiU" w:cs="SimSun" w:hint="eastAsia"/>
              </w:rPr>
              <w:t>A</w:t>
            </w:r>
          </w:p>
        </w:tc>
        <w:tc>
          <w:tcPr>
            <w:tcW w:w="1470" w:type="dxa"/>
          </w:tcPr>
          <w:p w:rsidR="007E69C4" w:rsidRPr="00686354" w:rsidRDefault="007E69C4" w:rsidP="002A4EB1">
            <w:pPr>
              <w:adjustRightInd w:val="0"/>
              <w:snapToGrid w:val="0"/>
              <w:jc w:val="both"/>
              <w:rPr>
                <w:rFonts w:ascii="PMingLiU" w:eastAsia="PMingLiU" w:hAnsi="PMingLiU" w:cs="SimSun"/>
              </w:rPr>
            </w:pPr>
            <w:r w:rsidRPr="00686354">
              <w:rPr>
                <w:rFonts w:ascii="PMingLiU" w:eastAsia="PMingLiU" w:hAnsi="PMingLiU" w:cs="SimSun" w:hint="eastAsia"/>
                <w:lang w:eastAsia="zh-CN"/>
              </w:rPr>
              <w:t>选择</w:t>
            </w:r>
            <w:r w:rsidRPr="00686354">
              <w:rPr>
                <w:rFonts w:ascii="PMingLiU" w:eastAsia="PMingLiU" w:hAnsi="PMingLiU" w:cs="SimSun" w:hint="eastAsia"/>
              </w:rPr>
              <w:t>B</w:t>
            </w:r>
          </w:p>
        </w:tc>
        <w:tc>
          <w:tcPr>
            <w:tcW w:w="3196" w:type="dxa"/>
            <w:gridSpan w:val="2"/>
          </w:tcPr>
          <w:p w:rsidR="007E69C4" w:rsidRPr="00686354" w:rsidRDefault="007E69C4" w:rsidP="002A4EB1">
            <w:pPr>
              <w:adjustRightInd w:val="0"/>
              <w:snapToGrid w:val="0"/>
              <w:jc w:val="both"/>
              <w:rPr>
                <w:rFonts w:ascii="PMingLiU" w:eastAsia="PMingLiU" w:hAnsi="PMingLiU" w:cs="SimSun"/>
              </w:rPr>
            </w:pPr>
            <w:r w:rsidRPr="00686354">
              <w:rPr>
                <w:rFonts w:ascii="PMingLiU" w:eastAsia="PMingLiU" w:hAnsi="PMingLiU" w:cs="SimSun" w:hint="eastAsia"/>
                <w:lang w:eastAsia="zh-CN"/>
              </w:rPr>
              <w:t>选择</w:t>
            </w:r>
            <w:r w:rsidRPr="00686354">
              <w:rPr>
                <w:rFonts w:ascii="PMingLiU" w:eastAsia="PMingLiU" w:hAnsi="PMingLiU" w:cs="SimSun" w:hint="eastAsia"/>
              </w:rPr>
              <w:t xml:space="preserve"> C</w:t>
            </w:r>
          </w:p>
        </w:tc>
      </w:tr>
      <w:tr w:rsidR="007E69C4" w:rsidRPr="00686354" w:rsidTr="002A4EB1">
        <w:trPr>
          <w:trHeight w:val="3231"/>
        </w:trPr>
        <w:tc>
          <w:tcPr>
            <w:tcW w:w="1418" w:type="dxa"/>
            <w:vAlign w:val="center"/>
          </w:tcPr>
          <w:p w:rsidR="007E69C4" w:rsidRPr="00686354" w:rsidRDefault="007E69C4" w:rsidP="002A4EB1">
            <w:pPr>
              <w:adjustRightInd w:val="0"/>
              <w:snapToGrid w:val="0"/>
              <w:jc w:val="both"/>
              <w:rPr>
                <w:rFonts w:ascii="PMingLiU" w:eastAsia="PMingLiU" w:hAnsi="PMingLiU" w:cs="SimSun"/>
                <w:color w:val="FF0000"/>
              </w:rPr>
            </w:pPr>
          </w:p>
          <w:p w:rsidR="007E69C4" w:rsidRPr="00686354" w:rsidRDefault="007E69C4" w:rsidP="002A4EB1">
            <w:pPr>
              <w:adjustRightInd w:val="0"/>
              <w:snapToGrid w:val="0"/>
              <w:jc w:val="both"/>
              <w:rPr>
                <w:rFonts w:ascii="PMingLiU" w:eastAsia="PMingLiU" w:hAnsi="PMingLiU" w:cs="SimSun"/>
                <w:lang w:eastAsia="zh-CN"/>
              </w:rPr>
            </w:pPr>
            <w:proofErr w:type="spellStart"/>
            <w:r w:rsidRPr="00686354">
              <w:rPr>
                <w:rFonts w:ascii="PMingLiU" w:eastAsia="PMingLiU" w:hAnsi="PMingLiU" w:cs="SimSun" w:hint="eastAsia"/>
                <w:color w:val="FF0000"/>
              </w:rPr>
              <w:t>学历或专业资格</w:t>
            </w:r>
            <w:proofErr w:type="spellEnd"/>
          </w:p>
        </w:tc>
        <w:tc>
          <w:tcPr>
            <w:tcW w:w="3502" w:type="dxa"/>
            <w:gridSpan w:val="2"/>
            <w:vAlign w:val="center"/>
          </w:tcPr>
          <w:p w:rsidR="007E69C4" w:rsidRPr="00686354" w:rsidRDefault="007E69C4" w:rsidP="002A4EB1">
            <w:pPr>
              <w:adjustRightInd w:val="0"/>
              <w:snapToGrid w:val="0"/>
              <w:rPr>
                <w:rFonts w:ascii="PMingLiU" w:eastAsia="PMingLiU" w:hAnsi="PMingLiU" w:cs="SimSun"/>
                <w:lang w:eastAsia="zh-CN"/>
              </w:rPr>
            </w:pPr>
          </w:p>
          <w:p w:rsidR="007E69C4" w:rsidRPr="00686354" w:rsidRDefault="007E69C4" w:rsidP="002A4EB1">
            <w:pPr>
              <w:adjustRightInd w:val="0"/>
              <w:snapToGrid w:val="0"/>
              <w:rPr>
                <w:rFonts w:ascii="PMingLiU" w:eastAsia="PMingLiU" w:hAnsi="PMingLiU" w:cs="SimSun"/>
                <w:lang w:eastAsia="zh-CN"/>
              </w:rPr>
            </w:pPr>
            <w:r w:rsidRPr="00686354">
              <w:rPr>
                <w:rFonts w:ascii="PMingLiU" w:eastAsia="PMingLiU" w:hAnsi="PMingLiU" w:cs="SimSun" w:hint="eastAsia"/>
                <w:lang w:eastAsia="zh-CN"/>
              </w:rPr>
              <w:t>指定范畴（会计、工商管理、经济、金融财务及法律）的学位；其他学位（须在属于指定范畴在的至少两个课程取得合格成绩）；或专业资格（ 国际认可的法律、会计或金融财务专业资格。国际认可的金融财务专业资格包括特许金融分析师（CFA）、国际注册投资分析师（CIIA）及认可财务策划师（CFP）。）</w:t>
            </w:r>
          </w:p>
          <w:p w:rsidR="007E69C4" w:rsidRPr="00686354" w:rsidRDefault="007E69C4" w:rsidP="002A4EB1">
            <w:pPr>
              <w:adjustRightInd w:val="0"/>
              <w:snapToGrid w:val="0"/>
              <w:rPr>
                <w:rFonts w:ascii="PMingLiU" w:eastAsia="PMingLiU" w:hAnsi="PMingLiU" w:cs="SimSun"/>
              </w:rPr>
            </w:pPr>
          </w:p>
        </w:tc>
        <w:tc>
          <w:tcPr>
            <w:tcW w:w="1470" w:type="dxa"/>
            <w:tcBorders>
              <w:bottom w:val="single" w:sz="4" w:space="0" w:color="auto"/>
            </w:tcBorders>
            <w:vAlign w:val="center"/>
          </w:tcPr>
          <w:p w:rsidR="007E69C4" w:rsidRPr="00686354" w:rsidRDefault="007E69C4" w:rsidP="002A4EB1">
            <w:pPr>
              <w:adjustRightInd w:val="0"/>
              <w:snapToGrid w:val="0"/>
              <w:rPr>
                <w:rFonts w:ascii="PMingLiU" w:eastAsia="PMingLiU" w:hAnsi="PMingLiU" w:cs="SimSun"/>
                <w:lang w:eastAsia="zh-CN"/>
              </w:rPr>
            </w:pPr>
            <w:r w:rsidRPr="00686354">
              <w:rPr>
                <w:rFonts w:ascii="PMingLiU" w:eastAsia="PMingLiU" w:hAnsi="PMingLiU" w:cs="SimSun" w:hint="eastAsia"/>
                <w:lang w:eastAsia="zh-CN"/>
              </w:rPr>
              <w:lastRenderedPageBreak/>
              <w:t>其他学位（无须在属 于指定范畴 的两个 课程取得合格成绩）</w:t>
            </w:r>
          </w:p>
        </w:tc>
        <w:tc>
          <w:tcPr>
            <w:tcW w:w="3196" w:type="dxa"/>
            <w:gridSpan w:val="2"/>
            <w:vAlign w:val="center"/>
          </w:tcPr>
          <w:p w:rsidR="007E69C4" w:rsidRPr="00686354" w:rsidRDefault="007E69C4" w:rsidP="002A4EB1">
            <w:pPr>
              <w:adjustRightInd w:val="0"/>
              <w:snapToGrid w:val="0"/>
              <w:rPr>
                <w:rFonts w:ascii="PMingLiU" w:eastAsia="PMingLiU" w:hAnsi="PMingLiU" w:cs="SimSun"/>
                <w:lang w:eastAsia="zh-CN"/>
              </w:rPr>
            </w:pPr>
            <w:r w:rsidRPr="00686354">
              <w:rPr>
                <w:rFonts w:ascii="PMingLiU" w:eastAsia="PMingLiU" w:hAnsi="PMingLiU" w:cs="SimSun" w:hint="eastAsia"/>
                <w:lang w:eastAsia="zh-CN"/>
              </w:rPr>
              <w:t>在香港中学文凭考试的英文或中文科以及数学科取得第 2 级成绩或同等学历（即(a)于香港中学会考英文或中文科以及数学科取得 E 级或以上成绩；及(b) 于香港或其他地方的其他高中公开考试（如大学入学试）中的相同科目取得合格成绩。 ）</w:t>
            </w:r>
          </w:p>
        </w:tc>
      </w:tr>
      <w:tr w:rsidR="007E69C4" w:rsidRPr="00686354" w:rsidTr="002A4EB1">
        <w:tc>
          <w:tcPr>
            <w:tcW w:w="1418" w:type="dxa"/>
            <w:vAlign w:val="center"/>
          </w:tcPr>
          <w:p w:rsidR="007E69C4" w:rsidRPr="00686354" w:rsidRDefault="007E69C4" w:rsidP="002A4EB1">
            <w:pPr>
              <w:adjustRightInd w:val="0"/>
              <w:snapToGrid w:val="0"/>
              <w:jc w:val="both"/>
              <w:rPr>
                <w:rFonts w:ascii="PMingLiU" w:eastAsia="PMingLiU" w:hAnsi="PMingLiU" w:cs="SimSun"/>
                <w:color w:val="FF0000"/>
              </w:rPr>
            </w:pPr>
          </w:p>
          <w:p w:rsidR="007E69C4" w:rsidRPr="00686354" w:rsidRDefault="007E69C4" w:rsidP="002A4EB1">
            <w:pPr>
              <w:adjustRightInd w:val="0"/>
              <w:snapToGrid w:val="0"/>
              <w:jc w:val="both"/>
              <w:rPr>
                <w:rFonts w:ascii="PMingLiU" w:eastAsia="PMingLiU" w:hAnsi="PMingLiU" w:cs="SimSun"/>
                <w:color w:val="FF0000"/>
              </w:rPr>
            </w:pPr>
          </w:p>
          <w:p w:rsidR="007E69C4" w:rsidRPr="00686354" w:rsidRDefault="007E69C4" w:rsidP="002A4EB1">
            <w:pPr>
              <w:adjustRightInd w:val="0"/>
              <w:snapToGrid w:val="0"/>
              <w:jc w:val="both"/>
              <w:rPr>
                <w:rFonts w:ascii="PMingLiU" w:eastAsia="PMingLiU" w:hAnsi="PMingLiU" w:cs="SimSun"/>
                <w:color w:val="FF0000"/>
              </w:rPr>
            </w:pPr>
            <w:proofErr w:type="spellStart"/>
            <w:r w:rsidRPr="00686354">
              <w:rPr>
                <w:rFonts w:ascii="PMingLiU" w:eastAsia="PMingLiU" w:hAnsi="PMingLiU" w:cs="SimSun" w:hint="eastAsia"/>
                <w:color w:val="FF0000"/>
              </w:rPr>
              <w:t>有关行业经验</w:t>
            </w:r>
            <w:proofErr w:type="spellEnd"/>
          </w:p>
          <w:p w:rsidR="007E69C4" w:rsidRPr="00686354" w:rsidRDefault="007E69C4" w:rsidP="002A4EB1">
            <w:pPr>
              <w:adjustRightInd w:val="0"/>
              <w:snapToGrid w:val="0"/>
              <w:jc w:val="both"/>
              <w:rPr>
                <w:rFonts w:ascii="PMingLiU" w:eastAsia="PMingLiU" w:hAnsi="PMingLiU" w:cs="SimSun"/>
                <w:color w:val="FF0000"/>
              </w:rPr>
            </w:pPr>
          </w:p>
          <w:p w:rsidR="007E69C4" w:rsidRPr="00686354" w:rsidRDefault="007E69C4" w:rsidP="002A4EB1">
            <w:pPr>
              <w:adjustRightInd w:val="0"/>
              <w:snapToGrid w:val="0"/>
              <w:jc w:val="both"/>
              <w:rPr>
                <w:rFonts w:ascii="PMingLiU" w:eastAsia="PMingLiU" w:hAnsi="PMingLiU" w:cs="SimSun"/>
                <w:color w:val="FF0000"/>
              </w:rPr>
            </w:pPr>
          </w:p>
        </w:tc>
        <w:tc>
          <w:tcPr>
            <w:tcW w:w="4972" w:type="dxa"/>
            <w:gridSpan w:val="3"/>
            <w:vAlign w:val="center"/>
          </w:tcPr>
          <w:p w:rsidR="007E69C4" w:rsidRPr="00686354" w:rsidRDefault="007E69C4" w:rsidP="002A4EB1">
            <w:pPr>
              <w:adjustRightInd w:val="0"/>
              <w:snapToGrid w:val="0"/>
              <w:rPr>
                <w:rFonts w:ascii="PMingLiU" w:eastAsia="PMingLiU" w:hAnsi="PMingLiU" w:cs="SimSun"/>
                <w:lang w:eastAsia="zh-CN"/>
              </w:rPr>
            </w:pPr>
          </w:p>
          <w:p w:rsidR="007E69C4" w:rsidRDefault="007E69C4" w:rsidP="002A4EB1">
            <w:pPr>
              <w:adjustRightInd w:val="0"/>
              <w:snapToGrid w:val="0"/>
              <w:rPr>
                <w:rFonts w:ascii="PMingLiU" w:hAnsi="PMingLiU" w:cs="SimSun"/>
                <w:lang w:eastAsia="zh-CN"/>
              </w:rPr>
            </w:pPr>
            <w:r w:rsidRPr="00686354">
              <w:rPr>
                <w:rFonts w:ascii="PMingLiU" w:eastAsia="PMingLiU" w:hAnsi="PMingLiU" w:cs="SimSun" w:hint="eastAsia"/>
                <w:lang w:eastAsia="zh-CN"/>
              </w:rPr>
              <w:t>在过去6年中，至少有3年经验-在评估个人的“相关行业经验”时，证监会将采取务实的方针。举例如，如果个人在开发或确保一项科技、平台或系统的功能方面发挥了关键作用，而该科技、平台或系统是由个人当前委托人运营的虚拟货币交易平台的核心，那么它可能会承认个人以前在科技方面的直接经验。</w:t>
            </w:r>
            <w:r w:rsidRPr="00686354">
              <w:rPr>
                <w:rStyle w:val="FootnoteReference"/>
                <w:rFonts w:ascii="PMingLiU" w:eastAsia="PMingLiU" w:hAnsi="PMingLiU" w:cs="SimSun" w:hint="eastAsia"/>
              </w:rPr>
              <w:footnoteReference w:id="1"/>
            </w:r>
          </w:p>
          <w:p w:rsidR="007E69C4" w:rsidRPr="002A4EB1" w:rsidRDefault="007E69C4" w:rsidP="002A4EB1">
            <w:pPr>
              <w:adjustRightInd w:val="0"/>
              <w:snapToGrid w:val="0"/>
              <w:rPr>
                <w:rFonts w:ascii="PMingLiU" w:eastAsiaTheme="minorEastAsia" w:hAnsi="PMingLiU" w:cs="SimSun"/>
                <w:lang w:eastAsia="zh-CN"/>
              </w:rPr>
            </w:pPr>
          </w:p>
        </w:tc>
        <w:tc>
          <w:tcPr>
            <w:tcW w:w="3196" w:type="dxa"/>
            <w:gridSpan w:val="2"/>
            <w:vAlign w:val="center"/>
          </w:tcPr>
          <w:p w:rsidR="007E69C4" w:rsidRPr="002A4EB1" w:rsidRDefault="007E69C4" w:rsidP="002A4EB1">
            <w:pPr>
              <w:tabs>
                <w:tab w:val="left" w:pos="720"/>
              </w:tabs>
              <w:adjustRightInd w:val="0"/>
              <w:snapToGrid w:val="0"/>
              <w:spacing w:after="0"/>
              <w:rPr>
                <w:rFonts w:ascii="PMingLiU" w:eastAsia="PMingLiU" w:hAnsi="PMingLiU"/>
                <w:lang w:eastAsia="zh-CN"/>
              </w:rPr>
            </w:pPr>
            <w:r w:rsidRPr="002A4EB1">
              <w:rPr>
                <w:rFonts w:ascii="PMingLiU" w:eastAsia="PMingLiU" w:hAnsi="PMingLiU"/>
                <w:lang w:eastAsia="zh-CN"/>
              </w:rPr>
              <w:t>在过去的8</w:t>
            </w:r>
            <w:r w:rsidRPr="002A4EB1">
              <w:rPr>
                <w:rFonts w:ascii="PMingLiU" w:eastAsia="PMingLiU" w:hAnsi="PMingLiU" w:hint="eastAsia"/>
                <w:lang w:eastAsia="zh-CN"/>
              </w:rPr>
              <w:t>年里至少有</w:t>
            </w:r>
            <w:r w:rsidRPr="002A4EB1">
              <w:rPr>
                <w:rFonts w:ascii="PMingLiU" w:eastAsia="PMingLiU" w:hAnsi="PMingLiU"/>
                <w:lang w:eastAsia="zh-CN"/>
              </w:rPr>
              <w:t>5年经验</w:t>
            </w:r>
          </w:p>
          <w:p w:rsidR="007E69C4" w:rsidRPr="00686354" w:rsidRDefault="007E69C4" w:rsidP="002A4EB1">
            <w:pPr>
              <w:adjustRightInd w:val="0"/>
              <w:snapToGrid w:val="0"/>
              <w:rPr>
                <w:rFonts w:ascii="PMingLiU" w:eastAsia="PMingLiU" w:hAnsi="PMingLiU" w:cs="SimSun"/>
                <w:lang w:eastAsia="zh-CN"/>
              </w:rPr>
            </w:pPr>
          </w:p>
          <w:p w:rsidR="007E69C4" w:rsidRPr="00686354" w:rsidRDefault="007E69C4" w:rsidP="002A4EB1">
            <w:pPr>
              <w:adjustRightInd w:val="0"/>
              <w:snapToGrid w:val="0"/>
              <w:jc w:val="both"/>
              <w:rPr>
                <w:rFonts w:ascii="PMingLiU" w:eastAsia="PMingLiU" w:hAnsi="PMingLiU" w:cs="SimSun"/>
                <w:lang w:eastAsia="zh-CN"/>
              </w:rPr>
            </w:pPr>
          </w:p>
        </w:tc>
      </w:tr>
      <w:tr w:rsidR="007E69C4" w:rsidRPr="00686354" w:rsidTr="002A4EB1">
        <w:tc>
          <w:tcPr>
            <w:tcW w:w="1418" w:type="dxa"/>
            <w:vAlign w:val="center"/>
          </w:tcPr>
          <w:p w:rsidR="007E69C4" w:rsidRPr="00686354" w:rsidRDefault="007E69C4" w:rsidP="002A4EB1">
            <w:pPr>
              <w:adjustRightInd w:val="0"/>
              <w:snapToGrid w:val="0"/>
              <w:jc w:val="both"/>
              <w:rPr>
                <w:rFonts w:ascii="PMingLiU" w:eastAsia="PMingLiU" w:hAnsi="PMingLiU" w:cs="SimSun"/>
                <w:color w:val="FF0000"/>
                <w:lang w:eastAsia="zh-CN"/>
              </w:rPr>
            </w:pPr>
          </w:p>
          <w:p w:rsidR="007E69C4" w:rsidRPr="00686354" w:rsidRDefault="007E69C4" w:rsidP="002A4EB1">
            <w:pPr>
              <w:adjustRightInd w:val="0"/>
              <w:snapToGrid w:val="0"/>
              <w:jc w:val="both"/>
              <w:rPr>
                <w:rFonts w:ascii="PMingLiU" w:eastAsia="PMingLiU" w:hAnsi="PMingLiU" w:cs="SimSun"/>
                <w:color w:val="FF0000"/>
                <w:lang w:eastAsia="zh-CN"/>
              </w:rPr>
            </w:pPr>
            <w:r w:rsidRPr="00686354">
              <w:rPr>
                <w:rFonts w:ascii="PMingLiU" w:eastAsia="PMingLiU" w:hAnsi="PMingLiU" w:cs="SimSun" w:hint="eastAsia"/>
                <w:color w:val="FF0000"/>
                <w:lang w:eastAsia="zh-CN"/>
              </w:rPr>
              <w:t>认可行业</w:t>
            </w:r>
            <w:proofErr w:type="gramStart"/>
            <w:r w:rsidRPr="00686354">
              <w:rPr>
                <w:rFonts w:ascii="PMingLiU" w:eastAsia="PMingLiU" w:hAnsi="PMingLiU" w:cs="SimSun" w:hint="eastAsia"/>
                <w:color w:val="FF0000"/>
                <w:lang w:eastAsia="zh-CN"/>
              </w:rPr>
              <w:t>资格或额持续</w:t>
            </w:r>
            <w:proofErr w:type="gramEnd"/>
            <w:r w:rsidRPr="00686354">
              <w:rPr>
                <w:rFonts w:ascii="PMingLiU" w:eastAsia="PMingLiU" w:hAnsi="PMingLiU" w:cs="SimSun" w:hint="eastAsia"/>
                <w:color w:val="FF0000"/>
                <w:lang w:eastAsia="zh-CN"/>
              </w:rPr>
              <w:t xml:space="preserve">培训 </w:t>
            </w:r>
          </w:p>
        </w:tc>
        <w:tc>
          <w:tcPr>
            <w:tcW w:w="2092" w:type="dxa"/>
            <w:vAlign w:val="center"/>
          </w:tcPr>
          <w:p w:rsidR="007E69C4" w:rsidRPr="00686354" w:rsidRDefault="007E69C4" w:rsidP="002A4EB1">
            <w:pPr>
              <w:adjustRightInd w:val="0"/>
              <w:snapToGrid w:val="0"/>
              <w:jc w:val="both"/>
              <w:rPr>
                <w:rFonts w:ascii="PMingLiU" w:eastAsia="PMingLiU" w:hAnsi="PMingLiU" w:cs="SimSun"/>
                <w:lang w:eastAsia="zh-CN"/>
              </w:rPr>
            </w:pPr>
          </w:p>
        </w:tc>
        <w:tc>
          <w:tcPr>
            <w:tcW w:w="2880" w:type="dxa"/>
            <w:gridSpan w:val="2"/>
            <w:tcBorders>
              <w:bottom w:val="single" w:sz="4" w:space="0" w:color="auto"/>
              <w:right w:val="single" w:sz="4" w:space="0" w:color="auto"/>
            </w:tcBorders>
            <w:vAlign w:val="center"/>
          </w:tcPr>
          <w:p w:rsidR="007E69C4" w:rsidRPr="00686354" w:rsidRDefault="007E69C4" w:rsidP="002A4EB1">
            <w:pPr>
              <w:adjustRightInd w:val="0"/>
              <w:snapToGrid w:val="0"/>
              <w:rPr>
                <w:rFonts w:ascii="PMingLiU" w:eastAsia="PMingLiU" w:hAnsi="PMingLiU" w:cs="SimSun"/>
                <w:lang w:eastAsia="zh-CN"/>
              </w:rPr>
            </w:pPr>
          </w:p>
          <w:p w:rsidR="007E69C4" w:rsidRPr="00686354" w:rsidRDefault="007E69C4" w:rsidP="002A4EB1">
            <w:pPr>
              <w:adjustRightInd w:val="0"/>
              <w:snapToGrid w:val="0"/>
              <w:rPr>
                <w:rFonts w:ascii="PMingLiU" w:eastAsia="PMingLiU" w:hAnsi="PMingLiU" w:cs="SimSun"/>
                <w:lang w:eastAsia="zh-CN"/>
              </w:rPr>
            </w:pPr>
            <w:r w:rsidRPr="00686354">
              <w:rPr>
                <w:rFonts w:ascii="PMingLiU" w:eastAsia="PMingLiU" w:hAnsi="PMingLiU" w:cs="SimSun" w:hint="eastAsia"/>
                <w:lang w:eastAsia="zh-CN"/>
              </w:rPr>
              <w:t>取得认可行业资格（证券及投资学会资</w:t>
            </w:r>
          </w:p>
          <w:p w:rsidR="007E69C4" w:rsidRDefault="007E69C4" w:rsidP="002A4EB1">
            <w:pPr>
              <w:adjustRightInd w:val="0"/>
              <w:snapToGrid w:val="0"/>
              <w:rPr>
                <w:rFonts w:ascii="PMingLiU" w:hAnsi="PMingLiU" w:cs="SimSun"/>
                <w:lang w:eastAsia="zh-CN"/>
              </w:rPr>
            </w:pPr>
            <w:r w:rsidRPr="00686354">
              <w:rPr>
                <w:rFonts w:ascii="PMingLiU" w:eastAsia="PMingLiU" w:hAnsi="PMingLiU" w:cs="SimSun" w:hint="eastAsia"/>
                <w:lang w:eastAsia="zh-CN"/>
              </w:rPr>
              <w:t>格考试卷七及卷八）或</w:t>
            </w:r>
            <w:bookmarkStart w:id="0" w:name="OLE_LINK9"/>
            <w:r w:rsidRPr="00686354">
              <w:rPr>
                <w:rFonts w:ascii="PMingLiU" w:eastAsia="PMingLiU" w:hAnsi="PMingLiU" w:cs="SimSun" w:hint="eastAsia"/>
                <w:lang w:eastAsia="zh-CN"/>
              </w:rPr>
              <w:t>在递交牌照申请前六个月内完成五小时的持续培训。</w:t>
            </w:r>
            <w:bookmarkEnd w:id="0"/>
          </w:p>
          <w:p w:rsidR="007E69C4" w:rsidRPr="002A4EB1" w:rsidRDefault="007E69C4" w:rsidP="002A4EB1">
            <w:pPr>
              <w:adjustRightInd w:val="0"/>
              <w:snapToGrid w:val="0"/>
              <w:rPr>
                <w:rFonts w:ascii="PMingLiU" w:eastAsiaTheme="minorEastAsia" w:hAnsi="PMingLiU" w:cs="SimSun"/>
                <w:lang w:eastAsia="zh-CN"/>
              </w:rPr>
            </w:pPr>
          </w:p>
        </w:tc>
        <w:tc>
          <w:tcPr>
            <w:tcW w:w="1643" w:type="dxa"/>
            <w:tcBorders>
              <w:left w:val="single" w:sz="4" w:space="0" w:color="auto"/>
              <w:bottom w:val="single" w:sz="4" w:space="0" w:color="auto"/>
            </w:tcBorders>
            <w:vAlign w:val="center"/>
          </w:tcPr>
          <w:p w:rsidR="007E69C4" w:rsidRPr="00686354" w:rsidRDefault="007E69C4" w:rsidP="002A4EB1">
            <w:pPr>
              <w:adjustRightInd w:val="0"/>
              <w:snapToGrid w:val="0"/>
              <w:rPr>
                <w:rFonts w:ascii="PMingLiU" w:eastAsia="PMingLiU" w:hAnsi="PMingLiU" w:cs="SimSun"/>
                <w:lang w:eastAsia="zh-CN"/>
              </w:rPr>
            </w:pPr>
            <w:r w:rsidRPr="00686354">
              <w:rPr>
                <w:rFonts w:ascii="PMingLiU" w:eastAsia="PMingLiU" w:hAnsi="PMingLiU" w:cs="SimSun" w:hint="eastAsia"/>
                <w:lang w:eastAsia="zh-CN"/>
              </w:rPr>
              <w:t>取得认可行业资格（证券及投资学会资格考试卷七及卷八）</w:t>
            </w:r>
          </w:p>
        </w:tc>
        <w:tc>
          <w:tcPr>
            <w:tcW w:w="1553" w:type="dxa"/>
            <w:tcBorders>
              <w:bottom w:val="single" w:sz="4" w:space="0" w:color="auto"/>
            </w:tcBorders>
            <w:vAlign w:val="center"/>
          </w:tcPr>
          <w:p w:rsidR="007E69C4" w:rsidRPr="00686354" w:rsidRDefault="007E69C4" w:rsidP="002A4EB1">
            <w:pPr>
              <w:adjustRightInd w:val="0"/>
              <w:snapToGrid w:val="0"/>
              <w:jc w:val="both"/>
              <w:rPr>
                <w:rFonts w:ascii="PMingLiU" w:eastAsia="PMingLiU" w:hAnsi="PMingLiU" w:cs="SimSun"/>
                <w:lang w:eastAsia="zh-CN"/>
              </w:rPr>
            </w:pPr>
            <w:r w:rsidRPr="00686354">
              <w:rPr>
                <w:rFonts w:ascii="PMingLiU" w:eastAsia="PMingLiU" w:hAnsi="PMingLiU" w:cs="SimSun" w:hint="eastAsia"/>
                <w:lang w:eastAsia="zh-CN"/>
              </w:rPr>
              <w:t>在递交牌照申请前六个月内完成五小时的持续培训。</w:t>
            </w:r>
          </w:p>
        </w:tc>
      </w:tr>
      <w:tr w:rsidR="007E69C4" w:rsidRPr="002A4EB1" w:rsidTr="002A4EB1">
        <w:tc>
          <w:tcPr>
            <w:tcW w:w="1418" w:type="dxa"/>
            <w:vAlign w:val="center"/>
          </w:tcPr>
          <w:p w:rsidR="007E69C4" w:rsidRPr="00686354" w:rsidRDefault="007E69C4" w:rsidP="002A4EB1">
            <w:pPr>
              <w:adjustRightInd w:val="0"/>
              <w:snapToGrid w:val="0"/>
              <w:jc w:val="both"/>
              <w:rPr>
                <w:rFonts w:ascii="PMingLiU" w:eastAsia="PMingLiU" w:hAnsi="PMingLiU" w:cs="SimSun"/>
                <w:color w:val="FF0000"/>
                <w:lang w:eastAsia="zh-CN"/>
              </w:rPr>
            </w:pPr>
          </w:p>
          <w:p w:rsidR="007E69C4" w:rsidRPr="00686354" w:rsidRDefault="007E69C4" w:rsidP="002A4EB1">
            <w:pPr>
              <w:adjustRightInd w:val="0"/>
              <w:snapToGrid w:val="0"/>
              <w:jc w:val="both"/>
              <w:rPr>
                <w:rFonts w:ascii="PMingLiU" w:eastAsia="PMingLiU" w:hAnsi="PMingLiU" w:cs="SimSun"/>
                <w:color w:val="FF0000"/>
                <w:lang w:eastAsia="zh-CN"/>
              </w:rPr>
            </w:pPr>
            <w:r w:rsidRPr="00686354">
              <w:rPr>
                <w:rFonts w:ascii="PMingLiU" w:eastAsia="PMingLiU" w:hAnsi="PMingLiU" w:cs="SimSun" w:hint="eastAsia"/>
                <w:color w:val="FF0000"/>
                <w:lang w:eastAsia="zh-CN"/>
              </w:rPr>
              <w:t>管理经验</w:t>
            </w:r>
          </w:p>
        </w:tc>
        <w:tc>
          <w:tcPr>
            <w:tcW w:w="8168" w:type="dxa"/>
            <w:gridSpan w:val="5"/>
            <w:vAlign w:val="center"/>
          </w:tcPr>
          <w:p w:rsidR="007E69C4" w:rsidRPr="00686354" w:rsidRDefault="007E69C4" w:rsidP="002A4EB1">
            <w:pPr>
              <w:adjustRightInd w:val="0"/>
              <w:snapToGrid w:val="0"/>
              <w:jc w:val="both"/>
              <w:rPr>
                <w:rFonts w:ascii="PMingLiU" w:eastAsia="PMingLiU" w:hAnsi="PMingLiU" w:cs="SimSun"/>
                <w:lang w:eastAsia="zh-CN"/>
              </w:rPr>
            </w:pPr>
          </w:p>
          <w:p w:rsidR="007E69C4" w:rsidRDefault="007E69C4" w:rsidP="002A4EB1">
            <w:pPr>
              <w:adjustRightInd w:val="0"/>
              <w:snapToGrid w:val="0"/>
              <w:jc w:val="both"/>
              <w:rPr>
                <w:rFonts w:ascii="PMingLiU" w:hAnsi="PMingLiU" w:cs="SimSun"/>
                <w:lang w:eastAsia="zh-CN"/>
              </w:rPr>
            </w:pPr>
            <w:r w:rsidRPr="00686354">
              <w:rPr>
                <w:rFonts w:ascii="PMingLiU" w:eastAsia="PMingLiU" w:hAnsi="PMingLiU" w:cs="SimSun" w:hint="eastAsia"/>
                <w:lang w:eastAsia="zh-CN"/>
              </w:rPr>
              <w:t>2年在业务环境中监管及管理重要的受规管职能或项目的实际经验，包括管理从事这些职能或项目的员工。举例而言，管理团队进行受</w:t>
            </w:r>
            <w:proofErr w:type="gramStart"/>
            <w:r w:rsidRPr="00686354">
              <w:rPr>
                <w:rFonts w:ascii="PMingLiU" w:eastAsia="PMingLiU" w:hAnsi="PMingLiU" w:cs="SimSun" w:hint="eastAsia"/>
                <w:lang w:eastAsia="zh-CN"/>
              </w:rPr>
              <w:t>规</w:t>
            </w:r>
            <w:proofErr w:type="gramEnd"/>
            <w:r w:rsidRPr="00686354">
              <w:rPr>
                <w:rFonts w:ascii="PMingLiU" w:eastAsia="PMingLiU" w:hAnsi="PMingLiU" w:cs="SimSun" w:hint="eastAsia"/>
                <w:lang w:eastAsia="zh-CN"/>
              </w:rPr>
              <w:t>管活动，这可能会被视为相关的管理经验。香港证监会也接纳在金融业取得的管理经验，但不接纳纯粹属行政性质的管理经验（例如监督人力资源或办公室行政人员）</w:t>
            </w:r>
          </w:p>
          <w:p w:rsidR="007E69C4" w:rsidRPr="002A4EB1" w:rsidRDefault="007E69C4" w:rsidP="002A4EB1">
            <w:pPr>
              <w:adjustRightInd w:val="0"/>
              <w:snapToGrid w:val="0"/>
              <w:jc w:val="both"/>
              <w:rPr>
                <w:rFonts w:ascii="PMingLiU" w:eastAsiaTheme="minorEastAsia" w:hAnsi="PMingLiU" w:cs="SimSun"/>
                <w:lang w:eastAsia="zh-CN"/>
              </w:rPr>
            </w:pPr>
          </w:p>
        </w:tc>
      </w:tr>
      <w:tr w:rsidR="007E69C4" w:rsidRPr="002A4EB1" w:rsidTr="002A4EB1">
        <w:trPr>
          <w:trHeight w:val="329"/>
        </w:trPr>
        <w:tc>
          <w:tcPr>
            <w:tcW w:w="1418" w:type="dxa"/>
            <w:vAlign w:val="center"/>
          </w:tcPr>
          <w:p w:rsidR="007E69C4" w:rsidRPr="00686354" w:rsidRDefault="007E69C4" w:rsidP="002A4EB1">
            <w:pPr>
              <w:adjustRightInd w:val="0"/>
              <w:snapToGrid w:val="0"/>
              <w:jc w:val="both"/>
              <w:rPr>
                <w:rFonts w:ascii="PMingLiU" w:eastAsia="PMingLiU" w:hAnsi="PMingLiU" w:cs="SimSun"/>
                <w:color w:val="FF0000"/>
              </w:rPr>
            </w:pPr>
            <w:proofErr w:type="spellStart"/>
            <w:r w:rsidRPr="00686354">
              <w:rPr>
                <w:rFonts w:ascii="PMingLiU" w:eastAsia="PMingLiU" w:hAnsi="PMingLiU" w:cs="SimSun" w:hint="eastAsia"/>
                <w:color w:val="FF0000"/>
              </w:rPr>
              <w:lastRenderedPageBreak/>
              <w:t>本地监管架构考试</w:t>
            </w:r>
            <w:proofErr w:type="spellEnd"/>
          </w:p>
        </w:tc>
        <w:tc>
          <w:tcPr>
            <w:tcW w:w="8168" w:type="dxa"/>
            <w:gridSpan w:val="5"/>
            <w:vAlign w:val="center"/>
          </w:tcPr>
          <w:p w:rsidR="007E69C4" w:rsidRPr="002A4EB1" w:rsidRDefault="007E69C4" w:rsidP="002A4EB1">
            <w:pPr>
              <w:adjustRightInd w:val="0"/>
              <w:snapToGrid w:val="0"/>
              <w:jc w:val="both"/>
              <w:rPr>
                <w:rFonts w:ascii="PMingLiU" w:eastAsiaTheme="minorEastAsia" w:hAnsi="PMingLiU" w:cs="SimSun"/>
                <w:lang w:eastAsia="zh-CN"/>
              </w:rPr>
            </w:pPr>
            <w:r w:rsidRPr="00686354">
              <w:rPr>
                <w:rFonts w:ascii="PMingLiU" w:eastAsia="PMingLiU" w:hAnsi="PMingLiU" w:cs="SimSun" w:hint="eastAsia"/>
                <w:lang w:eastAsia="zh-CN"/>
              </w:rPr>
              <w:t>合格（证券及投资学会资格考试</w:t>
            </w:r>
            <w:proofErr w:type="gramStart"/>
            <w:r w:rsidRPr="00686354">
              <w:rPr>
                <w:rFonts w:ascii="PMingLiU" w:eastAsia="PMingLiU" w:hAnsi="PMingLiU" w:cs="SimSun" w:hint="eastAsia"/>
                <w:lang w:eastAsia="zh-CN"/>
              </w:rPr>
              <w:t>卷一及卷</w:t>
            </w:r>
            <w:proofErr w:type="gramEnd"/>
            <w:r w:rsidRPr="00686354">
              <w:rPr>
                <w:rFonts w:ascii="PMingLiU" w:eastAsia="PMingLiU" w:hAnsi="PMingLiU" w:cs="SimSun" w:hint="eastAsia"/>
                <w:lang w:eastAsia="zh-CN"/>
              </w:rPr>
              <w:t>二）</w:t>
            </w:r>
          </w:p>
        </w:tc>
      </w:tr>
    </w:tbl>
    <w:p w:rsidR="009A33A9" w:rsidRDefault="00801BA6">
      <w:pPr>
        <w:pStyle w:val="BodyText"/>
        <w:rPr>
          <w:lang w:eastAsia="zh-CN"/>
        </w:rPr>
      </w:pPr>
      <w:r>
        <w:rPr>
          <w:lang w:eastAsia="zh-CN"/>
        </w:rPr>
        <w:t>就虚拟资产交易平台指引第</w:t>
      </w:r>
      <w:r>
        <w:rPr>
          <w:lang w:eastAsia="zh-CN"/>
        </w:rPr>
        <w:t>3.16</w:t>
      </w:r>
      <w:r>
        <w:rPr>
          <w:lang w:eastAsia="zh-CN"/>
        </w:rPr>
        <w:t>段的行业经验规定而言，个人根据《打击洗钱条例》及《证券及期货条例</w:t>
      </w:r>
      <w:proofErr w:type="gramStart"/>
      <w:r>
        <w:rPr>
          <w:lang w:eastAsia="zh-CN"/>
        </w:rPr>
        <w:t>》</w:t>
      </w:r>
      <w:proofErr w:type="gramEnd"/>
      <w:r>
        <w:rPr>
          <w:lang w:eastAsia="zh-CN"/>
        </w:rPr>
        <w:t>申请双重发牌：</w:t>
      </w:r>
    </w:p>
    <w:p w:rsidR="009A33A9" w:rsidRDefault="00801BA6">
      <w:pPr>
        <w:numPr>
          <w:ilvl w:val="0"/>
          <w:numId w:val="14"/>
        </w:numPr>
        <w:rPr>
          <w:lang w:eastAsia="zh-CN"/>
        </w:rPr>
      </w:pPr>
      <w:r>
        <w:rPr>
          <w:i/>
          <w:lang w:eastAsia="zh-CN"/>
        </w:rPr>
        <w:t>仅具有非证券代币交易经验的负责人员申请人</w:t>
      </w:r>
    </w:p>
    <w:p w:rsidR="009A33A9" w:rsidRDefault="00801BA6">
      <w:pPr>
        <w:numPr>
          <w:ilvl w:val="0"/>
          <w:numId w:val="1"/>
        </w:numPr>
        <w:rPr>
          <w:lang w:eastAsia="zh-CN"/>
        </w:rPr>
      </w:pPr>
      <w:r>
        <w:rPr>
          <w:lang w:eastAsia="zh-CN"/>
        </w:rPr>
        <w:t>该等经验将被视为与第</w:t>
      </w:r>
      <w:r>
        <w:rPr>
          <w:lang w:eastAsia="zh-CN"/>
        </w:rPr>
        <w:t>1</w:t>
      </w:r>
      <w:r>
        <w:rPr>
          <w:lang w:eastAsia="zh-CN"/>
        </w:rPr>
        <w:t>类</w:t>
      </w:r>
      <w:r>
        <w:rPr>
          <w:lang w:eastAsia="zh-CN"/>
        </w:rPr>
        <w:t>(</w:t>
      </w:r>
      <w:r>
        <w:rPr>
          <w:lang w:eastAsia="zh-CN"/>
        </w:rPr>
        <w:t>证</w:t>
      </w:r>
      <w:r>
        <w:rPr>
          <w:lang w:eastAsia="zh-CN"/>
        </w:rPr>
        <w:t>券交易</w:t>
      </w:r>
      <w:r>
        <w:rPr>
          <w:lang w:eastAsia="zh-CN"/>
        </w:rPr>
        <w:t>)</w:t>
      </w:r>
      <w:r>
        <w:rPr>
          <w:lang w:eastAsia="zh-CN"/>
        </w:rPr>
        <w:t>受</w:t>
      </w:r>
      <w:proofErr w:type="gramStart"/>
      <w:r>
        <w:rPr>
          <w:lang w:eastAsia="zh-CN"/>
        </w:rPr>
        <w:t>规管活动</w:t>
      </w:r>
      <w:proofErr w:type="gramEnd"/>
      <w:r>
        <w:rPr>
          <w:lang w:eastAsia="zh-CN"/>
        </w:rPr>
        <w:t>有关的行业经验，不过负责人员的牌照会附加一项条件，限制该个人只可为证监会持牌的虚拟交易平台营运者提供第</w:t>
      </w:r>
      <w:r>
        <w:rPr>
          <w:lang w:eastAsia="zh-CN"/>
        </w:rPr>
        <w:t>1</w:t>
      </w:r>
      <w:r>
        <w:rPr>
          <w:lang w:eastAsia="zh-CN"/>
        </w:rPr>
        <w:t>类服务。</w:t>
      </w:r>
    </w:p>
    <w:p w:rsidR="009A33A9" w:rsidRDefault="00801BA6">
      <w:pPr>
        <w:numPr>
          <w:ilvl w:val="0"/>
          <w:numId w:val="14"/>
        </w:numPr>
        <w:rPr>
          <w:lang w:eastAsia="zh-CN"/>
        </w:rPr>
      </w:pPr>
      <w:r>
        <w:rPr>
          <w:i/>
          <w:lang w:eastAsia="zh-CN"/>
        </w:rPr>
        <w:t>只具备第</w:t>
      </w:r>
      <w:r>
        <w:rPr>
          <w:i/>
          <w:lang w:eastAsia="zh-CN"/>
        </w:rPr>
        <w:t>1</w:t>
      </w:r>
      <w:r>
        <w:rPr>
          <w:i/>
          <w:lang w:eastAsia="zh-CN"/>
        </w:rPr>
        <w:t>类</w:t>
      </w:r>
      <w:r>
        <w:rPr>
          <w:i/>
          <w:lang w:eastAsia="zh-CN"/>
        </w:rPr>
        <w:t>(</w:t>
      </w:r>
      <w:r>
        <w:rPr>
          <w:i/>
          <w:lang w:eastAsia="zh-CN"/>
        </w:rPr>
        <w:t>证券交易</w:t>
      </w:r>
      <w:r>
        <w:rPr>
          <w:i/>
          <w:lang w:eastAsia="zh-CN"/>
        </w:rPr>
        <w:t>)</w:t>
      </w:r>
      <w:r>
        <w:rPr>
          <w:i/>
          <w:lang w:eastAsia="zh-CN"/>
        </w:rPr>
        <w:t>受</w:t>
      </w:r>
      <w:proofErr w:type="gramStart"/>
      <w:r>
        <w:rPr>
          <w:i/>
          <w:lang w:eastAsia="zh-CN"/>
        </w:rPr>
        <w:t>规管活动</w:t>
      </w:r>
      <w:proofErr w:type="gramEnd"/>
      <w:r>
        <w:rPr>
          <w:i/>
          <w:lang w:eastAsia="zh-CN"/>
        </w:rPr>
        <w:t>经验的负责人员申请人</w:t>
      </w:r>
    </w:p>
    <w:p w:rsidR="009A33A9" w:rsidRDefault="00801BA6">
      <w:pPr>
        <w:numPr>
          <w:ilvl w:val="0"/>
          <w:numId w:val="1"/>
        </w:numPr>
      </w:pPr>
      <w:r>
        <w:rPr>
          <w:lang w:eastAsia="zh-CN"/>
        </w:rPr>
        <w:t>这一经验将被视为与根据《打击洗钱条例》提供虚拟资产服务有关的行业经验。但是，负责人员的执照将受</w:t>
      </w:r>
      <w:r>
        <w:rPr>
          <w:lang w:eastAsia="zh-CN"/>
        </w:rPr>
        <w:t>“</w:t>
      </w:r>
      <w:r>
        <w:rPr>
          <w:lang w:eastAsia="zh-CN"/>
        </w:rPr>
        <w:t>非唯一</w:t>
      </w:r>
      <w:r>
        <w:rPr>
          <w:lang w:eastAsia="zh-CN"/>
        </w:rPr>
        <w:t>”</w:t>
      </w:r>
      <w:r>
        <w:rPr>
          <w:lang w:eastAsia="zh-CN"/>
        </w:rPr>
        <w:t>条件的约束。</w:t>
      </w:r>
      <w:r>
        <w:fldChar w:fldCharType="begin"/>
      </w:r>
      <w:r>
        <w:rPr>
          <w:lang w:eastAsia="zh-CN"/>
        </w:rPr>
        <w:instrText xml:space="preserve"> HYPERLINK \l "footnote-598-6" \h </w:instrText>
      </w:r>
      <w:r>
        <w:fldChar w:fldCharType="separate"/>
      </w:r>
      <w:r>
        <w:rPr>
          <w:vertAlign w:val="superscript"/>
        </w:rPr>
        <w:t>6</w:t>
      </w:r>
      <w:r>
        <w:rPr>
          <w:vertAlign w:val="superscript"/>
        </w:rPr>
        <w:fldChar w:fldCharType="end"/>
      </w:r>
    </w:p>
    <w:p w:rsidR="009A33A9" w:rsidRDefault="00801BA6">
      <w:pPr>
        <w:pStyle w:val="FirstParagraph"/>
        <w:rPr>
          <w:lang w:eastAsia="zh-CN"/>
        </w:rPr>
      </w:pPr>
      <w:r>
        <w:rPr>
          <w:lang w:eastAsia="zh-CN"/>
        </w:rPr>
        <w:t>上述务实做法是一项临时措施，有待证监会检讨。</w:t>
      </w:r>
    </w:p>
    <w:p w:rsidR="009A33A9" w:rsidRDefault="00801BA6">
      <w:pPr>
        <w:pStyle w:val="BodyText"/>
        <w:rPr>
          <w:lang w:eastAsia="zh-CN"/>
        </w:rPr>
      </w:pPr>
      <w:r>
        <w:rPr>
          <w:lang w:eastAsia="zh-CN"/>
        </w:rPr>
        <w:t>海外居民</w:t>
      </w:r>
    </w:p>
    <w:p w:rsidR="009A33A9" w:rsidRDefault="00801BA6">
      <w:pPr>
        <w:pStyle w:val="BodyText"/>
        <w:rPr>
          <w:lang w:eastAsia="zh-CN"/>
        </w:rPr>
      </w:pPr>
      <w:r>
        <w:rPr>
          <w:lang w:eastAsia="zh-CN"/>
        </w:rPr>
        <w:t>香港证监会将对偶尔到香港进行受</w:t>
      </w:r>
      <w:proofErr w:type="gramStart"/>
      <w:r>
        <w:rPr>
          <w:lang w:eastAsia="zh-CN"/>
        </w:rPr>
        <w:t>规管活动</w:t>
      </w:r>
      <w:proofErr w:type="gramEnd"/>
      <w:r>
        <w:rPr>
          <w:lang w:eastAsia="zh-CN"/>
        </w:rPr>
        <w:t>的海外负责人员的牌照施加一项非唯一条</w:t>
      </w:r>
      <w:r>
        <w:rPr>
          <w:lang w:eastAsia="zh-CN"/>
        </w:rPr>
        <w:t>件。不时在香港短暂逗留的流动专业人士不能担任负责人员，因为负责人员有责任监督有关受</w:t>
      </w:r>
      <w:proofErr w:type="gramStart"/>
      <w:r>
        <w:rPr>
          <w:lang w:eastAsia="zh-CN"/>
        </w:rPr>
        <w:t>规管活动</w:t>
      </w:r>
      <w:proofErr w:type="gramEnd"/>
      <w:r>
        <w:rPr>
          <w:lang w:eastAsia="zh-CN"/>
        </w:rPr>
        <w:t>在香港的业务。</w:t>
      </w:r>
    </w:p>
    <w:p w:rsidR="009A33A9" w:rsidRDefault="00801BA6">
      <w:pPr>
        <w:pStyle w:val="BodyText"/>
        <w:rPr>
          <w:lang w:eastAsia="zh-CN"/>
        </w:rPr>
      </w:pPr>
      <w:r>
        <w:rPr>
          <w:lang w:eastAsia="zh-CN"/>
        </w:rPr>
        <w:t>提交平台营运</w:t>
      </w:r>
      <w:proofErr w:type="gramStart"/>
      <w:r>
        <w:rPr>
          <w:lang w:eastAsia="zh-CN"/>
        </w:rPr>
        <w:t>者银行</w:t>
      </w:r>
      <w:proofErr w:type="gramEnd"/>
      <w:r>
        <w:rPr>
          <w:lang w:eastAsia="zh-CN"/>
        </w:rPr>
        <w:t>户口资料</w:t>
      </w:r>
    </w:p>
    <w:p w:rsidR="009A33A9" w:rsidRDefault="00801BA6">
      <w:pPr>
        <w:pStyle w:val="BodyText"/>
        <w:rPr>
          <w:lang w:eastAsia="zh-CN"/>
        </w:rPr>
      </w:pPr>
      <w:r>
        <w:rPr>
          <w:lang w:eastAsia="zh-CN"/>
        </w:rPr>
        <w:t>虚拟资产交易平台营运者需在发牌申请获批前，向香港证监会提交其银行账户详情。它们还须在取得牌照后一个月内，将其财政年度结束情况通知香港证监会。</w:t>
      </w:r>
    </w:p>
    <w:p w:rsidR="009A33A9" w:rsidRDefault="00801BA6">
      <w:pPr>
        <w:pStyle w:val="BodyText"/>
        <w:rPr>
          <w:lang w:eastAsia="zh-CN"/>
        </w:rPr>
      </w:pPr>
      <w:r>
        <w:rPr>
          <w:lang w:eastAsia="zh-CN"/>
        </w:rPr>
        <w:t>对持牌代表的进一步指引</w:t>
      </w:r>
    </w:p>
    <w:p w:rsidR="009A33A9" w:rsidRDefault="00801BA6">
      <w:pPr>
        <w:pStyle w:val="BodyText"/>
        <w:rPr>
          <w:lang w:eastAsia="zh-CN"/>
        </w:rPr>
      </w:pPr>
      <w:r>
        <w:rPr>
          <w:lang w:eastAsia="zh-CN"/>
        </w:rPr>
        <w:t>证监会要求申请人在申请批准为负责人员之前，必须先成为持牌代表。实际上，这些申请可以同时提交。</w:t>
      </w:r>
    </w:p>
    <w:p w:rsidR="009A33A9" w:rsidRDefault="00801BA6">
      <w:pPr>
        <w:pStyle w:val="BodyText"/>
        <w:rPr>
          <w:lang w:eastAsia="zh-CN"/>
        </w:rPr>
      </w:pPr>
      <w:r>
        <w:rPr>
          <w:lang w:eastAsia="zh-CN"/>
        </w:rPr>
        <w:t>持牌代表只能代表获认可进行受</w:t>
      </w:r>
      <w:proofErr w:type="gramStart"/>
      <w:r>
        <w:rPr>
          <w:lang w:eastAsia="zh-CN"/>
        </w:rPr>
        <w:t>规管活动</w:t>
      </w:r>
      <w:proofErr w:type="gramEnd"/>
      <w:r>
        <w:rPr>
          <w:lang w:eastAsia="zh-CN"/>
        </w:rPr>
        <w:t>的平台营运者。如持牌代表停止代表其委托人行事，委托人必须在</w:t>
      </w:r>
      <w:r>
        <w:rPr>
          <w:lang w:eastAsia="zh-CN"/>
        </w:rPr>
        <w:t>7</w:t>
      </w:r>
      <w:r>
        <w:rPr>
          <w:lang w:eastAsia="zh-CN"/>
        </w:rPr>
        <w:t>个工作日内通过</w:t>
      </w:r>
      <w:r>
        <w:rPr>
          <w:lang w:eastAsia="zh-CN"/>
        </w:rPr>
        <w:t>WING</w:t>
      </w:r>
      <w:r>
        <w:rPr>
          <w:lang w:eastAsia="zh-CN"/>
        </w:rPr>
        <w:t>S-LIC</w:t>
      </w:r>
      <w:r>
        <w:rPr>
          <w:lang w:eastAsia="zh-CN"/>
        </w:rPr>
        <w:t>通知证监会。然后，持牌代表可以在</w:t>
      </w:r>
      <w:r>
        <w:rPr>
          <w:lang w:eastAsia="zh-CN"/>
        </w:rPr>
        <w:t>180</w:t>
      </w:r>
      <w:r>
        <w:rPr>
          <w:lang w:eastAsia="zh-CN"/>
        </w:rPr>
        <w:t>天内申请将认证转让给另一家平台营运者。如果持牌代表先前收到监管警告，则必须在申请表中披露。</w:t>
      </w:r>
    </w:p>
    <w:p w:rsidR="009A33A9" w:rsidRDefault="00801BA6">
      <w:pPr>
        <w:pStyle w:val="BodyText"/>
        <w:rPr>
          <w:lang w:eastAsia="zh-CN"/>
        </w:rPr>
      </w:pPr>
      <w:r>
        <w:rPr>
          <w:lang w:eastAsia="zh-CN"/>
        </w:rPr>
        <w:t>曾被起诉、撤销或抹除定罪的持牌代表，如希望对其定罪记录保密，可在申请表的有关栏内选择</w:t>
      </w:r>
      <w:r>
        <w:rPr>
          <w:lang w:eastAsia="zh-CN"/>
        </w:rPr>
        <w:t>“</w:t>
      </w:r>
      <w:r>
        <w:rPr>
          <w:lang w:eastAsia="zh-CN"/>
        </w:rPr>
        <w:t>否</w:t>
      </w:r>
      <w:r>
        <w:rPr>
          <w:lang w:eastAsia="zh-CN"/>
        </w:rPr>
        <w:t>”</w:t>
      </w:r>
      <w:r>
        <w:rPr>
          <w:lang w:eastAsia="zh-CN"/>
        </w:rPr>
        <w:t>。不过，《罪犯更生条例》的保障并不包括有关该人是否适合申领牌照的法律程序。申请人必须在提交牌照申请之日起计两个工作天内，分别向证监会提供有关罪行及定罪的详情。</w:t>
      </w:r>
    </w:p>
    <w:p w:rsidR="009A33A9" w:rsidRDefault="00801BA6">
      <w:pPr>
        <w:pStyle w:val="BodyText"/>
        <w:rPr>
          <w:lang w:eastAsia="zh-CN"/>
        </w:rPr>
      </w:pPr>
      <w:r>
        <w:rPr>
          <w:lang w:eastAsia="zh-CN"/>
        </w:rPr>
        <w:t>大股东指南</w:t>
      </w:r>
    </w:p>
    <w:p w:rsidR="009A33A9" w:rsidRDefault="00801BA6">
      <w:pPr>
        <w:pStyle w:val="BodyText"/>
        <w:rPr>
          <w:lang w:eastAsia="zh-CN"/>
        </w:rPr>
      </w:pPr>
      <w:r>
        <w:rPr>
          <w:lang w:eastAsia="zh-CN"/>
        </w:rPr>
        <w:t>获发牌的虚拟资产服务提供者的大股东及最终拥有人均</w:t>
      </w:r>
      <w:proofErr w:type="gramStart"/>
      <w:r>
        <w:rPr>
          <w:lang w:eastAsia="zh-CN"/>
        </w:rPr>
        <w:t>须属适当</w:t>
      </w:r>
      <w:proofErr w:type="gramEnd"/>
      <w:r>
        <w:rPr>
          <w:lang w:eastAsia="zh-CN"/>
        </w:rPr>
        <w:t>人选。</w:t>
      </w:r>
      <w:r>
        <w:fldChar w:fldCharType="begin"/>
      </w:r>
      <w:r>
        <w:rPr>
          <w:lang w:eastAsia="zh-CN"/>
        </w:rPr>
        <w:instrText xml:space="preserve"> HYPERLINK \l "footnot</w:instrText>
      </w:r>
      <w:r>
        <w:rPr>
          <w:lang w:eastAsia="zh-CN"/>
        </w:rPr>
        <w:instrText xml:space="preserve">e-598-7" \h </w:instrText>
      </w:r>
      <w:r>
        <w:fldChar w:fldCharType="separate"/>
      </w:r>
      <w:r>
        <w:rPr>
          <w:vertAlign w:val="superscript"/>
          <w:lang w:eastAsia="zh-CN"/>
        </w:rPr>
        <w:t>7</w:t>
      </w:r>
      <w:r>
        <w:rPr>
          <w:vertAlign w:val="superscript"/>
        </w:rPr>
        <w:fldChar w:fldCharType="end"/>
      </w:r>
      <w:r>
        <w:rPr>
          <w:lang w:eastAsia="zh-CN"/>
        </w:rPr>
        <w:t xml:space="preserve"> </w:t>
      </w:r>
      <w:r>
        <w:rPr>
          <w:lang w:eastAsia="zh-CN"/>
        </w:rPr>
        <w:t>证监会准许某些与平台营运者无「紧密联系」的某些大股东在申请表格中提供些许资料。如有关大股东具以下特征，证监会通常会认为不存在「紧密联系」：</w:t>
      </w:r>
    </w:p>
    <w:p w:rsidR="009A33A9" w:rsidRDefault="00801BA6">
      <w:pPr>
        <w:pStyle w:val="Compact"/>
        <w:numPr>
          <w:ilvl w:val="0"/>
          <w:numId w:val="15"/>
        </w:numPr>
        <w:rPr>
          <w:lang w:eastAsia="zh-CN"/>
        </w:rPr>
      </w:pPr>
      <w:r>
        <w:rPr>
          <w:lang w:eastAsia="zh-CN"/>
        </w:rPr>
        <w:t>单独并不对《证券及期货条例》附表</w:t>
      </w:r>
      <w:r>
        <w:rPr>
          <w:lang w:eastAsia="zh-CN"/>
        </w:rPr>
        <w:t>1</w:t>
      </w:r>
      <w:r>
        <w:rPr>
          <w:lang w:eastAsia="zh-CN"/>
        </w:rPr>
        <w:t>第</w:t>
      </w:r>
      <w:r>
        <w:rPr>
          <w:lang w:eastAsia="zh-CN"/>
        </w:rPr>
        <w:t>1</w:t>
      </w:r>
      <w:r>
        <w:rPr>
          <w:lang w:eastAsia="zh-CN"/>
        </w:rPr>
        <w:t>部第</w:t>
      </w:r>
      <w:r>
        <w:rPr>
          <w:lang w:eastAsia="zh-CN"/>
        </w:rPr>
        <w:t>6</w:t>
      </w:r>
      <w:r>
        <w:rPr>
          <w:lang w:eastAsia="zh-CN"/>
        </w:rPr>
        <w:t>条所述的法团牌照申请人拥有直接或间接利益，即其并不：</w:t>
      </w:r>
    </w:p>
    <w:p w:rsidR="009A33A9" w:rsidRDefault="00801BA6">
      <w:pPr>
        <w:pStyle w:val="Compact"/>
        <w:numPr>
          <w:ilvl w:val="0"/>
          <w:numId w:val="15"/>
        </w:numPr>
        <w:rPr>
          <w:lang w:eastAsia="zh-CN"/>
        </w:rPr>
      </w:pPr>
      <w:r>
        <w:rPr>
          <w:lang w:eastAsia="zh-CN"/>
        </w:rPr>
        <w:t>持有法团牌照申请人已发行股份的</w:t>
      </w:r>
      <w:r>
        <w:rPr>
          <w:lang w:eastAsia="zh-CN"/>
        </w:rPr>
        <w:t>10%</w:t>
      </w:r>
      <w:r>
        <w:rPr>
          <w:lang w:eastAsia="zh-CN"/>
        </w:rPr>
        <w:t>以上，使该人（单独或连同其联系人）拥有可在股东大会上控制超过</w:t>
      </w:r>
      <w:r>
        <w:rPr>
          <w:lang w:eastAsia="zh-CN"/>
        </w:rPr>
        <w:t>10%</w:t>
      </w:r>
      <w:r>
        <w:rPr>
          <w:lang w:eastAsia="zh-CN"/>
        </w:rPr>
        <w:t>的投票权的权利；或</w:t>
      </w:r>
    </w:p>
    <w:p w:rsidR="009A33A9" w:rsidRDefault="00801BA6">
      <w:pPr>
        <w:pStyle w:val="Compact"/>
        <w:numPr>
          <w:ilvl w:val="0"/>
          <w:numId w:val="15"/>
        </w:numPr>
        <w:rPr>
          <w:lang w:eastAsia="zh-CN"/>
        </w:rPr>
      </w:pPr>
      <w:r>
        <w:rPr>
          <w:lang w:eastAsia="zh-CN"/>
        </w:rPr>
        <w:lastRenderedPageBreak/>
        <w:t>持有任何其他法团的股份，使该人（单独或连同其联系人）拥有在</w:t>
      </w:r>
      <w:proofErr w:type="gramStart"/>
      <w:r>
        <w:rPr>
          <w:lang w:eastAsia="zh-CN"/>
        </w:rPr>
        <w:t>该其他法</w:t>
      </w:r>
      <w:proofErr w:type="gramEnd"/>
      <w:r>
        <w:rPr>
          <w:lang w:eastAsia="zh-CN"/>
        </w:rPr>
        <w:t>团或另一法团（可以在该法团股东大会上控制（单独或连同其联</w:t>
      </w:r>
      <w:r>
        <w:rPr>
          <w:lang w:eastAsia="zh-CN"/>
        </w:rPr>
        <w:t>系人）控制</w:t>
      </w:r>
      <w:r>
        <w:rPr>
          <w:lang w:eastAsia="zh-CN"/>
        </w:rPr>
        <w:t>10%</w:t>
      </w:r>
      <w:r>
        <w:rPr>
          <w:lang w:eastAsia="zh-CN"/>
        </w:rPr>
        <w:t>以上投票权）的股东大会上控制</w:t>
      </w:r>
      <w:r>
        <w:rPr>
          <w:lang w:eastAsia="zh-CN"/>
        </w:rPr>
        <w:t>35%</w:t>
      </w:r>
      <w:r>
        <w:rPr>
          <w:lang w:eastAsia="zh-CN"/>
        </w:rPr>
        <w:t>或以上的投票权的权利。</w:t>
      </w:r>
    </w:p>
    <w:p w:rsidR="009A33A9" w:rsidRDefault="00801BA6">
      <w:pPr>
        <w:pStyle w:val="Compact"/>
        <w:numPr>
          <w:ilvl w:val="0"/>
          <w:numId w:val="15"/>
        </w:numPr>
        <w:rPr>
          <w:lang w:eastAsia="zh-CN"/>
        </w:rPr>
      </w:pPr>
      <w:r>
        <w:rPr>
          <w:lang w:eastAsia="zh-CN"/>
        </w:rPr>
        <w:t>如《证券及期货条例》附表</w:t>
      </w:r>
      <w:r>
        <w:rPr>
          <w:lang w:eastAsia="zh-CN"/>
        </w:rPr>
        <w:t>1</w:t>
      </w:r>
      <w:r>
        <w:rPr>
          <w:lang w:eastAsia="zh-CN"/>
        </w:rPr>
        <w:t>第</w:t>
      </w:r>
      <w:r>
        <w:rPr>
          <w:lang w:eastAsia="zh-CN"/>
        </w:rPr>
        <w:t>1</w:t>
      </w:r>
      <w:r>
        <w:rPr>
          <w:lang w:eastAsia="zh-CN"/>
        </w:rPr>
        <w:t>部第</w:t>
      </w:r>
      <w:r>
        <w:rPr>
          <w:lang w:eastAsia="zh-CN"/>
        </w:rPr>
        <w:t>6</w:t>
      </w:r>
      <w:r>
        <w:rPr>
          <w:lang w:eastAsia="zh-CN"/>
        </w:rPr>
        <w:t>条所述，连同其任何关联人，对法团牌照申请人拥有直接或间接利益；</w:t>
      </w:r>
    </w:p>
    <w:p w:rsidR="009A33A9" w:rsidRDefault="00801BA6">
      <w:pPr>
        <w:pStyle w:val="Compact"/>
        <w:numPr>
          <w:ilvl w:val="0"/>
          <w:numId w:val="15"/>
        </w:numPr>
        <w:rPr>
          <w:lang w:eastAsia="zh-CN"/>
        </w:rPr>
      </w:pPr>
      <w:r>
        <w:rPr>
          <w:lang w:eastAsia="zh-CN"/>
        </w:rPr>
        <w:t>受或将受其他现有或潜在的大股东控制或影响；及</w:t>
      </w:r>
    </w:p>
    <w:p w:rsidR="009A33A9" w:rsidRDefault="00801BA6">
      <w:pPr>
        <w:pStyle w:val="Compact"/>
        <w:numPr>
          <w:ilvl w:val="0"/>
          <w:numId w:val="15"/>
        </w:numPr>
        <w:rPr>
          <w:lang w:eastAsia="zh-CN"/>
        </w:rPr>
      </w:pPr>
      <w:r>
        <w:rPr>
          <w:lang w:eastAsia="zh-CN"/>
        </w:rPr>
        <w:t>没有也不会参与法团牌照申请人的管理及运作。</w:t>
      </w:r>
    </w:p>
    <w:p w:rsidR="009A33A9" w:rsidRDefault="00801BA6">
      <w:pPr>
        <w:pStyle w:val="FirstParagraph"/>
        <w:rPr>
          <w:lang w:eastAsia="zh-CN"/>
        </w:rPr>
      </w:pPr>
      <w:r>
        <w:rPr>
          <w:lang w:eastAsia="zh-CN"/>
        </w:rPr>
        <w:t>法团牌照申请人的最终拥有人指的是具以下特征的人士：</w:t>
      </w:r>
      <w:r>
        <w:rPr>
          <w:lang w:eastAsia="zh-CN"/>
        </w:rPr>
        <w:t>(</w:t>
      </w:r>
      <w:proofErr w:type="spellStart"/>
      <w:r>
        <w:rPr>
          <w:lang w:eastAsia="zh-CN"/>
        </w:rPr>
        <w:t>i</w:t>
      </w:r>
      <w:proofErr w:type="spellEnd"/>
      <w:proofErr w:type="gramStart"/>
      <w:r>
        <w:rPr>
          <w:lang w:eastAsia="zh-CN"/>
        </w:rPr>
        <w:t>)</w:t>
      </w:r>
      <w:r>
        <w:rPr>
          <w:lang w:eastAsia="zh-CN"/>
        </w:rPr>
        <w:t>直接或间接控制该法团的已发行股本超过</w:t>
      </w:r>
      <w:r>
        <w:rPr>
          <w:lang w:eastAsia="zh-CN"/>
        </w:rPr>
        <w:t>25</w:t>
      </w:r>
      <w:proofErr w:type="gramEnd"/>
      <w:r>
        <w:rPr>
          <w:lang w:eastAsia="zh-CN"/>
        </w:rPr>
        <w:t>%</w:t>
      </w:r>
      <w:r>
        <w:rPr>
          <w:lang w:eastAsia="zh-CN"/>
        </w:rPr>
        <w:t>或在法团股东大会上直接或间接控制超过</w:t>
      </w:r>
      <w:r>
        <w:rPr>
          <w:lang w:eastAsia="zh-CN"/>
        </w:rPr>
        <w:t>25%</w:t>
      </w:r>
      <w:r>
        <w:rPr>
          <w:lang w:eastAsia="zh-CN"/>
        </w:rPr>
        <w:t>的表决权；或</w:t>
      </w:r>
      <w:r>
        <w:rPr>
          <w:lang w:eastAsia="zh-CN"/>
        </w:rPr>
        <w:t>(ii)</w:t>
      </w:r>
      <w:r>
        <w:rPr>
          <w:lang w:eastAsia="zh-CN"/>
        </w:rPr>
        <w:t>对法团管理层行使最终控制权。</w:t>
      </w:r>
    </w:p>
    <w:p w:rsidR="009A33A9" w:rsidRDefault="00801BA6">
      <w:pPr>
        <w:pStyle w:val="BodyText"/>
        <w:rPr>
          <w:lang w:eastAsia="zh-CN"/>
        </w:rPr>
      </w:pPr>
      <w:r>
        <w:rPr>
          <w:lang w:eastAsia="zh-CN"/>
        </w:rPr>
        <w:t>虚拟资产交易平台营运者：发牌条件</w:t>
      </w:r>
    </w:p>
    <w:p w:rsidR="009A33A9" w:rsidRDefault="00801BA6">
      <w:pPr>
        <w:pStyle w:val="BodyText"/>
        <w:rPr>
          <w:lang w:eastAsia="zh-CN"/>
        </w:rPr>
      </w:pPr>
      <w:r>
        <w:rPr>
          <w:lang w:eastAsia="zh-CN"/>
        </w:rPr>
        <w:t>虚拟资产平台营运者如欲取得牌照，须符合若干条件，包括针对平台营运者的若干以下规定：</w:t>
      </w:r>
    </w:p>
    <w:p w:rsidR="009A33A9" w:rsidRDefault="00801BA6">
      <w:pPr>
        <w:pStyle w:val="Compact"/>
        <w:numPr>
          <w:ilvl w:val="0"/>
          <w:numId w:val="16"/>
        </w:numPr>
        <w:rPr>
          <w:lang w:eastAsia="zh-CN"/>
        </w:rPr>
      </w:pPr>
      <w:r>
        <w:rPr>
          <w:lang w:eastAsia="zh-CN"/>
        </w:rPr>
        <w:t>必须遵守《适用于虚拟资产交易平台营运者的指引》；</w:t>
      </w:r>
    </w:p>
    <w:p w:rsidR="009A33A9" w:rsidRDefault="00801BA6">
      <w:pPr>
        <w:pStyle w:val="Compact"/>
        <w:numPr>
          <w:ilvl w:val="0"/>
          <w:numId w:val="16"/>
        </w:numPr>
        <w:rPr>
          <w:lang w:eastAsia="zh-CN"/>
        </w:rPr>
      </w:pPr>
      <w:r>
        <w:rPr>
          <w:lang w:eastAsia="zh-CN"/>
        </w:rPr>
        <w:t>如其发觉无法维持或确定是否维持以下条件，必须立即通知证监会并停止经营该虚拟资产交易平台：</w:t>
      </w:r>
    </w:p>
    <w:p w:rsidR="009A33A9" w:rsidRDefault="00801BA6">
      <w:pPr>
        <w:pStyle w:val="Compact"/>
        <w:numPr>
          <w:ilvl w:val="1"/>
          <w:numId w:val="17"/>
        </w:numPr>
        <w:rPr>
          <w:lang w:eastAsia="zh-CN"/>
        </w:rPr>
      </w:pPr>
      <w:r>
        <w:rPr>
          <w:lang w:eastAsia="zh-CN"/>
        </w:rPr>
        <w:t>流动资本为</w:t>
      </w:r>
      <w:r>
        <w:rPr>
          <w:lang w:eastAsia="zh-CN"/>
        </w:rPr>
        <w:t>300</w:t>
      </w:r>
      <w:r>
        <w:rPr>
          <w:lang w:eastAsia="zh-CN"/>
        </w:rPr>
        <w:t>万港元及《证券及期货（财务资源）规则》第</w:t>
      </w:r>
      <w:r>
        <w:rPr>
          <w:lang w:eastAsia="zh-CN"/>
        </w:rPr>
        <w:t>2</w:t>
      </w:r>
      <w:r>
        <w:rPr>
          <w:lang w:eastAsia="zh-CN"/>
        </w:rPr>
        <w:t>条所界定的基本金额（以较高者为准）；及</w:t>
      </w:r>
    </w:p>
    <w:p w:rsidR="009A33A9" w:rsidRDefault="00801BA6">
      <w:pPr>
        <w:pStyle w:val="Compact"/>
        <w:numPr>
          <w:ilvl w:val="1"/>
          <w:numId w:val="17"/>
        </w:numPr>
      </w:pPr>
      <w:r>
        <w:t>实缴股本</w:t>
      </w:r>
      <w:r>
        <w:t>500</w:t>
      </w:r>
      <w:r>
        <w:t>万港元；</w:t>
      </w:r>
    </w:p>
    <w:p w:rsidR="009A33A9" w:rsidRDefault="00801BA6">
      <w:pPr>
        <w:pStyle w:val="Compact"/>
        <w:numPr>
          <w:ilvl w:val="0"/>
          <w:numId w:val="16"/>
        </w:numPr>
        <w:rPr>
          <w:lang w:eastAsia="zh-CN"/>
        </w:rPr>
      </w:pPr>
      <w:r>
        <w:rPr>
          <w:lang w:eastAsia="zh-CN"/>
        </w:rPr>
        <w:t>必须在每个</w:t>
      </w:r>
      <w:proofErr w:type="gramStart"/>
      <w:r>
        <w:rPr>
          <w:lang w:eastAsia="zh-CN"/>
        </w:rPr>
        <w:t>公历月</w:t>
      </w:r>
      <w:proofErr w:type="gramEnd"/>
      <w:r>
        <w:rPr>
          <w:lang w:eastAsia="zh-CN"/>
        </w:rPr>
        <w:t>结束后的两周内向证监会提供有关其业务活动的月度报告，以及证监会要求提供的任何其他资料；</w:t>
      </w:r>
    </w:p>
    <w:p w:rsidR="009A33A9" w:rsidRDefault="00801BA6">
      <w:pPr>
        <w:pStyle w:val="Compact"/>
        <w:numPr>
          <w:ilvl w:val="0"/>
          <w:numId w:val="16"/>
        </w:numPr>
        <w:rPr>
          <w:lang w:eastAsia="zh-CN"/>
        </w:rPr>
      </w:pPr>
      <w:r>
        <w:rPr>
          <w:lang w:eastAsia="zh-CN"/>
        </w:rPr>
        <w:t>必须聘请获证监会接纳的独立专业公司对其活动及业务进行年度检讨，</w:t>
      </w:r>
      <w:r>
        <w:rPr>
          <w:lang w:eastAsia="zh-CN"/>
        </w:rPr>
        <w:t>并拟备一份报告，确认其已遵守发牌条件及所有相关的法律及监管规定。第一份报告必须在平台营运者牌照获得批准后的</w:t>
      </w:r>
      <w:r>
        <w:rPr>
          <w:lang w:eastAsia="zh-CN"/>
        </w:rPr>
        <w:t>18</w:t>
      </w:r>
      <w:r>
        <w:rPr>
          <w:lang w:eastAsia="zh-CN"/>
        </w:rPr>
        <w:t>个月内提交。后续报告须在每个财政年度结束后的四个月内应证监会的要求提交；</w:t>
      </w:r>
    </w:p>
    <w:p w:rsidR="009A33A9" w:rsidRDefault="00801BA6">
      <w:pPr>
        <w:pStyle w:val="Compact"/>
        <w:numPr>
          <w:ilvl w:val="0"/>
          <w:numId w:val="16"/>
        </w:numPr>
        <w:rPr>
          <w:lang w:eastAsia="zh-CN"/>
        </w:rPr>
      </w:pPr>
      <w:r>
        <w:rPr>
          <w:lang w:eastAsia="zh-CN"/>
        </w:rPr>
        <w:t>必须取得证监会的书面批准，方可在引入或提供新的或附带的服务或活动，或对现有服务或活动</w:t>
      </w:r>
      <w:proofErr w:type="gramStart"/>
      <w:r>
        <w:rPr>
          <w:lang w:eastAsia="zh-CN"/>
        </w:rPr>
        <w:t>作出</w:t>
      </w:r>
      <w:proofErr w:type="gramEnd"/>
      <w:r>
        <w:rPr>
          <w:lang w:eastAsia="zh-CN"/>
        </w:rPr>
        <w:t>重大变更（包括长期暂停或终止现有服务或活动）；及</w:t>
      </w:r>
    </w:p>
    <w:p w:rsidR="009A33A9" w:rsidRDefault="00801BA6">
      <w:pPr>
        <w:pStyle w:val="Compact"/>
        <w:numPr>
          <w:ilvl w:val="0"/>
          <w:numId w:val="16"/>
        </w:numPr>
        <w:rPr>
          <w:lang w:eastAsia="zh-CN"/>
        </w:rPr>
      </w:pPr>
      <w:r>
        <w:rPr>
          <w:lang w:eastAsia="zh-CN"/>
        </w:rPr>
        <w:t>仅限于运营集中在线虚拟资产交易平台，在其平台上交易虚拟资产，并开展：</w:t>
      </w:r>
      <w:r>
        <w:rPr>
          <w:lang w:eastAsia="zh-CN"/>
        </w:rPr>
        <w:t>(</w:t>
      </w:r>
      <w:proofErr w:type="spellStart"/>
      <w:r>
        <w:rPr>
          <w:lang w:eastAsia="zh-CN"/>
        </w:rPr>
        <w:t>i</w:t>
      </w:r>
      <w:proofErr w:type="spellEnd"/>
      <w:proofErr w:type="gramStart"/>
      <w:r>
        <w:rPr>
          <w:lang w:eastAsia="zh-CN"/>
        </w:rPr>
        <w:t>)</w:t>
      </w:r>
      <w:r>
        <w:rPr>
          <w:lang w:eastAsia="zh-CN"/>
        </w:rPr>
        <w:t>平台外虚拟资产交易业务及其向客户提供的附带服务</w:t>
      </w:r>
      <w:proofErr w:type="gramEnd"/>
      <w:r>
        <w:rPr>
          <w:lang w:eastAsia="zh-CN"/>
        </w:rPr>
        <w:t>；以及</w:t>
      </w:r>
      <w:r>
        <w:rPr>
          <w:lang w:eastAsia="zh-CN"/>
        </w:rPr>
        <w:t>(ii)</w:t>
      </w:r>
      <w:r>
        <w:rPr>
          <w:lang w:eastAsia="zh-CN"/>
        </w:rPr>
        <w:t>与该非平台业务相关的活动。</w:t>
      </w:r>
    </w:p>
    <w:p w:rsidR="009A33A9" w:rsidRDefault="00801BA6">
      <w:pPr>
        <w:pStyle w:val="FirstParagraph"/>
        <w:rPr>
          <w:lang w:eastAsia="zh-CN"/>
        </w:rPr>
      </w:pPr>
      <w:r>
        <w:rPr>
          <w:lang w:eastAsia="zh-CN"/>
        </w:rPr>
        <w:t>持牌虚拟资产交易平台营运者的</w:t>
      </w:r>
      <w:r>
        <w:rPr>
          <w:lang w:eastAsia="zh-CN"/>
        </w:rPr>
        <w:t>汇报及通知责任</w:t>
      </w:r>
    </w:p>
    <w:p w:rsidR="009A33A9" w:rsidRDefault="00801BA6">
      <w:pPr>
        <w:pStyle w:val="BodyText"/>
        <w:rPr>
          <w:lang w:eastAsia="zh-CN"/>
        </w:rPr>
      </w:pPr>
      <w:r>
        <w:rPr>
          <w:lang w:eastAsia="zh-CN"/>
        </w:rPr>
        <w:t>法团牌照申请人及个人牌照申请人应透过</w:t>
      </w:r>
      <w:r>
        <w:rPr>
          <w:lang w:eastAsia="zh-CN"/>
        </w:rPr>
        <w:t>WINGS-LIC</w:t>
      </w:r>
      <w:r>
        <w:rPr>
          <w:lang w:eastAsia="zh-CN"/>
        </w:rPr>
        <w:t>向证监会提交申请表格、补充文件及问卷。此门户网站亦被指定用于提交通知、监管文件</w:t>
      </w:r>
      <w:proofErr w:type="gramStart"/>
      <w:r>
        <w:rPr>
          <w:lang w:eastAsia="zh-CN"/>
        </w:rPr>
        <w:t>及周年</w:t>
      </w:r>
      <w:proofErr w:type="gramEnd"/>
      <w:r>
        <w:rPr>
          <w:lang w:eastAsia="zh-CN"/>
        </w:rPr>
        <w:t>申报表。更多信息请参阅</w:t>
      </w:r>
      <w:r>
        <w:fldChar w:fldCharType="begin"/>
      </w:r>
      <w:r>
        <w:rPr>
          <w:lang w:eastAsia="zh-CN"/>
        </w:rPr>
        <w:instrText xml:space="preserve"> HYPERLINK "https://wings.sfc.hk/main/" \l "/zh" \h </w:instrText>
      </w:r>
      <w:r>
        <w:fldChar w:fldCharType="separate"/>
      </w:r>
      <w:r>
        <w:rPr>
          <w:lang w:eastAsia="zh-CN"/>
        </w:rPr>
        <w:t>WINGS</w:t>
      </w:r>
      <w:r>
        <w:rPr>
          <w:lang w:eastAsia="zh-CN"/>
        </w:rPr>
        <w:t>网页</w:t>
      </w:r>
      <w:r>
        <w:fldChar w:fldCharType="end"/>
      </w:r>
      <w:r>
        <w:rPr>
          <w:lang w:eastAsia="zh-CN"/>
        </w:rPr>
        <w:t>。</w:t>
      </w:r>
    </w:p>
    <w:p w:rsidR="009A33A9" w:rsidRDefault="00801BA6">
      <w:pPr>
        <w:pStyle w:val="BodyText"/>
        <w:rPr>
          <w:lang w:eastAsia="zh-CN"/>
        </w:rPr>
      </w:pPr>
      <w:r>
        <w:rPr>
          <w:lang w:eastAsia="zh-CN"/>
        </w:rPr>
        <w:t>财务申报表及其他相关文件应透过使用下列电子表格在证监会网站来提交：</w:t>
      </w:r>
    </w:p>
    <w:p w:rsidR="009A33A9" w:rsidRDefault="00801BA6">
      <w:pPr>
        <w:pStyle w:val="Compact"/>
        <w:numPr>
          <w:ilvl w:val="0"/>
          <w:numId w:val="18"/>
        </w:numPr>
      </w:pPr>
      <w:hyperlink r:id="rId17">
        <w:proofErr w:type="spellStart"/>
        <w:r>
          <w:t>财务申报表</w:t>
        </w:r>
        <w:proofErr w:type="spellEnd"/>
      </w:hyperlink>
    </w:p>
    <w:p w:rsidR="009A33A9" w:rsidRDefault="00801BA6">
      <w:pPr>
        <w:pStyle w:val="Compact"/>
        <w:numPr>
          <w:ilvl w:val="0"/>
          <w:numId w:val="18"/>
        </w:numPr>
      </w:pPr>
      <w:hyperlink r:id="rId18">
        <w:r>
          <w:t>审计问卷</w:t>
        </w:r>
      </w:hyperlink>
    </w:p>
    <w:p w:rsidR="009A33A9" w:rsidRDefault="00801BA6">
      <w:pPr>
        <w:pStyle w:val="Compact"/>
        <w:numPr>
          <w:ilvl w:val="0"/>
          <w:numId w:val="18"/>
        </w:numPr>
        <w:rPr>
          <w:lang w:eastAsia="zh-CN"/>
        </w:rPr>
      </w:pPr>
      <w:hyperlink r:id="rId19">
        <w:r>
          <w:rPr>
            <w:lang w:eastAsia="zh-CN"/>
          </w:rPr>
          <w:t>持牌法团的业务及风险管理问卷</w:t>
        </w:r>
      </w:hyperlink>
    </w:p>
    <w:p w:rsidR="009A33A9" w:rsidRDefault="00801BA6">
      <w:pPr>
        <w:pStyle w:val="Compact"/>
        <w:numPr>
          <w:ilvl w:val="0"/>
          <w:numId w:val="18"/>
        </w:numPr>
        <w:rPr>
          <w:lang w:eastAsia="zh-CN"/>
        </w:rPr>
      </w:pPr>
      <w:hyperlink r:id="rId20">
        <w:r>
          <w:rPr>
            <w:lang w:eastAsia="zh-CN"/>
          </w:rPr>
          <w:t>有联系实体的业务及风险管理问卷</w:t>
        </w:r>
      </w:hyperlink>
    </w:p>
    <w:p w:rsidR="009A33A9" w:rsidRDefault="00801BA6">
      <w:pPr>
        <w:pStyle w:val="Compact"/>
        <w:numPr>
          <w:ilvl w:val="0"/>
          <w:numId w:val="18"/>
        </w:numPr>
        <w:rPr>
          <w:lang w:eastAsia="zh-CN"/>
        </w:rPr>
      </w:pPr>
      <w:hyperlink r:id="rId21">
        <w:r>
          <w:rPr>
            <w:lang w:eastAsia="zh-CN"/>
          </w:rPr>
          <w:t>有联系实体的客户资产的分析</w:t>
        </w:r>
      </w:hyperlink>
    </w:p>
    <w:p w:rsidR="009A33A9" w:rsidRDefault="00801BA6">
      <w:pPr>
        <w:pStyle w:val="FirstParagraph"/>
        <w:rPr>
          <w:lang w:eastAsia="zh-CN"/>
        </w:rPr>
      </w:pPr>
      <w:r>
        <w:rPr>
          <w:lang w:eastAsia="zh-CN"/>
        </w:rPr>
        <w:t>须事先得到证监会审批的虚拟资产服务提供者牌照的变更</w:t>
      </w:r>
    </w:p>
    <w:p w:rsidR="009A33A9" w:rsidRDefault="00801BA6">
      <w:pPr>
        <w:pStyle w:val="BodyText"/>
        <w:rPr>
          <w:lang w:eastAsia="zh-CN"/>
        </w:rPr>
      </w:pPr>
      <w:r>
        <w:rPr>
          <w:lang w:eastAsia="zh-CN"/>
        </w:rPr>
        <w:t>以下表格中列出的牌照变更须事先得到证监会审批。审批申请通常采用表格</w:t>
      </w:r>
      <w:r>
        <w:rPr>
          <w:lang w:eastAsia="zh-CN"/>
        </w:rPr>
        <w:t>VA2</w:t>
      </w:r>
      <w:proofErr w:type="gramStart"/>
      <w:r>
        <w:rPr>
          <w:lang w:eastAsia="zh-CN"/>
        </w:rPr>
        <w:t>作出</w:t>
      </w:r>
      <w:proofErr w:type="gramEnd"/>
      <w:r>
        <w:rPr>
          <w:lang w:eastAsia="zh-CN"/>
        </w:rPr>
        <w:t>，但是持牌实体的大股东及最终拥有人变更的审批申请则须采用表格</w:t>
      </w:r>
      <w:r>
        <w:rPr>
          <w:lang w:eastAsia="zh-CN"/>
        </w:rPr>
        <w:t>VA4</w:t>
      </w:r>
      <w:r>
        <w:rPr>
          <w:lang w:eastAsia="zh-CN"/>
        </w:rPr>
        <w:t>。</w:t>
      </w:r>
    </w:p>
    <w:tbl>
      <w:tblPr>
        <w:tblW w:w="5000" w:type="pct"/>
        <w:tblLook w:val="07C0" w:firstRow="0" w:lastRow="1" w:firstColumn="1" w:lastColumn="1" w:noHBand="1" w:noVBand="1"/>
      </w:tblPr>
      <w:tblGrid>
        <w:gridCol w:w="1763"/>
        <w:gridCol w:w="2917"/>
        <w:gridCol w:w="2306"/>
        <w:gridCol w:w="3408"/>
      </w:tblGrid>
      <w:tr w:rsidR="009A33A9">
        <w:tc>
          <w:tcPr>
            <w:tcW w:w="0" w:type="auto"/>
          </w:tcPr>
          <w:p w:rsidR="009A33A9" w:rsidRDefault="00801BA6">
            <w:proofErr w:type="spellStart"/>
            <w:r>
              <w:lastRenderedPageBreak/>
              <w:t>变更</w:t>
            </w:r>
            <w:proofErr w:type="spellEnd"/>
            <w:r>
              <w:t>/</w:t>
            </w:r>
            <w:proofErr w:type="spellStart"/>
            <w:r>
              <w:t>事件类别</w:t>
            </w:r>
            <w:proofErr w:type="spellEnd"/>
          </w:p>
        </w:tc>
        <w:tc>
          <w:tcPr>
            <w:tcW w:w="0" w:type="auto"/>
          </w:tcPr>
          <w:p w:rsidR="009A33A9" w:rsidRDefault="00801BA6">
            <w:r>
              <w:t>法令</w:t>
            </w:r>
          </w:p>
        </w:tc>
        <w:tc>
          <w:tcPr>
            <w:tcW w:w="0" w:type="auto"/>
          </w:tcPr>
          <w:p w:rsidR="009A33A9" w:rsidRDefault="00801BA6">
            <w:r>
              <w:t>通知规定</w:t>
            </w:r>
          </w:p>
        </w:tc>
        <w:tc>
          <w:tcPr>
            <w:tcW w:w="0" w:type="auto"/>
          </w:tcPr>
          <w:p w:rsidR="009A33A9" w:rsidRDefault="00801BA6">
            <w:r>
              <w:t>适用对象</w:t>
            </w:r>
          </w:p>
        </w:tc>
      </w:tr>
      <w:tr w:rsidR="009A33A9">
        <w:tc>
          <w:tcPr>
            <w:tcW w:w="0" w:type="auto"/>
          </w:tcPr>
          <w:p w:rsidR="009A33A9" w:rsidRDefault="00801BA6">
            <w:pPr>
              <w:rPr>
                <w:lang w:eastAsia="zh-CN"/>
              </w:rPr>
            </w:pPr>
            <w:r>
              <w:rPr>
                <w:lang w:eastAsia="zh-CN"/>
              </w:rPr>
              <w:t>发牌条件的变更或宽免</w:t>
            </w:r>
          </w:p>
        </w:tc>
        <w:tc>
          <w:tcPr>
            <w:tcW w:w="0" w:type="auto"/>
          </w:tcPr>
          <w:p w:rsidR="009A33A9" w:rsidRDefault="00801BA6">
            <w:pPr>
              <w:rPr>
                <w:lang w:eastAsia="zh-CN"/>
              </w:rPr>
            </w:pPr>
            <w:r>
              <w:rPr>
                <w:lang w:eastAsia="zh-CN"/>
              </w:rPr>
              <w:t>s.134 SFO</w:t>
            </w:r>
            <w:r>
              <w:rPr>
                <w:lang w:eastAsia="zh-CN"/>
              </w:rPr>
              <w:t>《证券及期货条例》第</w:t>
            </w:r>
            <w:r>
              <w:rPr>
                <w:lang w:eastAsia="zh-CN"/>
              </w:rPr>
              <w:t>134</w:t>
            </w:r>
            <w:r>
              <w:rPr>
                <w:lang w:eastAsia="zh-CN"/>
              </w:rPr>
              <w:t>条</w:t>
            </w:r>
          </w:p>
        </w:tc>
        <w:tc>
          <w:tcPr>
            <w:tcW w:w="0" w:type="auto"/>
          </w:tcPr>
          <w:p w:rsidR="009A33A9" w:rsidRDefault="009A33A9">
            <w:pPr>
              <w:rPr>
                <w:lang w:eastAsia="zh-CN"/>
              </w:rPr>
            </w:pPr>
          </w:p>
        </w:tc>
        <w:tc>
          <w:tcPr>
            <w:tcW w:w="0" w:type="auto"/>
          </w:tcPr>
          <w:p w:rsidR="009A33A9" w:rsidRDefault="00801BA6">
            <w:pPr>
              <w:rPr>
                <w:lang w:eastAsia="zh-CN"/>
              </w:rPr>
            </w:pPr>
            <w:r>
              <w:rPr>
                <w:lang w:eastAsia="zh-CN"/>
              </w:rPr>
              <w:t>虚拟资产交易平台营运者</w:t>
            </w:r>
          </w:p>
        </w:tc>
      </w:tr>
      <w:tr w:rsidR="009A33A9">
        <w:tc>
          <w:tcPr>
            <w:tcW w:w="0" w:type="auto"/>
          </w:tcPr>
          <w:p w:rsidR="009A33A9" w:rsidRDefault="00801BA6">
            <w:pPr>
              <w:rPr>
                <w:lang w:eastAsia="zh-CN"/>
              </w:rPr>
            </w:pPr>
            <w:r>
              <w:rPr>
                <w:lang w:eastAsia="zh-CN"/>
              </w:rPr>
              <w:t>变更财政年度及</w:t>
            </w:r>
            <w:r>
              <w:rPr>
                <w:lang w:eastAsia="zh-CN"/>
              </w:rPr>
              <w:t>/</w:t>
            </w:r>
            <w:r>
              <w:rPr>
                <w:lang w:eastAsia="zh-CN"/>
              </w:rPr>
              <w:t>或采纳超过</w:t>
            </w:r>
            <w:r>
              <w:rPr>
                <w:lang w:eastAsia="zh-CN"/>
              </w:rPr>
              <w:t>12</w:t>
            </w:r>
            <w:r>
              <w:rPr>
                <w:lang w:eastAsia="zh-CN"/>
              </w:rPr>
              <w:t>个月的期间作为财政年度</w:t>
            </w:r>
          </w:p>
        </w:tc>
        <w:tc>
          <w:tcPr>
            <w:tcW w:w="0" w:type="auto"/>
          </w:tcPr>
          <w:p w:rsidR="009A33A9" w:rsidRDefault="00801BA6">
            <w:pPr>
              <w:rPr>
                <w:lang w:eastAsia="zh-CN"/>
              </w:rPr>
            </w:pPr>
            <w:r>
              <w:rPr>
                <w:lang w:eastAsia="zh-CN"/>
              </w:rPr>
              <w:t>《证券及期货条例》第</w:t>
            </w:r>
            <w:r>
              <w:rPr>
                <w:lang w:eastAsia="zh-CN"/>
              </w:rPr>
              <w:t>155(3)</w:t>
            </w:r>
            <w:r>
              <w:rPr>
                <w:lang w:eastAsia="zh-CN"/>
              </w:rPr>
              <w:t>条及</w:t>
            </w:r>
            <w:r>
              <w:rPr>
                <w:lang w:eastAsia="zh-CN"/>
              </w:rPr>
              <w:t>/</w:t>
            </w:r>
            <w:r>
              <w:rPr>
                <w:lang w:eastAsia="zh-CN"/>
              </w:rPr>
              <w:t>或《打击洗钱及恐怖分子资金筹集条例》第</w:t>
            </w:r>
            <w:r>
              <w:rPr>
                <w:lang w:eastAsia="zh-CN"/>
              </w:rPr>
              <w:t>53ZSB(5)</w:t>
            </w:r>
            <w:r>
              <w:rPr>
                <w:lang w:eastAsia="zh-CN"/>
              </w:rPr>
              <w:t>条</w:t>
            </w:r>
          </w:p>
        </w:tc>
        <w:tc>
          <w:tcPr>
            <w:tcW w:w="0" w:type="auto"/>
          </w:tcPr>
          <w:p w:rsidR="009A33A9" w:rsidRDefault="009A33A9">
            <w:pPr>
              <w:rPr>
                <w:lang w:eastAsia="zh-CN"/>
              </w:rPr>
            </w:pPr>
          </w:p>
        </w:tc>
        <w:tc>
          <w:tcPr>
            <w:tcW w:w="0" w:type="auto"/>
          </w:tcPr>
          <w:p w:rsidR="009A33A9" w:rsidRDefault="00801BA6">
            <w:pPr>
              <w:rPr>
                <w:lang w:eastAsia="zh-CN"/>
              </w:rPr>
            </w:pPr>
            <w:r>
              <w:rPr>
                <w:lang w:eastAsia="zh-CN"/>
              </w:rPr>
              <w:t>虚拟资产交易平台营运者及其有联系实体</w:t>
            </w:r>
          </w:p>
        </w:tc>
      </w:tr>
      <w:tr w:rsidR="009A33A9">
        <w:tc>
          <w:tcPr>
            <w:tcW w:w="0" w:type="auto"/>
          </w:tcPr>
          <w:p w:rsidR="009A33A9" w:rsidRDefault="00801BA6">
            <w:pPr>
              <w:rPr>
                <w:lang w:eastAsia="zh-CN"/>
              </w:rPr>
            </w:pPr>
            <w:r>
              <w:rPr>
                <w:lang w:eastAsia="zh-CN"/>
              </w:rPr>
              <w:t>延迟提交经审计账目的截止日期（如有特别原因需如此）</w:t>
            </w:r>
          </w:p>
        </w:tc>
        <w:tc>
          <w:tcPr>
            <w:tcW w:w="0" w:type="auto"/>
          </w:tcPr>
          <w:p w:rsidR="009A33A9" w:rsidRDefault="00801BA6">
            <w:pPr>
              <w:rPr>
                <w:lang w:eastAsia="zh-CN"/>
              </w:rPr>
            </w:pPr>
            <w:r>
              <w:rPr>
                <w:lang w:eastAsia="zh-CN"/>
              </w:rPr>
              <w:t>《证券及期货条例》第</w:t>
            </w:r>
            <w:r>
              <w:rPr>
                <w:lang w:eastAsia="zh-CN"/>
              </w:rPr>
              <w:t>156(4)</w:t>
            </w:r>
            <w:r>
              <w:rPr>
                <w:lang w:eastAsia="zh-CN"/>
              </w:rPr>
              <w:t>条及</w:t>
            </w:r>
            <w:r>
              <w:rPr>
                <w:lang w:eastAsia="zh-CN"/>
              </w:rPr>
              <w:t>/</w:t>
            </w:r>
            <w:r>
              <w:rPr>
                <w:lang w:eastAsia="zh-CN"/>
              </w:rPr>
              <w:t>或《打击洗钱及恐怖分子资金筹集条例》第</w:t>
            </w:r>
            <w:r>
              <w:rPr>
                <w:lang w:eastAsia="zh-CN"/>
              </w:rPr>
              <w:t>53ZSC(4)</w:t>
            </w:r>
            <w:r>
              <w:rPr>
                <w:lang w:eastAsia="zh-CN"/>
              </w:rPr>
              <w:t>条</w:t>
            </w:r>
          </w:p>
        </w:tc>
        <w:tc>
          <w:tcPr>
            <w:tcW w:w="0" w:type="auto"/>
          </w:tcPr>
          <w:p w:rsidR="009A33A9" w:rsidRDefault="00801BA6">
            <w:pPr>
              <w:rPr>
                <w:lang w:eastAsia="zh-CN"/>
              </w:rPr>
            </w:pPr>
            <w:r>
              <w:rPr>
                <w:lang w:eastAsia="zh-CN"/>
              </w:rPr>
              <w:t>如平台营运者或其有联系实体预期将需要申请延期，则其应在相关截止日期前至少一个月提交延期申请</w:t>
            </w:r>
          </w:p>
        </w:tc>
        <w:tc>
          <w:tcPr>
            <w:tcW w:w="0" w:type="auto"/>
          </w:tcPr>
          <w:p w:rsidR="009A33A9" w:rsidRDefault="00801BA6">
            <w:pPr>
              <w:rPr>
                <w:lang w:eastAsia="zh-CN"/>
              </w:rPr>
            </w:pPr>
            <w:r>
              <w:rPr>
                <w:lang w:eastAsia="zh-CN"/>
              </w:rPr>
              <w:t>虚拟资产交易平台营运者及其有联系实体</w:t>
            </w:r>
          </w:p>
        </w:tc>
      </w:tr>
      <w:tr w:rsidR="009A33A9">
        <w:tc>
          <w:tcPr>
            <w:tcW w:w="0" w:type="auto"/>
          </w:tcPr>
          <w:p w:rsidR="009A33A9" w:rsidRDefault="00801BA6">
            <w:pPr>
              <w:rPr>
                <w:lang w:eastAsia="zh-CN"/>
              </w:rPr>
            </w:pPr>
            <w:r>
              <w:rPr>
                <w:lang w:eastAsia="zh-CN"/>
              </w:rPr>
              <w:t>将使用新处所存放记录或文件</w:t>
            </w:r>
          </w:p>
        </w:tc>
        <w:tc>
          <w:tcPr>
            <w:tcW w:w="0" w:type="auto"/>
          </w:tcPr>
          <w:p w:rsidR="009A33A9" w:rsidRDefault="00801BA6">
            <w:pPr>
              <w:rPr>
                <w:lang w:eastAsia="zh-CN"/>
              </w:rPr>
            </w:pPr>
            <w:r>
              <w:rPr>
                <w:lang w:eastAsia="zh-CN"/>
              </w:rPr>
              <w:t>《证券及期货条例》第</w:t>
            </w:r>
            <w:r>
              <w:rPr>
                <w:lang w:eastAsia="zh-CN"/>
              </w:rPr>
              <w:t>130</w:t>
            </w:r>
            <w:r>
              <w:rPr>
                <w:lang w:eastAsia="zh-CN"/>
              </w:rPr>
              <w:t>条及</w:t>
            </w:r>
            <w:r>
              <w:rPr>
                <w:lang w:eastAsia="zh-CN"/>
              </w:rPr>
              <w:t>/</w:t>
            </w:r>
            <w:r>
              <w:rPr>
                <w:lang w:eastAsia="zh-CN"/>
              </w:rPr>
              <w:t>或《打击洗钱及恐怖分子资金筹集条例</w:t>
            </w:r>
            <w:r>
              <w:rPr>
                <w:lang w:eastAsia="zh-CN"/>
              </w:rPr>
              <w:t>》第</w:t>
            </w:r>
            <w:r>
              <w:rPr>
                <w:lang w:eastAsia="zh-CN"/>
              </w:rPr>
              <w:t>53ZRR</w:t>
            </w:r>
            <w:r>
              <w:rPr>
                <w:lang w:eastAsia="zh-CN"/>
              </w:rPr>
              <w:t>条</w:t>
            </w:r>
          </w:p>
        </w:tc>
        <w:tc>
          <w:tcPr>
            <w:tcW w:w="0" w:type="auto"/>
          </w:tcPr>
          <w:p w:rsidR="009A33A9" w:rsidRDefault="00801BA6">
            <w:pPr>
              <w:rPr>
                <w:lang w:eastAsia="zh-CN"/>
              </w:rPr>
            </w:pPr>
            <w:r>
              <w:rPr>
                <w:lang w:eastAsia="zh-CN"/>
              </w:rPr>
              <w:t>请参阅证监会</w:t>
            </w:r>
            <w:hyperlink r:id="rId22">
              <w:r>
                <w:rPr>
                  <w:lang w:eastAsia="zh-CN"/>
                </w:rPr>
                <w:t>常见问题</w:t>
              </w:r>
              <w:r>
                <w:rPr>
                  <w:lang w:eastAsia="zh-CN"/>
                </w:rPr>
                <w:t xml:space="preserve"> </w:t>
              </w:r>
              <w:r>
                <w:rPr>
                  <w:lang w:eastAsia="zh-CN"/>
                </w:rPr>
                <w:t>营业及存放纪录的处所</w:t>
              </w:r>
            </w:hyperlink>
          </w:p>
        </w:tc>
        <w:tc>
          <w:tcPr>
            <w:tcW w:w="0" w:type="auto"/>
          </w:tcPr>
          <w:p w:rsidR="009A33A9" w:rsidRDefault="00801BA6">
            <w:pPr>
              <w:rPr>
                <w:lang w:eastAsia="zh-CN"/>
              </w:rPr>
            </w:pPr>
            <w:r>
              <w:rPr>
                <w:lang w:eastAsia="zh-CN"/>
              </w:rPr>
              <w:t>任何有意向的新业务地址均须要</w:t>
            </w:r>
          </w:p>
        </w:tc>
      </w:tr>
      <w:tr w:rsidR="009A33A9">
        <w:tc>
          <w:tcPr>
            <w:tcW w:w="0" w:type="auto"/>
          </w:tcPr>
          <w:p w:rsidR="009A33A9" w:rsidRDefault="00801BA6">
            <w:proofErr w:type="spellStart"/>
            <w:r>
              <w:t>终止业务</w:t>
            </w:r>
            <w:proofErr w:type="spellEnd"/>
          </w:p>
        </w:tc>
        <w:tc>
          <w:tcPr>
            <w:tcW w:w="0" w:type="auto"/>
          </w:tcPr>
          <w:p w:rsidR="009A33A9" w:rsidRDefault="00801BA6">
            <w:pPr>
              <w:rPr>
                <w:lang w:eastAsia="zh-CN"/>
              </w:rPr>
            </w:pPr>
            <w:r>
              <w:rPr>
                <w:lang w:eastAsia="zh-CN"/>
              </w:rPr>
              <w:t>《证券及期货条例》第</w:t>
            </w:r>
            <w:r>
              <w:rPr>
                <w:lang w:eastAsia="zh-CN"/>
              </w:rPr>
              <w:t>195(1)(d)</w:t>
            </w:r>
            <w:r>
              <w:rPr>
                <w:lang w:eastAsia="zh-CN"/>
              </w:rPr>
              <w:t>条及</w:t>
            </w:r>
            <w:r>
              <w:rPr>
                <w:lang w:eastAsia="zh-CN"/>
              </w:rPr>
              <w:t>/</w:t>
            </w:r>
            <w:r>
              <w:rPr>
                <w:lang w:eastAsia="zh-CN"/>
              </w:rPr>
              <w:t>或《打击洗钱及恐怖分子资金筹集条例》第</w:t>
            </w:r>
            <w:r>
              <w:rPr>
                <w:lang w:eastAsia="zh-CN"/>
              </w:rPr>
              <w:t>53ZSQ(2)(d)</w:t>
            </w:r>
            <w:r>
              <w:rPr>
                <w:lang w:eastAsia="zh-CN"/>
              </w:rPr>
              <w:t>条</w:t>
            </w:r>
          </w:p>
        </w:tc>
        <w:tc>
          <w:tcPr>
            <w:tcW w:w="0" w:type="auto"/>
          </w:tcPr>
          <w:p w:rsidR="009A33A9" w:rsidRDefault="00801BA6">
            <w:pPr>
              <w:rPr>
                <w:lang w:eastAsia="zh-CN"/>
              </w:rPr>
            </w:pPr>
            <w:r>
              <w:rPr>
                <w:lang w:eastAsia="zh-CN"/>
              </w:rPr>
              <w:t>意图终止业务之前至少</w:t>
            </w:r>
            <w:r>
              <w:rPr>
                <w:lang w:eastAsia="zh-CN"/>
              </w:rPr>
              <w:t>7</w:t>
            </w:r>
            <w:r>
              <w:rPr>
                <w:lang w:eastAsia="zh-CN"/>
              </w:rPr>
              <w:t>个营业日</w:t>
            </w:r>
          </w:p>
        </w:tc>
        <w:tc>
          <w:tcPr>
            <w:tcW w:w="0" w:type="auto"/>
          </w:tcPr>
          <w:p w:rsidR="009A33A9" w:rsidRDefault="00801BA6">
            <w:pPr>
              <w:rPr>
                <w:lang w:eastAsia="zh-CN"/>
              </w:rPr>
            </w:pPr>
            <w:r>
              <w:rPr>
                <w:lang w:eastAsia="zh-CN"/>
              </w:rPr>
              <w:t>虚拟资产交易平台营运者及持牌代表</w:t>
            </w:r>
          </w:p>
        </w:tc>
      </w:tr>
      <w:tr w:rsidR="009A33A9">
        <w:tc>
          <w:tcPr>
            <w:tcW w:w="0" w:type="auto"/>
          </w:tcPr>
          <w:p w:rsidR="009A33A9" w:rsidRDefault="00801BA6">
            <w:pPr>
              <w:rPr>
                <w:lang w:eastAsia="zh-CN"/>
              </w:rPr>
            </w:pPr>
            <w:r>
              <w:rPr>
                <w:lang w:eastAsia="zh-CN"/>
              </w:rPr>
              <w:t>成为或继续担任某虚拟资产交易平台营运者的大股东及</w:t>
            </w:r>
            <w:r>
              <w:rPr>
                <w:lang w:eastAsia="zh-CN"/>
              </w:rPr>
              <w:t>/</w:t>
            </w:r>
            <w:r>
              <w:rPr>
                <w:lang w:eastAsia="zh-CN"/>
              </w:rPr>
              <w:t>或最终拥有人</w:t>
            </w:r>
          </w:p>
        </w:tc>
        <w:tc>
          <w:tcPr>
            <w:tcW w:w="0" w:type="auto"/>
          </w:tcPr>
          <w:p w:rsidR="009A33A9" w:rsidRDefault="00801BA6">
            <w:pPr>
              <w:rPr>
                <w:lang w:eastAsia="zh-CN"/>
              </w:rPr>
            </w:pPr>
            <w:r>
              <w:rPr>
                <w:lang w:eastAsia="zh-CN"/>
              </w:rPr>
              <w:t>《证券及期货条例》第</w:t>
            </w:r>
            <w:r>
              <w:rPr>
                <w:lang w:eastAsia="zh-CN"/>
              </w:rPr>
              <w:t>195(1)(d)</w:t>
            </w:r>
            <w:r>
              <w:rPr>
                <w:lang w:eastAsia="zh-CN"/>
              </w:rPr>
              <w:t>条及</w:t>
            </w:r>
            <w:r>
              <w:rPr>
                <w:lang w:eastAsia="zh-CN"/>
              </w:rPr>
              <w:t>/</w:t>
            </w:r>
            <w:r>
              <w:rPr>
                <w:lang w:eastAsia="zh-CN"/>
              </w:rPr>
              <w:t>或《打击洗钱及恐怖分子资金筹集条例》第</w:t>
            </w:r>
            <w:r>
              <w:rPr>
                <w:lang w:eastAsia="zh-CN"/>
              </w:rPr>
              <w:t>53ZSQ(2)(d)</w:t>
            </w:r>
            <w:r>
              <w:rPr>
                <w:lang w:eastAsia="zh-CN"/>
              </w:rPr>
              <w:t>条</w:t>
            </w:r>
          </w:p>
        </w:tc>
        <w:tc>
          <w:tcPr>
            <w:tcW w:w="0" w:type="auto"/>
          </w:tcPr>
          <w:p w:rsidR="009A33A9" w:rsidRDefault="009A33A9">
            <w:pPr>
              <w:rPr>
                <w:lang w:eastAsia="zh-CN"/>
              </w:rPr>
            </w:pPr>
          </w:p>
        </w:tc>
        <w:tc>
          <w:tcPr>
            <w:tcW w:w="0" w:type="auto"/>
          </w:tcPr>
          <w:p w:rsidR="009A33A9" w:rsidRDefault="00801BA6">
            <w:pPr>
              <w:rPr>
                <w:lang w:eastAsia="zh-CN"/>
              </w:rPr>
            </w:pPr>
            <w:r>
              <w:rPr>
                <w:lang w:eastAsia="zh-CN"/>
              </w:rPr>
              <w:t>任何人士（可为一间法团）必须先取得证监会的审批，然后方可成为某虚拟交易平台营运者的大股东或最终拥有人前。审批的条件是该人士属「适当人选」。</w:t>
            </w:r>
          </w:p>
        </w:tc>
      </w:tr>
    </w:tbl>
    <w:p w:rsidR="009A33A9" w:rsidRDefault="00801BA6">
      <w:pPr>
        <w:pStyle w:val="BodyText"/>
        <w:rPr>
          <w:lang w:eastAsia="zh-CN"/>
        </w:rPr>
      </w:pPr>
      <w:r>
        <w:rPr>
          <w:lang w:eastAsia="zh-CN"/>
        </w:rPr>
        <w:t>纳入任何可供零售客户（即并非属《证券及期货条例》附表</w:t>
      </w:r>
      <w:r>
        <w:rPr>
          <w:lang w:eastAsia="zh-CN"/>
        </w:rPr>
        <w:t>1</w:t>
      </w:r>
      <w:r>
        <w:rPr>
          <w:lang w:eastAsia="zh-CN"/>
        </w:rPr>
        <w:t>及《证券及期货（专业投资者）规则》所界定的「专业投资者」范畴的客户）买卖的虚拟资产，以及暂停买卖或移除可供零售客户买卖的任何虚拟资产，均须额外</w:t>
      </w:r>
      <w:r>
        <w:rPr>
          <w:lang w:eastAsia="zh-CN"/>
        </w:rPr>
        <w:t>获得证监会的书面批准。</w:t>
      </w:r>
    </w:p>
    <w:p w:rsidR="009A33A9" w:rsidRDefault="00801BA6">
      <w:pPr>
        <w:pStyle w:val="BodyText"/>
        <w:rPr>
          <w:lang w:eastAsia="zh-CN"/>
        </w:rPr>
      </w:pPr>
      <w:r>
        <w:rPr>
          <w:lang w:eastAsia="zh-CN"/>
        </w:rPr>
        <w:t>须向证监会通知的变更及事件</w:t>
      </w:r>
    </w:p>
    <w:p w:rsidR="009A33A9" w:rsidRDefault="00801BA6">
      <w:pPr>
        <w:pStyle w:val="BodyText"/>
        <w:rPr>
          <w:lang w:eastAsia="zh-CN"/>
        </w:rPr>
      </w:pPr>
      <w:r>
        <w:rPr>
          <w:lang w:eastAsia="zh-CN"/>
        </w:rPr>
        <w:t>须向证监会发送通知的各类事件摘要如下：</w:t>
      </w:r>
    </w:p>
    <w:tbl>
      <w:tblPr>
        <w:tblW w:w="97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3260"/>
        <w:gridCol w:w="2268"/>
        <w:gridCol w:w="4252"/>
      </w:tblGrid>
      <w:tr w:rsidR="00801BA6" w:rsidRPr="00686354" w:rsidTr="002A4EB1">
        <w:tc>
          <w:tcPr>
            <w:tcW w:w="3260" w:type="dxa"/>
            <w:shd w:val="clear" w:color="auto" w:fill="auto"/>
            <w:tcMar>
              <w:top w:w="206" w:type="dxa"/>
              <w:left w:w="141" w:type="dxa"/>
              <w:bottom w:w="206" w:type="dxa"/>
              <w:right w:w="141" w:type="dxa"/>
            </w:tcMar>
            <w:hideMark/>
          </w:tcPr>
          <w:p w:rsidR="00801BA6" w:rsidRPr="00686354" w:rsidRDefault="00801BA6" w:rsidP="002A4EB1">
            <w:pPr>
              <w:pStyle w:val="NormalWeb"/>
              <w:adjustRightInd w:val="0"/>
              <w:snapToGrid w:val="0"/>
              <w:spacing w:before="0" w:beforeAutospacing="0" w:after="0" w:afterAutospacing="0"/>
              <w:jc w:val="both"/>
              <w:textAlignment w:val="baseline"/>
              <w:rPr>
                <w:rFonts w:ascii="PMingLiU" w:eastAsia="PMingLiU" w:hAnsi="PMingLiU" w:cs="Times New Roman"/>
                <w:color w:val="2B2B2B"/>
                <w:sz w:val="22"/>
                <w:szCs w:val="22"/>
              </w:rPr>
            </w:pPr>
            <w:r w:rsidRPr="00686354">
              <w:rPr>
                <w:rFonts w:ascii="PMingLiU" w:eastAsia="PMingLiU" w:hAnsi="PMingLiU" w:cs="Times New Roman"/>
                <w:color w:val="2B2B2B"/>
                <w:sz w:val="22"/>
                <w:szCs w:val="22"/>
              </w:rPr>
              <w:t>变更/事件类别</w:t>
            </w:r>
          </w:p>
        </w:tc>
        <w:tc>
          <w:tcPr>
            <w:tcW w:w="2268" w:type="dxa"/>
            <w:shd w:val="clear" w:color="auto" w:fill="auto"/>
            <w:tcMar>
              <w:top w:w="206" w:type="dxa"/>
              <w:left w:w="141" w:type="dxa"/>
              <w:bottom w:w="206" w:type="dxa"/>
              <w:right w:w="141" w:type="dxa"/>
            </w:tcMar>
            <w:hideMark/>
          </w:tcPr>
          <w:p w:rsidR="00801BA6" w:rsidRPr="00686354" w:rsidRDefault="00801BA6" w:rsidP="002A4EB1">
            <w:pPr>
              <w:pStyle w:val="NormalWeb"/>
              <w:adjustRightInd w:val="0"/>
              <w:snapToGrid w:val="0"/>
              <w:spacing w:before="0" w:beforeAutospacing="0" w:after="0" w:afterAutospacing="0"/>
              <w:jc w:val="both"/>
              <w:textAlignment w:val="baseline"/>
              <w:rPr>
                <w:rFonts w:ascii="PMingLiU" w:eastAsia="PMingLiU" w:hAnsi="PMingLiU" w:cs="Times New Roman"/>
                <w:color w:val="2B2B2B"/>
                <w:sz w:val="22"/>
                <w:szCs w:val="22"/>
              </w:rPr>
            </w:pPr>
            <w:r w:rsidRPr="00686354">
              <w:rPr>
                <w:rFonts w:ascii="PMingLiU" w:eastAsia="PMingLiU" w:hAnsi="PMingLiU" w:cs="Times New Roman"/>
                <w:color w:val="2B2B2B"/>
                <w:sz w:val="22"/>
                <w:szCs w:val="22"/>
              </w:rPr>
              <w:t>通知期间</w:t>
            </w:r>
          </w:p>
        </w:tc>
        <w:tc>
          <w:tcPr>
            <w:tcW w:w="4252" w:type="dxa"/>
            <w:shd w:val="clear" w:color="auto" w:fill="auto"/>
            <w:tcMar>
              <w:top w:w="206" w:type="dxa"/>
              <w:left w:w="141" w:type="dxa"/>
              <w:bottom w:w="206" w:type="dxa"/>
              <w:right w:w="141" w:type="dxa"/>
            </w:tcMar>
            <w:hideMark/>
          </w:tcPr>
          <w:p w:rsidR="00801BA6" w:rsidRPr="00686354" w:rsidRDefault="00801BA6" w:rsidP="002A4EB1">
            <w:pPr>
              <w:pStyle w:val="NormalWeb"/>
              <w:adjustRightInd w:val="0"/>
              <w:snapToGrid w:val="0"/>
              <w:spacing w:before="0" w:beforeAutospacing="0" w:after="0" w:afterAutospacing="0"/>
              <w:jc w:val="both"/>
              <w:textAlignment w:val="baseline"/>
              <w:rPr>
                <w:rFonts w:ascii="PMingLiU" w:eastAsia="PMingLiU" w:hAnsi="PMingLiU" w:cs="Times New Roman"/>
                <w:color w:val="2B2B2B"/>
                <w:sz w:val="22"/>
                <w:szCs w:val="22"/>
              </w:rPr>
            </w:pPr>
            <w:r w:rsidRPr="00686354">
              <w:rPr>
                <w:rFonts w:ascii="PMingLiU" w:eastAsia="PMingLiU" w:hAnsi="PMingLiU" w:cs="Times New Roman"/>
                <w:color w:val="2B2B2B"/>
                <w:sz w:val="22"/>
                <w:szCs w:val="22"/>
              </w:rPr>
              <w:t>适用对象</w:t>
            </w:r>
          </w:p>
        </w:tc>
      </w:tr>
      <w:tr w:rsidR="00801BA6" w:rsidRPr="00686354" w:rsidTr="002A4EB1">
        <w:tc>
          <w:tcPr>
            <w:tcW w:w="3260"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停止以持牌代表身份行事</w:t>
            </w:r>
          </w:p>
        </w:tc>
        <w:tc>
          <w:tcPr>
            <w:tcW w:w="2268"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rPr>
            </w:pPr>
            <w:r w:rsidRPr="00686354">
              <w:rPr>
                <w:rFonts w:ascii="PMingLiU" w:eastAsia="PMingLiU" w:hAnsi="PMingLiU" w:cs="Times New Roman"/>
                <w:color w:val="2B2B2B"/>
                <w:lang w:eastAsia="zh-CN"/>
              </w:rPr>
              <w:t>7个营业日内</w:t>
            </w:r>
          </w:p>
        </w:tc>
        <w:tc>
          <w:tcPr>
            <w:tcW w:w="4252"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持牌代表</w:t>
            </w:r>
          </w:p>
        </w:tc>
      </w:tr>
      <w:tr w:rsidR="00801BA6" w:rsidRPr="00686354" w:rsidTr="002A4EB1">
        <w:tc>
          <w:tcPr>
            <w:tcW w:w="3260"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lastRenderedPageBreak/>
              <w:t>停止以负责人员身份行事</w:t>
            </w:r>
          </w:p>
        </w:tc>
        <w:tc>
          <w:tcPr>
            <w:tcW w:w="2268"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rPr>
            </w:pPr>
            <w:r w:rsidRPr="00686354">
              <w:rPr>
                <w:rFonts w:ascii="PMingLiU" w:eastAsia="PMingLiU" w:hAnsi="PMingLiU" w:cs="Times New Roman"/>
                <w:color w:val="2B2B2B"/>
                <w:lang w:eastAsia="zh-CN"/>
              </w:rPr>
              <w:t>7个营业日内</w:t>
            </w:r>
          </w:p>
        </w:tc>
        <w:tc>
          <w:tcPr>
            <w:tcW w:w="4252"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负责人员</w:t>
            </w:r>
          </w:p>
        </w:tc>
      </w:tr>
      <w:tr w:rsidR="00801BA6" w:rsidRPr="00686354" w:rsidTr="002A4EB1">
        <w:tc>
          <w:tcPr>
            <w:tcW w:w="3260" w:type="dxa"/>
            <w:vMerge w:val="restart"/>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更改姓名或名称</w:t>
            </w:r>
          </w:p>
        </w:tc>
        <w:tc>
          <w:tcPr>
            <w:tcW w:w="2268"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rPr>
            </w:pPr>
            <w:r w:rsidRPr="00686354">
              <w:rPr>
                <w:rFonts w:ascii="PMingLiU" w:eastAsia="PMingLiU" w:hAnsi="PMingLiU" w:cs="Times New Roman"/>
                <w:color w:val="2B2B2B"/>
                <w:lang w:eastAsia="zh-CN"/>
              </w:rPr>
              <w:t>7个营业日内</w:t>
            </w:r>
          </w:p>
        </w:tc>
        <w:tc>
          <w:tcPr>
            <w:tcW w:w="4252"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虚拟资产交易平台营运者，大股东及最终拥有人</w:t>
            </w:r>
          </w:p>
        </w:tc>
      </w:tr>
      <w:tr w:rsidR="00801BA6" w:rsidRPr="00686354" w:rsidTr="002A4EB1">
        <w:tc>
          <w:tcPr>
            <w:tcW w:w="3260" w:type="dxa"/>
            <w:vMerge/>
            <w:shd w:val="clear" w:color="auto" w:fill="auto"/>
            <w:tcMar>
              <w:top w:w="206" w:type="dxa"/>
              <w:left w:w="141" w:type="dxa"/>
              <w:bottom w:w="206" w:type="dxa"/>
              <w:right w:w="141" w:type="dxa"/>
            </w:tcMar>
            <w:vAlign w:val="center"/>
            <w:hideMark/>
          </w:tcPr>
          <w:p w:rsidR="00801BA6" w:rsidRPr="00686354" w:rsidRDefault="00801BA6" w:rsidP="002A4EB1">
            <w:pPr>
              <w:adjustRightInd w:val="0"/>
              <w:snapToGrid w:val="0"/>
              <w:spacing w:after="0"/>
              <w:rPr>
                <w:rFonts w:ascii="PMingLiU" w:eastAsia="PMingLiU" w:hAnsi="PMingLiU" w:cs="Times New Roman"/>
                <w:color w:val="2B2B2B"/>
                <w:lang w:eastAsia="zh-CN"/>
              </w:rPr>
            </w:pPr>
          </w:p>
        </w:tc>
        <w:tc>
          <w:tcPr>
            <w:tcW w:w="2268"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rPr>
            </w:pPr>
            <w:r w:rsidRPr="00686354">
              <w:rPr>
                <w:rFonts w:ascii="PMingLiU" w:eastAsia="PMingLiU" w:hAnsi="PMingLiU" w:cs="Times New Roman"/>
                <w:color w:val="2B2B2B"/>
                <w:lang w:eastAsia="zh-CN"/>
              </w:rPr>
              <w:t>7个营业日内</w:t>
            </w:r>
          </w:p>
        </w:tc>
        <w:tc>
          <w:tcPr>
            <w:tcW w:w="4252"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有</w:t>
            </w:r>
            <w:r w:rsidRPr="00686354">
              <w:rPr>
                <w:rFonts w:ascii="PMingLiU" w:eastAsia="PMingLiU" w:hAnsi="PMingLiU" w:cs="Times New Roman" w:hint="eastAsia"/>
                <w:color w:val="2B2B2B"/>
                <w:lang w:eastAsia="zh-CN"/>
              </w:rPr>
              <w:t>联系</w:t>
            </w:r>
            <w:r w:rsidRPr="00686354">
              <w:rPr>
                <w:rFonts w:ascii="PMingLiU" w:eastAsia="PMingLiU" w:hAnsi="PMingLiU" w:cs="Times New Roman"/>
                <w:color w:val="2B2B2B"/>
                <w:lang w:eastAsia="zh-CN"/>
              </w:rPr>
              <w:t>实体</w:t>
            </w:r>
          </w:p>
        </w:tc>
      </w:tr>
      <w:tr w:rsidR="00801BA6" w:rsidRPr="00686354" w:rsidTr="002A4EB1">
        <w:tc>
          <w:tcPr>
            <w:tcW w:w="3260"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变更营业地址</w:t>
            </w:r>
          </w:p>
        </w:tc>
        <w:tc>
          <w:tcPr>
            <w:tcW w:w="2268"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在营业地址进行计划的变更之前至少7个营业日</w:t>
            </w:r>
          </w:p>
        </w:tc>
        <w:tc>
          <w:tcPr>
            <w:tcW w:w="4252"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虚拟资产交易平台营运者及其有</w:t>
            </w:r>
            <w:r w:rsidRPr="00686354">
              <w:rPr>
                <w:rFonts w:ascii="PMingLiU" w:eastAsia="PMingLiU" w:hAnsi="PMingLiU" w:cs="Times New Roman" w:hint="eastAsia"/>
                <w:color w:val="2B2B2B"/>
                <w:lang w:eastAsia="zh-CN"/>
              </w:rPr>
              <w:t>联系</w:t>
            </w:r>
            <w:r w:rsidRPr="00686354">
              <w:rPr>
                <w:rFonts w:ascii="PMingLiU" w:eastAsia="PMingLiU" w:hAnsi="PMingLiU" w:cs="Times New Roman"/>
                <w:color w:val="2B2B2B"/>
                <w:lang w:eastAsia="zh-CN"/>
              </w:rPr>
              <w:t>实体</w:t>
            </w:r>
          </w:p>
        </w:tc>
      </w:tr>
      <w:tr w:rsidR="00801BA6" w:rsidRPr="00686354" w:rsidTr="002A4EB1">
        <w:tc>
          <w:tcPr>
            <w:tcW w:w="3260"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变更董事或其详情</w:t>
            </w:r>
          </w:p>
        </w:tc>
        <w:tc>
          <w:tcPr>
            <w:tcW w:w="2268"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rPr>
            </w:pPr>
            <w:r w:rsidRPr="00686354">
              <w:rPr>
                <w:rFonts w:ascii="PMingLiU" w:eastAsia="PMingLiU" w:hAnsi="PMingLiU" w:cs="Times New Roman"/>
                <w:color w:val="2B2B2B"/>
                <w:lang w:eastAsia="zh-CN"/>
              </w:rPr>
              <w:t>7个营业日内</w:t>
            </w:r>
          </w:p>
        </w:tc>
        <w:tc>
          <w:tcPr>
            <w:tcW w:w="4252"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虚拟资产交易平台营运者及其有</w:t>
            </w:r>
            <w:r w:rsidRPr="00686354">
              <w:rPr>
                <w:rFonts w:ascii="PMingLiU" w:eastAsia="PMingLiU" w:hAnsi="PMingLiU" w:cs="Times New Roman" w:hint="eastAsia"/>
                <w:color w:val="2B2B2B"/>
                <w:lang w:eastAsia="zh-CN"/>
              </w:rPr>
              <w:t>联系</w:t>
            </w:r>
            <w:r w:rsidRPr="00686354">
              <w:rPr>
                <w:rFonts w:ascii="PMingLiU" w:eastAsia="PMingLiU" w:hAnsi="PMingLiU" w:cs="Times New Roman"/>
                <w:color w:val="2B2B2B"/>
                <w:lang w:eastAsia="zh-CN"/>
              </w:rPr>
              <w:t>实体</w:t>
            </w:r>
          </w:p>
        </w:tc>
      </w:tr>
      <w:tr w:rsidR="00801BA6" w:rsidRPr="00686354" w:rsidTr="002A4EB1">
        <w:tc>
          <w:tcPr>
            <w:tcW w:w="3260"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变更投诉主任或其详情</w:t>
            </w:r>
          </w:p>
        </w:tc>
        <w:tc>
          <w:tcPr>
            <w:tcW w:w="2268"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rPr>
            </w:pPr>
            <w:r w:rsidRPr="00686354">
              <w:rPr>
                <w:rFonts w:ascii="PMingLiU" w:eastAsia="PMingLiU" w:hAnsi="PMingLiU" w:cs="Times New Roman"/>
                <w:color w:val="2B2B2B"/>
                <w:lang w:eastAsia="zh-CN"/>
              </w:rPr>
              <w:t>7个营业日内</w:t>
            </w:r>
          </w:p>
        </w:tc>
        <w:tc>
          <w:tcPr>
            <w:tcW w:w="4252"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虚拟资产交易平台营运者</w:t>
            </w:r>
          </w:p>
        </w:tc>
      </w:tr>
      <w:tr w:rsidR="00801BA6" w:rsidRPr="00686354" w:rsidTr="002A4EB1">
        <w:tc>
          <w:tcPr>
            <w:tcW w:w="3260"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变更紧急联系人或其详情</w:t>
            </w:r>
          </w:p>
        </w:tc>
        <w:tc>
          <w:tcPr>
            <w:tcW w:w="2268"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rPr>
            </w:pPr>
            <w:r w:rsidRPr="00686354">
              <w:rPr>
                <w:rFonts w:ascii="PMingLiU" w:eastAsia="PMingLiU" w:hAnsi="PMingLiU" w:cs="Times New Roman"/>
                <w:color w:val="2B2B2B"/>
                <w:lang w:eastAsia="zh-CN"/>
              </w:rPr>
              <w:t>7个营业日内</w:t>
            </w:r>
          </w:p>
        </w:tc>
        <w:tc>
          <w:tcPr>
            <w:tcW w:w="4252"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虚拟资产交易平台营运者</w:t>
            </w:r>
          </w:p>
        </w:tc>
      </w:tr>
      <w:tr w:rsidR="00801BA6" w:rsidRPr="00686354" w:rsidTr="002A4EB1">
        <w:tc>
          <w:tcPr>
            <w:tcW w:w="3260"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变更股本或持股架构</w:t>
            </w:r>
          </w:p>
        </w:tc>
        <w:tc>
          <w:tcPr>
            <w:tcW w:w="2268"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rPr>
            </w:pPr>
            <w:r w:rsidRPr="00686354">
              <w:rPr>
                <w:rFonts w:ascii="PMingLiU" w:eastAsia="PMingLiU" w:hAnsi="PMingLiU" w:cs="Times New Roman"/>
                <w:color w:val="2B2B2B"/>
                <w:lang w:eastAsia="zh-CN"/>
              </w:rPr>
              <w:t>7个营业日内</w:t>
            </w:r>
          </w:p>
        </w:tc>
        <w:tc>
          <w:tcPr>
            <w:tcW w:w="4252"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虚拟资产交易平台营运者，其大股东及有</w:t>
            </w:r>
            <w:r w:rsidRPr="00686354">
              <w:rPr>
                <w:rFonts w:ascii="PMingLiU" w:eastAsia="PMingLiU" w:hAnsi="PMingLiU" w:cs="Times New Roman" w:hint="eastAsia"/>
                <w:color w:val="2B2B2B"/>
                <w:lang w:eastAsia="zh-CN"/>
              </w:rPr>
              <w:t>联系</w:t>
            </w:r>
            <w:r w:rsidRPr="00686354">
              <w:rPr>
                <w:rFonts w:ascii="PMingLiU" w:eastAsia="PMingLiU" w:hAnsi="PMingLiU" w:cs="Times New Roman"/>
                <w:color w:val="2B2B2B"/>
                <w:lang w:eastAsia="zh-CN"/>
              </w:rPr>
              <w:t>实体</w:t>
            </w:r>
          </w:p>
        </w:tc>
      </w:tr>
      <w:tr w:rsidR="00801BA6" w:rsidRPr="00686354" w:rsidTr="002A4EB1">
        <w:trPr>
          <w:trHeight w:val="861"/>
        </w:trPr>
        <w:tc>
          <w:tcPr>
            <w:tcW w:w="3260"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变更联系信息</w:t>
            </w:r>
          </w:p>
        </w:tc>
        <w:tc>
          <w:tcPr>
            <w:tcW w:w="2268"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rPr>
            </w:pPr>
            <w:r w:rsidRPr="00686354">
              <w:rPr>
                <w:rFonts w:ascii="PMingLiU" w:eastAsia="PMingLiU" w:hAnsi="PMingLiU" w:cs="Times New Roman"/>
                <w:color w:val="2B2B2B"/>
                <w:lang w:eastAsia="zh-CN"/>
              </w:rPr>
              <w:t>7个营业日内</w:t>
            </w:r>
          </w:p>
        </w:tc>
        <w:tc>
          <w:tcPr>
            <w:tcW w:w="4252"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虚拟资产交易平台营运者，持牌代表，大股东及最终拥有人以及有关平台营运者的有</w:t>
            </w:r>
            <w:r w:rsidRPr="00686354">
              <w:rPr>
                <w:rFonts w:ascii="PMingLiU" w:eastAsia="PMingLiU" w:hAnsi="PMingLiU" w:cs="Times New Roman" w:hint="eastAsia"/>
                <w:color w:val="2B2B2B"/>
                <w:lang w:eastAsia="zh-CN"/>
              </w:rPr>
              <w:t>联系</w:t>
            </w:r>
            <w:r w:rsidRPr="00686354">
              <w:rPr>
                <w:rFonts w:ascii="PMingLiU" w:eastAsia="PMingLiU" w:hAnsi="PMingLiU" w:cs="Times New Roman"/>
                <w:color w:val="2B2B2B"/>
                <w:lang w:eastAsia="zh-CN"/>
              </w:rPr>
              <w:t>实体</w:t>
            </w:r>
          </w:p>
        </w:tc>
      </w:tr>
      <w:tr w:rsidR="00801BA6" w:rsidRPr="00686354" w:rsidTr="002A4EB1">
        <w:tc>
          <w:tcPr>
            <w:tcW w:w="3260"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开展的业务性质及提供的服务类别的重大变更</w:t>
            </w:r>
          </w:p>
        </w:tc>
        <w:tc>
          <w:tcPr>
            <w:tcW w:w="2268"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rPr>
            </w:pPr>
            <w:r w:rsidRPr="00686354">
              <w:rPr>
                <w:rFonts w:ascii="PMingLiU" w:eastAsia="PMingLiU" w:hAnsi="PMingLiU" w:cs="Times New Roman"/>
                <w:color w:val="2B2B2B"/>
                <w:lang w:eastAsia="zh-CN"/>
              </w:rPr>
              <w:t>7个营业日内</w:t>
            </w:r>
          </w:p>
        </w:tc>
        <w:tc>
          <w:tcPr>
            <w:tcW w:w="4252"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虚拟资产交易平台营运者</w:t>
            </w:r>
          </w:p>
        </w:tc>
      </w:tr>
      <w:tr w:rsidR="00801BA6" w:rsidRPr="00686354" w:rsidTr="002A4EB1">
        <w:tc>
          <w:tcPr>
            <w:tcW w:w="3260"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营业计划的重大变更</w:t>
            </w:r>
          </w:p>
        </w:tc>
        <w:tc>
          <w:tcPr>
            <w:tcW w:w="2268"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rPr>
            </w:pPr>
            <w:r w:rsidRPr="00686354">
              <w:rPr>
                <w:rFonts w:ascii="PMingLiU" w:eastAsia="PMingLiU" w:hAnsi="PMingLiU" w:cs="Times New Roman"/>
                <w:color w:val="2B2B2B"/>
                <w:lang w:eastAsia="zh-CN"/>
              </w:rPr>
              <w:t>7个营业日内</w:t>
            </w:r>
          </w:p>
        </w:tc>
        <w:tc>
          <w:tcPr>
            <w:tcW w:w="4252"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虚拟资产交易平台营运者</w:t>
            </w:r>
          </w:p>
        </w:tc>
      </w:tr>
      <w:tr w:rsidR="00801BA6" w:rsidRPr="00686354" w:rsidTr="002A4EB1">
        <w:tc>
          <w:tcPr>
            <w:tcW w:w="3260"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纳入任何虚拟资产仅供专业投资者买卖，或暂停买卖或者移除任何该等虚拟资产</w:t>
            </w:r>
          </w:p>
        </w:tc>
        <w:tc>
          <w:tcPr>
            <w:tcW w:w="2268"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p>
        </w:tc>
        <w:tc>
          <w:tcPr>
            <w:tcW w:w="4252"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虚拟资产交易平台营运者</w:t>
            </w:r>
          </w:p>
        </w:tc>
      </w:tr>
      <w:tr w:rsidR="00801BA6" w:rsidRPr="00686354" w:rsidTr="002A4EB1">
        <w:tc>
          <w:tcPr>
            <w:tcW w:w="3260"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lastRenderedPageBreak/>
              <w:t>核心职能主管变更</w:t>
            </w:r>
          </w:p>
        </w:tc>
        <w:tc>
          <w:tcPr>
            <w:tcW w:w="2268"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rPr>
            </w:pPr>
            <w:r w:rsidRPr="00686354">
              <w:rPr>
                <w:rFonts w:ascii="PMingLiU" w:eastAsia="PMingLiU" w:hAnsi="PMingLiU" w:cs="Times New Roman"/>
                <w:color w:val="2B2B2B"/>
                <w:lang w:eastAsia="zh-CN"/>
              </w:rPr>
              <w:t>7个营业日内</w:t>
            </w:r>
          </w:p>
        </w:tc>
        <w:tc>
          <w:tcPr>
            <w:tcW w:w="4252"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虚拟资产交易平台营运者</w:t>
            </w:r>
          </w:p>
        </w:tc>
      </w:tr>
      <w:tr w:rsidR="00801BA6" w:rsidRPr="00686354" w:rsidTr="002A4EB1">
        <w:tc>
          <w:tcPr>
            <w:tcW w:w="3260"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核心职能主管部分详情变更</w:t>
            </w:r>
          </w:p>
        </w:tc>
        <w:tc>
          <w:tcPr>
            <w:tcW w:w="2268"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rPr>
            </w:pPr>
            <w:r w:rsidRPr="00686354">
              <w:rPr>
                <w:rFonts w:ascii="PMingLiU" w:eastAsia="PMingLiU" w:hAnsi="PMingLiU" w:cs="Times New Roman"/>
                <w:color w:val="2B2B2B"/>
                <w:lang w:eastAsia="zh-CN"/>
              </w:rPr>
              <w:t>7个营业日内</w:t>
            </w:r>
          </w:p>
        </w:tc>
        <w:tc>
          <w:tcPr>
            <w:tcW w:w="4252"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虚拟资产交易平台营运者</w:t>
            </w:r>
          </w:p>
        </w:tc>
      </w:tr>
      <w:tr w:rsidR="00801BA6" w:rsidRPr="00686354" w:rsidTr="002A4EB1">
        <w:tc>
          <w:tcPr>
            <w:tcW w:w="3260"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银行账户变更</w:t>
            </w:r>
          </w:p>
        </w:tc>
        <w:tc>
          <w:tcPr>
            <w:tcW w:w="2268"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rPr>
            </w:pPr>
            <w:r w:rsidRPr="00686354">
              <w:rPr>
                <w:rFonts w:ascii="PMingLiU" w:eastAsia="PMingLiU" w:hAnsi="PMingLiU" w:cs="Times New Roman"/>
                <w:color w:val="2B2B2B"/>
                <w:lang w:eastAsia="zh-CN"/>
              </w:rPr>
              <w:t>7个营业日内</w:t>
            </w:r>
          </w:p>
        </w:tc>
        <w:tc>
          <w:tcPr>
            <w:tcW w:w="4252"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虚拟资产交易平台营运者及其有</w:t>
            </w:r>
            <w:r w:rsidRPr="00686354">
              <w:rPr>
                <w:rFonts w:ascii="PMingLiU" w:eastAsia="PMingLiU" w:hAnsi="PMingLiU" w:cs="Times New Roman" w:hint="eastAsia"/>
                <w:color w:val="2B2B2B"/>
                <w:lang w:eastAsia="zh-CN"/>
              </w:rPr>
              <w:t>联系</w:t>
            </w:r>
            <w:r w:rsidRPr="00686354">
              <w:rPr>
                <w:rFonts w:ascii="PMingLiU" w:eastAsia="PMingLiU" w:hAnsi="PMingLiU" w:cs="Times New Roman"/>
                <w:color w:val="2B2B2B"/>
                <w:lang w:eastAsia="zh-CN"/>
              </w:rPr>
              <w:t>实体</w:t>
            </w:r>
          </w:p>
        </w:tc>
      </w:tr>
      <w:tr w:rsidR="00801BA6" w:rsidRPr="00686354" w:rsidTr="002A4EB1">
        <w:tc>
          <w:tcPr>
            <w:tcW w:w="3260"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有</w:t>
            </w:r>
            <w:r w:rsidRPr="00686354">
              <w:rPr>
                <w:rFonts w:ascii="PMingLiU" w:eastAsia="PMingLiU" w:hAnsi="PMingLiU" w:cs="Times New Roman" w:hint="eastAsia"/>
                <w:color w:val="2B2B2B"/>
                <w:lang w:eastAsia="zh-CN"/>
              </w:rPr>
              <w:t>联系</w:t>
            </w:r>
            <w:r w:rsidRPr="00686354">
              <w:rPr>
                <w:rFonts w:ascii="PMingLiU" w:eastAsia="PMingLiU" w:hAnsi="PMingLiU" w:cs="Times New Roman"/>
                <w:color w:val="2B2B2B"/>
                <w:lang w:eastAsia="zh-CN"/>
              </w:rPr>
              <w:t>实体及其详情</w:t>
            </w:r>
            <w:r w:rsidRPr="00686354">
              <w:rPr>
                <w:rFonts w:ascii="PMingLiU" w:eastAsia="PMingLiU" w:hAnsi="PMingLiU" w:cs="Times New Roman" w:hint="eastAsia"/>
                <w:color w:val="2B2B2B"/>
                <w:lang w:eastAsia="zh-CN"/>
              </w:rPr>
              <w:t>的</w:t>
            </w:r>
            <w:r w:rsidRPr="00686354">
              <w:rPr>
                <w:rFonts w:ascii="PMingLiU" w:eastAsia="PMingLiU" w:hAnsi="PMingLiU" w:cs="Times New Roman"/>
                <w:color w:val="2B2B2B"/>
                <w:lang w:eastAsia="zh-CN"/>
              </w:rPr>
              <w:t>变更</w:t>
            </w:r>
          </w:p>
        </w:tc>
        <w:tc>
          <w:tcPr>
            <w:tcW w:w="2268"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rPr>
            </w:pPr>
            <w:r w:rsidRPr="00686354">
              <w:rPr>
                <w:rFonts w:ascii="PMingLiU" w:eastAsia="PMingLiU" w:hAnsi="PMingLiU" w:cs="Times New Roman"/>
                <w:color w:val="2B2B2B"/>
                <w:lang w:eastAsia="zh-CN"/>
              </w:rPr>
              <w:t>7个营业日内</w:t>
            </w:r>
          </w:p>
        </w:tc>
        <w:tc>
          <w:tcPr>
            <w:tcW w:w="4252"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虚拟资产交易平台营运者及其有</w:t>
            </w:r>
            <w:r w:rsidRPr="00686354">
              <w:rPr>
                <w:rFonts w:ascii="PMingLiU" w:eastAsia="PMingLiU" w:hAnsi="PMingLiU" w:cs="Times New Roman" w:hint="eastAsia"/>
                <w:color w:val="2B2B2B"/>
                <w:lang w:eastAsia="zh-CN"/>
              </w:rPr>
              <w:t>联系</w:t>
            </w:r>
            <w:r w:rsidRPr="00686354">
              <w:rPr>
                <w:rFonts w:ascii="PMingLiU" w:eastAsia="PMingLiU" w:hAnsi="PMingLiU" w:cs="Times New Roman"/>
                <w:color w:val="2B2B2B"/>
                <w:lang w:eastAsia="zh-CN"/>
              </w:rPr>
              <w:t>实体</w:t>
            </w:r>
          </w:p>
        </w:tc>
      </w:tr>
      <w:tr w:rsidR="00801BA6" w:rsidRPr="00686354" w:rsidTr="002A4EB1">
        <w:tc>
          <w:tcPr>
            <w:tcW w:w="3260"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核数师姓名变更</w:t>
            </w:r>
          </w:p>
        </w:tc>
        <w:tc>
          <w:tcPr>
            <w:tcW w:w="2268"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rPr>
            </w:pPr>
            <w:r w:rsidRPr="00686354">
              <w:rPr>
                <w:rFonts w:ascii="PMingLiU" w:eastAsia="PMingLiU" w:hAnsi="PMingLiU" w:cs="Times New Roman"/>
                <w:color w:val="2B2B2B"/>
                <w:lang w:eastAsia="zh-CN"/>
              </w:rPr>
              <w:t>7个营业日内</w:t>
            </w:r>
          </w:p>
        </w:tc>
        <w:tc>
          <w:tcPr>
            <w:tcW w:w="4252"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虚拟资产交易平台营运者</w:t>
            </w:r>
          </w:p>
        </w:tc>
      </w:tr>
      <w:tr w:rsidR="00801BA6" w:rsidRPr="00686354" w:rsidTr="002A4EB1">
        <w:tc>
          <w:tcPr>
            <w:tcW w:w="3260"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根据《证券及期货条例》第154条及/或《打击洗钱及恐怖分子资金筹集条例》第53ZSE条规定在股东大会等背景下就变更核数师的提议发出通知，</w:t>
            </w:r>
          </w:p>
        </w:tc>
        <w:tc>
          <w:tcPr>
            <w:tcW w:w="2268"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rPr>
            </w:pPr>
            <w:r>
              <w:rPr>
                <w:rFonts w:ascii="PMingLiU" w:eastAsia="PMingLiU" w:hAnsi="PMingLiU" w:cs="Times New Roman"/>
                <w:color w:val="2B2B2B"/>
                <w:lang w:eastAsia="zh-CN"/>
              </w:rPr>
              <w:t>1</w:t>
            </w:r>
            <w:r w:rsidRPr="00686354">
              <w:rPr>
                <w:rFonts w:ascii="PMingLiU" w:eastAsia="PMingLiU" w:hAnsi="PMingLiU" w:cs="Times New Roman"/>
                <w:color w:val="2B2B2B"/>
                <w:lang w:eastAsia="zh-CN"/>
              </w:rPr>
              <w:t>个营业日内</w:t>
            </w:r>
          </w:p>
        </w:tc>
        <w:tc>
          <w:tcPr>
            <w:tcW w:w="4252"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虚拟资产交易平台营运者及其有</w:t>
            </w:r>
            <w:r w:rsidRPr="00686354">
              <w:rPr>
                <w:rFonts w:ascii="PMingLiU" w:eastAsia="PMingLiU" w:hAnsi="PMingLiU" w:cs="Times New Roman" w:hint="eastAsia"/>
                <w:color w:val="2B2B2B"/>
                <w:lang w:eastAsia="zh-CN"/>
              </w:rPr>
              <w:t>联系</w:t>
            </w:r>
            <w:r w:rsidRPr="00686354">
              <w:rPr>
                <w:rFonts w:ascii="PMingLiU" w:eastAsia="PMingLiU" w:hAnsi="PMingLiU" w:cs="Times New Roman"/>
                <w:color w:val="2B2B2B"/>
                <w:lang w:eastAsia="zh-CN"/>
              </w:rPr>
              <w:t>实体</w:t>
            </w:r>
            <w:bookmarkStart w:id="1" w:name="_GoBack"/>
            <w:bookmarkEnd w:id="1"/>
          </w:p>
        </w:tc>
      </w:tr>
      <w:tr w:rsidR="00801BA6" w:rsidRPr="00686354" w:rsidTr="002A4EB1">
        <w:tc>
          <w:tcPr>
            <w:tcW w:w="3260"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主管人员或其详情变更</w:t>
            </w:r>
          </w:p>
        </w:tc>
        <w:tc>
          <w:tcPr>
            <w:tcW w:w="2268"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rPr>
            </w:pPr>
            <w:r w:rsidRPr="00686354">
              <w:rPr>
                <w:rFonts w:ascii="PMingLiU" w:eastAsia="PMingLiU" w:hAnsi="PMingLiU" w:cs="Times New Roman"/>
                <w:color w:val="2B2B2B"/>
                <w:lang w:eastAsia="zh-CN"/>
              </w:rPr>
              <w:t>7个营业日内</w:t>
            </w:r>
          </w:p>
        </w:tc>
        <w:tc>
          <w:tcPr>
            <w:tcW w:w="4252"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rPr>
            </w:pPr>
            <w:r w:rsidRPr="00686354">
              <w:rPr>
                <w:rFonts w:ascii="PMingLiU" w:eastAsia="PMingLiU" w:hAnsi="PMingLiU" w:cs="Times New Roman"/>
                <w:color w:val="2B2B2B"/>
                <w:lang w:eastAsia="zh-CN"/>
              </w:rPr>
              <w:t>有</w:t>
            </w:r>
            <w:r w:rsidRPr="00686354">
              <w:rPr>
                <w:rFonts w:ascii="PMingLiU" w:eastAsia="PMingLiU" w:hAnsi="PMingLiU" w:cs="Times New Roman" w:hint="eastAsia"/>
                <w:color w:val="2B2B2B"/>
                <w:lang w:eastAsia="zh-CN"/>
              </w:rPr>
              <w:t>联系</w:t>
            </w:r>
            <w:r w:rsidRPr="00686354">
              <w:rPr>
                <w:rFonts w:ascii="PMingLiU" w:eastAsia="PMingLiU" w:hAnsi="PMingLiU" w:cs="Times New Roman"/>
                <w:color w:val="2B2B2B"/>
                <w:lang w:eastAsia="zh-CN"/>
              </w:rPr>
              <w:t>实体</w:t>
            </w:r>
          </w:p>
        </w:tc>
      </w:tr>
      <w:tr w:rsidR="00801BA6" w:rsidRPr="00686354" w:rsidTr="002A4EB1">
        <w:tc>
          <w:tcPr>
            <w:tcW w:w="3260"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香港或其它地方授权机构或者监管机构对进行任何受</w:t>
            </w:r>
            <w:proofErr w:type="gramStart"/>
            <w:r w:rsidRPr="00686354">
              <w:rPr>
                <w:rFonts w:ascii="PMingLiU" w:eastAsia="PMingLiU" w:hAnsi="PMingLiU" w:cs="Times New Roman"/>
                <w:color w:val="2B2B2B"/>
                <w:lang w:eastAsia="zh-CN"/>
              </w:rPr>
              <w:t>规管活动</w:t>
            </w:r>
            <w:proofErr w:type="gramEnd"/>
            <w:r w:rsidRPr="00686354">
              <w:rPr>
                <w:rFonts w:ascii="PMingLiU" w:eastAsia="PMingLiU" w:hAnsi="PMingLiU" w:cs="Times New Roman"/>
                <w:color w:val="2B2B2B"/>
                <w:lang w:eastAsia="zh-CN"/>
              </w:rPr>
              <w:t>给予任何授权的状态的变更</w:t>
            </w:r>
          </w:p>
        </w:tc>
        <w:tc>
          <w:tcPr>
            <w:tcW w:w="2268"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rPr>
            </w:pPr>
            <w:r w:rsidRPr="00686354">
              <w:rPr>
                <w:rFonts w:ascii="PMingLiU" w:eastAsia="PMingLiU" w:hAnsi="PMingLiU" w:cs="Times New Roman"/>
                <w:color w:val="2B2B2B"/>
                <w:lang w:eastAsia="zh-CN"/>
              </w:rPr>
              <w:t>7个营业日内</w:t>
            </w:r>
          </w:p>
        </w:tc>
        <w:tc>
          <w:tcPr>
            <w:tcW w:w="4252"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虚拟资产交易平台营运者及持牌代表</w:t>
            </w:r>
          </w:p>
        </w:tc>
      </w:tr>
      <w:tr w:rsidR="00801BA6" w:rsidRPr="00686354" w:rsidTr="002A4EB1">
        <w:tc>
          <w:tcPr>
            <w:tcW w:w="3260"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与钱包地址相关详情的变更</w:t>
            </w:r>
          </w:p>
        </w:tc>
        <w:tc>
          <w:tcPr>
            <w:tcW w:w="2268"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rPr>
            </w:pPr>
            <w:r w:rsidRPr="00686354">
              <w:rPr>
                <w:rFonts w:ascii="PMingLiU" w:eastAsia="PMingLiU" w:hAnsi="PMingLiU" w:cs="Times New Roman"/>
                <w:color w:val="2B2B2B"/>
                <w:lang w:eastAsia="zh-CN"/>
              </w:rPr>
              <w:t>7个营业日内</w:t>
            </w:r>
          </w:p>
        </w:tc>
        <w:tc>
          <w:tcPr>
            <w:tcW w:w="4252" w:type="dxa"/>
            <w:shd w:val="clear" w:color="auto" w:fill="auto"/>
            <w:tcMar>
              <w:top w:w="206" w:type="dxa"/>
              <w:left w:w="141" w:type="dxa"/>
              <w:bottom w:w="206" w:type="dxa"/>
              <w:right w:w="141" w:type="dxa"/>
            </w:tcMar>
            <w:hideMark/>
          </w:tcPr>
          <w:p w:rsidR="00801BA6" w:rsidRPr="00686354" w:rsidRDefault="00801BA6" w:rsidP="002A4EB1">
            <w:pPr>
              <w:adjustRightInd w:val="0"/>
              <w:snapToGrid w:val="0"/>
              <w:spacing w:after="0"/>
              <w:jc w:val="both"/>
              <w:rPr>
                <w:rFonts w:ascii="PMingLiU" w:eastAsia="PMingLiU" w:hAnsi="PMingLiU" w:cs="Times New Roman"/>
                <w:color w:val="2B2B2B"/>
                <w:lang w:eastAsia="zh-CN"/>
              </w:rPr>
            </w:pPr>
            <w:r w:rsidRPr="00686354">
              <w:rPr>
                <w:rFonts w:ascii="PMingLiU" w:eastAsia="PMingLiU" w:hAnsi="PMingLiU" w:cs="Times New Roman"/>
                <w:color w:val="2B2B2B"/>
                <w:lang w:eastAsia="zh-CN"/>
              </w:rPr>
              <w:t>虚拟资产交易平台营运者及其有</w:t>
            </w:r>
            <w:r w:rsidRPr="00686354">
              <w:rPr>
                <w:rFonts w:ascii="PMingLiU" w:eastAsia="PMingLiU" w:hAnsi="PMingLiU" w:cs="Times New Roman" w:hint="eastAsia"/>
                <w:color w:val="2B2B2B"/>
                <w:lang w:eastAsia="zh-CN"/>
              </w:rPr>
              <w:t>联系</w:t>
            </w:r>
            <w:r w:rsidRPr="00686354">
              <w:rPr>
                <w:rFonts w:ascii="PMingLiU" w:eastAsia="PMingLiU" w:hAnsi="PMingLiU" w:cs="Times New Roman"/>
                <w:color w:val="2B2B2B"/>
                <w:lang w:eastAsia="zh-CN"/>
              </w:rPr>
              <w:t>实体</w:t>
            </w:r>
          </w:p>
        </w:tc>
      </w:tr>
    </w:tbl>
    <w:p w:rsidR="009A33A9" w:rsidRDefault="00801BA6">
      <w:pPr>
        <w:pStyle w:val="BodyText"/>
        <w:rPr>
          <w:lang w:eastAsia="zh-CN"/>
        </w:rPr>
      </w:pPr>
      <w:r>
        <w:rPr>
          <w:lang w:eastAsia="zh-CN"/>
        </w:rPr>
        <w:t>严重违规的通知</w:t>
      </w:r>
    </w:p>
    <w:p w:rsidR="009A33A9" w:rsidRDefault="00801BA6">
      <w:pPr>
        <w:pStyle w:val="BodyText"/>
        <w:rPr>
          <w:lang w:eastAsia="zh-CN"/>
        </w:rPr>
      </w:pPr>
      <w:r>
        <w:rPr>
          <w:lang w:eastAsia="zh-CN"/>
        </w:rPr>
        <w:t>《适用于虚拟资产交易平台营运者的指引》要求虚拟资产交易平台营运者及其有联系实体应该立即将若干事项通知证监会，其中包括：</w:t>
      </w:r>
    </w:p>
    <w:p w:rsidR="009A33A9" w:rsidRDefault="00801BA6">
      <w:pPr>
        <w:pStyle w:val="Compact"/>
        <w:numPr>
          <w:ilvl w:val="0"/>
          <w:numId w:val="19"/>
        </w:numPr>
        <w:rPr>
          <w:lang w:eastAsia="zh-CN"/>
        </w:rPr>
      </w:pPr>
      <w:r>
        <w:rPr>
          <w:lang w:eastAsia="zh-CN"/>
        </w:rPr>
        <w:t>平台营运者或其有联系实体的交易、保管、会计、结算及交收系统或工具在运作或施行上出现任</w:t>
      </w:r>
      <w:r>
        <w:rPr>
          <w:lang w:eastAsia="zh-CN"/>
        </w:rPr>
        <w:t>何重大缺失、错误或缺陷；</w:t>
      </w:r>
    </w:p>
    <w:p w:rsidR="009A33A9" w:rsidRDefault="00801BA6">
      <w:pPr>
        <w:pStyle w:val="Compact"/>
        <w:numPr>
          <w:ilvl w:val="0"/>
          <w:numId w:val="19"/>
        </w:numPr>
        <w:rPr>
          <w:lang w:eastAsia="zh-CN"/>
        </w:rPr>
      </w:pPr>
      <w:r>
        <w:rPr>
          <w:lang w:eastAsia="zh-CN"/>
        </w:rPr>
        <w:t>平台营运者，其有联系实体或任何获委任以替客户进行业务的人士严重地违反或不遵守，或涉嫌违反或不遵守《证券及期货条例》，《打击洗钱及恐怖分子资金筹集条例》，或任何证</w:t>
      </w:r>
      <w:r>
        <w:rPr>
          <w:lang w:eastAsia="zh-CN"/>
        </w:rPr>
        <w:lastRenderedPageBreak/>
        <w:t>监会规则、规例、守则、通函、常见问题或指引（包括《适用于虚拟资产交易平台营运者的指引》）。为满足这一规定，证监会已将其现有的</w:t>
      </w:r>
      <w:r>
        <w:fldChar w:fldCharType="begin"/>
      </w:r>
      <w:r>
        <w:rPr>
          <w:lang w:eastAsia="zh-CN"/>
        </w:rPr>
        <w:instrText xml:space="preserve"> HYPERLINK "https://wings.sfc.hk/main/" \l "/zh" \h </w:instrText>
      </w:r>
      <w:r>
        <w:fldChar w:fldCharType="separate"/>
      </w:r>
      <w:r>
        <w:rPr>
          <w:lang w:eastAsia="zh-CN"/>
        </w:rPr>
        <w:t>第</w:t>
      </w:r>
      <w:r>
        <w:rPr>
          <w:lang w:eastAsia="zh-CN"/>
        </w:rPr>
        <w:t>12.5</w:t>
      </w:r>
      <w:r>
        <w:rPr>
          <w:lang w:eastAsia="zh-CN"/>
        </w:rPr>
        <w:t>段通报电子服务网站</w:t>
      </w:r>
      <w:r>
        <w:fldChar w:fldCharType="end"/>
      </w:r>
      <w:r>
        <w:rPr>
          <w:lang w:eastAsia="zh-CN"/>
        </w:rPr>
        <w:t>升级，以便严重违规及不合</w:t>
      </w:r>
      <w:proofErr w:type="gramStart"/>
      <w:r>
        <w:rPr>
          <w:lang w:eastAsia="zh-CN"/>
        </w:rPr>
        <w:t>规</w:t>
      </w:r>
      <w:proofErr w:type="gramEnd"/>
      <w:r>
        <w:rPr>
          <w:lang w:eastAsia="zh-CN"/>
        </w:rPr>
        <w:t>事件的报告能够以电子方式提交给证监会；</w:t>
      </w:r>
    </w:p>
    <w:p w:rsidR="009A33A9" w:rsidRDefault="00801BA6">
      <w:pPr>
        <w:pStyle w:val="Compact"/>
        <w:numPr>
          <w:ilvl w:val="0"/>
          <w:numId w:val="19"/>
        </w:numPr>
        <w:rPr>
          <w:lang w:eastAsia="zh-CN"/>
        </w:rPr>
      </w:pPr>
      <w:r>
        <w:rPr>
          <w:lang w:eastAsia="zh-CN"/>
        </w:rPr>
        <w:t>通过任何决议、提起任何法律程序、或</w:t>
      </w:r>
      <w:proofErr w:type="gramStart"/>
      <w:r>
        <w:rPr>
          <w:lang w:eastAsia="zh-CN"/>
        </w:rPr>
        <w:t>作出</w:t>
      </w:r>
      <w:proofErr w:type="gramEnd"/>
      <w:r>
        <w:rPr>
          <w:lang w:eastAsia="zh-CN"/>
        </w:rPr>
        <w:t>任何命令，以致可能需要委任财产接管人、临时清盘人、清盘人或破产管理人，或将平台营运者或其有联系实体或平台营运者的任何大股东或最终拥有人清盘、重组、重整、合并、解散或破产，或与其债权人制订任何接管令或安排或债务重整协议；</w:t>
      </w:r>
    </w:p>
    <w:p w:rsidR="009A33A9" w:rsidRDefault="00801BA6">
      <w:pPr>
        <w:pStyle w:val="Compact"/>
        <w:numPr>
          <w:ilvl w:val="0"/>
          <w:numId w:val="19"/>
        </w:numPr>
        <w:rPr>
          <w:lang w:eastAsia="zh-CN"/>
        </w:rPr>
      </w:pPr>
      <w:r>
        <w:rPr>
          <w:lang w:eastAsia="zh-CN"/>
        </w:rPr>
        <w:t>平台营运者或其有联系实体的任何董事破产；及</w:t>
      </w:r>
    </w:p>
    <w:p w:rsidR="009A33A9" w:rsidRDefault="00801BA6">
      <w:pPr>
        <w:pStyle w:val="Compact"/>
        <w:numPr>
          <w:ilvl w:val="0"/>
          <w:numId w:val="19"/>
        </w:numPr>
        <w:rPr>
          <w:lang w:eastAsia="zh-CN"/>
        </w:rPr>
      </w:pPr>
      <w:r>
        <w:rPr>
          <w:lang w:eastAsia="zh-CN"/>
        </w:rPr>
        <w:t>任何监管组织或其他专业或行业组织对平台营运者或其有联系实体行使纪律处分或拒绝向平台营运者或其有联系实体发出任何与其业务有关的监管牌照、同意或其他认可，或暂时吊销或撤销有关的监管牌照、同意或其他认可。</w:t>
      </w:r>
    </w:p>
    <w:p w:rsidR="009A33A9" w:rsidRDefault="00801BA6">
      <w:pPr>
        <w:pStyle w:val="FirstParagraph"/>
        <w:rPr>
          <w:lang w:eastAsia="zh-CN"/>
        </w:rPr>
      </w:pPr>
      <w:r>
        <w:rPr>
          <w:lang w:eastAsia="zh-CN"/>
        </w:rPr>
        <w:t>证监会专</w:t>
      </w:r>
      <w:r>
        <w:rPr>
          <w:lang w:eastAsia="zh-CN"/>
        </w:rPr>
        <w:t>为虚拟资产活动而设的指定网站及电子邮箱</w:t>
      </w:r>
    </w:p>
    <w:p w:rsidR="009A33A9" w:rsidRDefault="00801BA6">
      <w:pPr>
        <w:pStyle w:val="BodyText"/>
        <w:rPr>
          <w:lang w:eastAsia="zh-CN"/>
        </w:rPr>
      </w:pPr>
      <w:r>
        <w:rPr>
          <w:lang w:eastAsia="zh-CN"/>
        </w:rPr>
        <w:t>证监会推出了一个</w:t>
      </w:r>
      <w:r>
        <w:fldChar w:fldCharType="begin"/>
      </w:r>
      <w:r>
        <w:rPr>
          <w:lang w:eastAsia="zh-CN"/>
        </w:rPr>
        <w:instrText xml:space="preserve"> HYPERLINK "https://www.sfc.hk/TC/Welcome-to-the-Fintech-Contact-Point/Virtual-assets/Overview" \h </w:instrText>
      </w:r>
      <w:r>
        <w:fldChar w:fldCharType="separate"/>
      </w:r>
      <w:r>
        <w:rPr>
          <w:lang w:eastAsia="zh-CN"/>
        </w:rPr>
        <w:t>指定网站</w:t>
      </w:r>
      <w:r>
        <w:fldChar w:fldCharType="end"/>
      </w:r>
      <w:r>
        <w:rPr>
          <w:lang w:eastAsia="zh-CN"/>
        </w:rPr>
        <w:t>，让各界取</w:t>
      </w:r>
      <w:proofErr w:type="gramStart"/>
      <w:r>
        <w:rPr>
          <w:lang w:eastAsia="zh-CN"/>
        </w:rPr>
        <w:t>览</w:t>
      </w:r>
      <w:proofErr w:type="gramEnd"/>
      <w:r>
        <w:rPr>
          <w:lang w:eastAsia="zh-CN"/>
        </w:rPr>
        <w:t>上述数据及文件，以及与受证监会</w:t>
      </w:r>
      <w:proofErr w:type="gramStart"/>
      <w:r>
        <w:rPr>
          <w:lang w:eastAsia="zh-CN"/>
        </w:rPr>
        <w:t>规</w:t>
      </w:r>
      <w:proofErr w:type="gramEnd"/>
      <w:r>
        <w:rPr>
          <w:lang w:eastAsia="zh-CN"/>
        </w:rPr>
        <w:t>管的虚拟资产活动有关的所有相关监管规定和指引材料。</w:t>
      </w:r>
    </w:p>
    <w:p w:rsidR="009A33A9" w:rsidRDefault="00801BA6">
      <w:pPr>
        <w:pStyle w:val="BodyText"/>
      </w:pPr>
      <w:r>
        <w:t>牌照申请人应将所有查询发送至</w:t>
      </w:r>
      <w:hyperlink r:id="rId23">
        <w:r>
          <w:t>vatp-licensi</w:t>
        </w:r>
        <w:r>
          <w:t>ng@sfc.hk</w:t>
        </w:r>
      </w:hyperlink>
      <w:r>
        <w:t>。</w:t>
      </w:r>
    </w:p>
    <w:p w:rsidR="009A33A9" w:rsidRDefault="00801BA6">
      <w:pPr>
        <w:pStyle w:val="BodyText"/>
        <w:rPr>
          <w:lang w:eastAsia="zh-CN"/>
        </w:rPr>
      </w:pPr>
      <w:hyperlink w:anchor="footnote-598-1-backlink">
        <w:r>
          <w:rPr>
            <w:lang w:eastAsia="zh-CN"/>
          </w:rPr>
          <w:t>1</w:t>
        </w:r>
      </w:hyperlink>
      <w:r>
        <w:rPr>
          <w:lang w:eastAsia="zh-CN"/>
        </w:rPr>
        <w:t xml:space="preserve"> </w:t>
      </w:r>
      <w:r>
        <w:rPr>
          <w:lang w:eastAsia="zh-CN"/>
        </w:rPr>
        <w:t>证监会</w:t>
      </w:r>
      <w:r>
        <w:fldChar w:fldCharType="begin"/>
      </w:r>
      <w:r>
        <w:rPr>
          <w:lang w:eastAsia="zh-CN"/>
        </w:rPr>
        <w:instrText xml:space="preserve"> HYPERLINK "https://apps.sfc.hk/edistributionWeb/api/consultation/conclusion?lang=TC&amp;refNo=23CP1" \h </w:instrText>
      </w:r>
      <w:r>
        <w:fldChar w:fldCharType="separate"/>
      </w:r>
      <w:r>
        <w:rPr>
          <w:lang w:eastAsia="zh-CN"/>
        </w:rPr>
        <w:t>《有关适用于获证券及期货事务监察委员会发牌的虚拟资产交</w:t>
      </w:r>
      <w:r>
        <w:rPr>
          <w:lang w:eastAsia="zh-CN"/>
        </w:rPr>
        <w:t xml:space="preserve"> </w:t>
      </w:r>
      <w:r>
        <w:rPr>
          <w:lang w:eastAsia="zh-CN"/>
        </w:rPr>
        <w:t>易平台营运者的建议监管规定的咨询总结》</w:t>
      </w:r>
      <w:r>
        <w:fldChar w:fldCharType="end"/>
      </w:r>
    </w:p>
    <w:p w:rsidR="009A33A9" w:rsidRDefault="00801BA6">
      <w:pPr>
        <w:pStyle w:val="BodyText"/>
        <w:rPr>
          <w:lang w:eastAsia="zh-CN"/>
        </w:rPr>
      </w:pPr>
      <w:hyperlink w:anchor="footnote-598-2-backlink">
        <w:r>
          <w:rPr>
            <w:lang w:eastAsia="zh-CN"/>
          </w:rPr>
          <w:t>2</w:t>
        </w:r>
      </w:hyperlink>
      <w:r>
        <w:rPr>
          <w:lang w:eastAsia="zh-CN"/>
        </w:rPr>
        <w:t xml:space="preserve"> </w:t>
      </w:r>
      <w:r>
        <w:rPr>
          <w:lang w:eastAsia="zh-CN"/>
        </w:rPr>
        <w:t>《对证券及期货事务上诉审裁处</w:t>
      </w:r>
      <w:r>
        <w:rPr>
          <w:lang w:eastAsia="zh-CN"/>
        </w:rPr>
        <w:t>2007</w:t>
      </w:r>
      <w:r>
        <w:rPr>
          <w:lang w:eastAsia="zh-CN"/>
        </w:rPr>
        <w:t>年第</w:t>
      </w:r>
      <w:r>
        <w:rPr>
          <w:lang w:eastAsia="zh-CN"/>
        </w:rPr>
        <w:t>7-9</w:t>
      </w:r>
      <w:r>
        <w:rPr>
          <w:lang w:eastAsia="zh-CN"/>
        </w:rPr>
        <w:t>号申请的裁定》第</w:t>
      </w:r>
      <w:r>
        <w:rPr>
          <w:lang w:eastAsia="zh-CN"/>
        </w:rPr>
        <w:t>25</w:t>
      </w:r>
      <w:r>
        <w:rPr>
          <w:lang w:eastAsia="zh-CN"/>
        </w:rPr>
        <w:t>段</w:t>
      </w:r>
    </w:p>
    <w:p w:rsidR="009A33A9" w:rsidRDefault="00801BA6">
      <w:pPr>
        <w:pStyle w:val="BodyText"/>
        <w:rPr>
          <w:lang w:eastAsia="zh-CN"/>
        </w:rPr>
      </w:pPr>
      <w:hyperlink w:anchor="footnote-598-3-backlink">
        <w:r>
          <w:rPr>
            <w:lang w:eastAsia="zh-CN"/>
          </w:rPr>
          <w:t>3</w:t>
        </w:r>
      </w:hyperlink>
      <w:r>
        <w:rPr>
          <w:lang w:eastAsia="zh-CN"/>
        </w:rPr>
        <w:t xml:space="preserve"> </w:t>
      </w:r>
      <w:r>
        <w:rPr>
          <w:lang w:eastAsia="zh-CN"/>
        </w:rPr>
        <w:t>证监会</w:t>
      </w:r>
      <w:r>
        <w:fldChar w:fldCharType="begin"/>
      </w:r>
      <w:r>
        <w:rPr>
          <w:lang w:eastAsia="zh-CN"/>
        </w:rPr>
        <w:instrText xml:space="preserve"> HYPERLINK "https://sc.sfc.hk/TuniS/www.sfc.hk/TC/Welcome-to-the-Fintech-Contact-Point/Virtual-assets/Virtual-asset-trading-platforms-operators/Regulatory-require</w:instrText>
      </w:r>
      <w:r>
        <w:rPr>
          <w:lang w:eastAsia="zh-CN"/>
        </w:rPr>
        <w:instrText xml:space="preserve">ments/FAQs-on-licensing-related-matters/Competence-requirements-for-individuals/Competence-requirements-for-individuals" \h </w:instrText>
      </w:r>
      <w:r>
        <w:fldChar w:fldCharType="separate"/>
      </w:r>
      <w:r>
        <w:rPr>
          <w:lang w:eastAsia="zh-CN"/>
        </w:rPr>
        <w:t>《常见问题个人胜任能力规定》</w:t>
      </w:r>
      <w:r>
        <w:fldChar w:fldCharType="end"/>
      </w:r>
      <w:r>
        <w:rPr>
          <w:lang w:eastAsia="zh-CN"/>
        </w:rPr>
        <w:t>问题</w:t>
      </w:r>
      <w:r>
        <w:rPr>
          <w:lang w:eastAsia="zh-CN"/>
        </w:rPr>
        <w:t>1</w:t>
      </w:r>
    </w:p>
    <w:p w:rsidR="009A33A9" w:rsidRDefault="00801BA6">
      <w:pPr>
        <w:pStyle w:val="BodyText"/>
        <w:rPr>
          <w:lang w:eastAsia="zh-CN"/>
        </w:rPr>
      </w:pPr>
      <w:hyperlink w:anchor="footnote-598-4-backlink">
        <w:r>
          <w:rPr>
            <w:lang w:eastAsia="zh-CN"/>
          </w:rPr>
          <w:t>4</w:t>
        </w:r>
      </w:hyperlink>
      <w:r>
        <w:rPr>
          <w:lang w:eastAsia="zh-CN"/>
        </w:rPr>
        <w:t xml:space="preserve"> </w:t>
      </w:r>
      <w:r>
        <w:rPr>
          <w:lang w:eastAsia="zh-CN"/>
        </w:rPr>
        <w:t>证监会《适用于虚拟资产交易平台营运者的指引》第</w:t>
      </w:r>
      <w:r>
        <w:rPr>
          <w:lang w:eastAsia="zh-CN"/>
        </w:rPr>
        <w:t>3.16</w:t>
      </w:r>
      <w:r>
        <w:rPr>
          <w:lang w:eastAsia="zh-CN"/>
        </w:rPr>
        <w:t>段</w:t>
      </w:r>
    </w:p>
    <w:p w:rsidR="009A33A9" w:rsidRDefault="00801BA6">
      <w:pPr>
        <w:pStyle w:val="BodyText"/>
        <w:rPr>
          <w:lang w:eastAsia="zh-CN"/>
        </w:rPr>
      </w:pPr>
      <w:hyperlink w:anchor="footnote-598-5-backlink">
        <w:r>
          <w:rPr>
            <w:lang w:eastAsia="zh-CN"/>
          </w:rPr>
          <w:t>5</w:t>
        </w:r>
      </w:hyperlink>
      <w:r>
        <w:rPr>
          <w:lang w:eastAsia="zh-CN"/>
        </w:rPr>
        <w:t xml:space="preserve"> </w:t>
      </w:r>
      <w:r>
        <w:rPr>
          <w:lang w:eastAsia="zh-CN"/>
        </w:rPr>
        <w:t>同上，第</w:t>
      </w:r>
      <w:r>
        <w:rPr>
          <w:lang w:eastAsia="zh-CN"/>
        </w:rPr>
        <w:t>3.18</w:t>
      </w:r>
      <w:r>
        <w:rPr>
          <w:lang w:eastAsia="zh-CN"/>
        </w:rPr>
        <w:t>段</w:t>
      </w:r>
    </w:p>
    <w:p w:rsidR="009A33A9" w:rsidRDefault="00801BA6">
      <w:pPr>
        <w:pStyle w:val="BodyText"/>
        <w:rPr>
          <w:lang w:eastAsia="zh-CN"/>
        </w:rPr>
      </w:pPr>
      <w:hyperlink w:anchor="footnote-598-6-backlink">
        <w:r>
          <w:rPr>
            <w:lang w:eastAsia="zh-CN"/>
          </w:rPr>
          <w:t>6</w:t>
        </w:r>
      </w:hyperlink>
      <w:r>
        <w:rPr>
          <w:lang w:eastAsia="zh-CN"/>
        </w:rPr>
        <w:t xml:space="preserve"> </w:t>
      </w:r>
      <w:r>
        <w:rPr>
          <w:lang w:eastAsia="zh-CN"/>
        </w:rPr>
        <w:t>证监会</w:t>
      </w:r>
      <w:r>
        <w:fldChar w:fldCharType="begin"/>
      </w:r>
      <w:r>
        <w:rPr>
          <w:lang w:eastAsia="zh-CN"/>
        </w:rPr>
        <w:instrText xml:space="preserve"> HYPERLINK "https://sc.sfc.hk/TuniS/www.sfc.hk/TC/Welcome-to-the-Fintech-Contact-Point/Virtual-assets/Virtual-asset-trading-platforms-operators/Regulatory-requirements/FAQs-on-licensing-related-matters/Competence-requirements-for-individuals/Competence-req</w:instrText>
      </w:r>
      <w:r>
        <w:rPr>
          <w:lang w:eastAsia="zh-CN"/>
        </w:rPr>
        <w:instrText xml:space="preserve">uirements-for-individuals" \h </w:instrText>
      </w:r>
      <w:r>
        <w:fldChar w:fldCharType="separate"/>
      </w:r>
      <w:r>
        <w:rPr>
          <w:lang w:eastAsia="zh-CN"/>
        </w:rPr>
        <w:t>《常见问题个人胜任能力规定》</w:t>
      </w:r>
      <w:r>
        <w:fldChar w:fldCharType="end"/>
      </w:r>
      <w:r>
        <w:rPr>
          <w:lang w:eastAsia="zh-CN"/>
        </w:rPr>
        <w:t>问题</w:t>
      </w:r>
      <w:r>
        <w:rPr>
          <w:lang w:eastAsia="zh-CN"/>
        </w:rPr>
        <w:t>2</w:t>
      </w:r>
    </w:p>
    <w:p w:rsidR="009A33A9" w:rsidRDefault="00801BA6">
      <w:pPr>
        <w:pStyle w:val="BodyText"/>
        <w:rPr>
          <w:lang w:eastAsia="zh-CN"/>
        </w:rPr>
      </w:pPr>
      <w:hyperlink w:anchor="footnote-598-7-backlink">
        <w:r>
          <w:rPr>
            <w:lang w:eastAsia="zh-CN"/>
          </w:rPr>
          <w:t>7</w:t>
        </w:r>
      </w:hyperlink>
      <w:r>
        <w:rPr>
          <w:lang w:eastAsia="zh-CN"/>
        </w:rPr>
        <w:t xml:space="preserve"> </w:t>
      </w:r>
      <w:r>
        <w:rPr>
          <w:lang w:eastAsia="zh-CN"/>
        </w:rPr>
        <w:t>《证券及期货条例》第</w:t>
      </w:r>
      <w:r>
        <w:rPr>
          <w:lang w:eastAsia="zh-CN"/>
        </w:rPr>
        <w:t>129</w:t>
      </w:r>
      <w:r>
        <w:rPr>
          <w:lang w:eastAsia="zh-CN"/>
        </w:rPr>
        <w:t>条及《打击洗钱及恐怖分子资金筹集条例》第</w:t>
      </w:r>
      <w:r>
        <w:rPr>
          <w:lang w:eastAsia="zh-CN"/>
        </w:rPr>
        <w:t>53ZRJ</w:t>
      </w:r>
      <w:r>
        <w:rPr>
          <w:lang w:eastAsia="zh-CN"/>
        </w:rPr>
        <w:t>条</w:t>
      </w:r>
    </w:p>
    <w:p w:rsidR="009A33A9" w:rsidRDefault="00801BA6">
      <w:pPr>
        <w:pStyle w:val="DisclaimerBold"/>
        <w:rPr>
          <w:lang w:eastAsia="zh-CN"/>
        </w:rPr>
      </w:pPr>
      <w:proofErr w:type="gramStart"/>
      <w:r>
        <w:rPr>
          <w:lang w:eastAsia="zh-CN"/>
        </w:rPr>
        <w:t>此法讯仅为</w:t>
      </w:r>
      <w:proofErr w:type="gramEnd"/>
      <w:r>
        <w:rPr>
          <w:lang w:eastAsia="zh-CN"/>
        </w:rPr>
        <w:t>提供相关资料信息之用，其内容并</w:t>
      </w:r>
    </w:p>
    <w:p w:rsidR="009A33A9" w:rsidRDefault="00801BA6">
      <w:pPr>
        <w:pStyle w:val="Disclaimer"/>
        <w:rPr>
          <w:lang w:eastAsia="zh-CN"/>
        </w:rPr>
      </w:pPr>
      <w:r>
        <w:rPr>
          <w:lang w:eastAsia="zh-CN"/>
        </w:rPr>
        <w:t>不构成法律建议及个案的法律分析。</w:t>
      </w:r>
    </w:p>
    <w:p w:rsidR="009A33A9" w:rsidRDefault="00801BA6">
      <w:pPr>
        <w:pStyle w:val="Disclaimer"/>
        <w:rPr>
          <w:lang w:eastAsia="zh-CN"/>
        </w:rPr>
      </w:pPr>
      <w:r>
        <w:rPr>
          <w:lang w:eastAsia="zh-CN"/>
        </w:rPr>
        <w:t>此法讯的发送并不是为了在易周律师行与用户或浏览者之间建立一种律师与客户之关系。</w:t>
      </w:r>
    </w:p>
    <w:p w:rsidR="009A33A9" w:rsidRDefault="00801BA6">
      <w:pPr>
        <w:pStyle w:val="Disclaimer"/>
        <w:rPr>
          <w:lang w:eastAsia="zh-CN"/>
        </w:rPr>
      </w:pPr>
      <w:r>
        <w:rPr>
          <w:lang w:eastAsia="zh-CN"/>
        </w:rPr>
        <w:t>易周律师行并不对可从互联网获得的任何第三</w:t>
      </w:r>
      <w:proofErr w:type="gramStart"/>
      <w:r>
        <w:rPr>
          <w:lang w:eastAsia="zh-CN"/>
        </w:rPr>
        <w:t>方内容</w:t>
      </w:r>
      <w:proofErr w:type="gramEnd"/>
      <w:r>
        <w:rPr>
          <w:lang w:eastAsia="zh-CN"/>
        </w:rPr>
        <w:t>负责。</w:t>
      </w:r>
    </w:p>
    <w:p w:rsidR="009A33A9" w:rsidRDefault="00801BA6">
      <w:pPr>
        <w:pStyle w:val="Disclaimer"/>
        <w:rPr>
          <w:lang w:eastAsia="zh-CN"/>
        </w:rPr>
      </w:pPr>
      <w:r>
        <w:rPr>
          <w:lang w:eastAsia="zh-CN"/>
        </w:rPr>
        <w:t>如你不希望再收到易周法讯，请</w:t>
      </w:r>
      <w:r>
        <w:rPr>
          <w:lang w:eastAsia="zh-CN"/>
        </w:rPr>
        <w:t>发送电邮至</w:t>
      </w:r>
      <w:r>
        <w:rPr>
          <w:lang w:eastAsia="zh-CN"/>
        </w:rPr>
        <w:t xml:space="preserve">  </w:t>
      </w:r>
      <w:hyperlink r:id="rId24">
        <w:r>
          <w:rPr>
            <w:lang w:eastAsia="zh-CN"/>
          </w:rPr>
          <w:t>unsubscribe@charltonslaw.com</w:t>
        </w:r>
      </w:hyperlink>
    </w:p>
    <w:p w:rsidR="009A33A9" w:rsidRDefault="00801BA6">
      <w:pPr>
        <w:pStyle w:val="BlackStrips"/>
      </w:pPr>
      <w:r>
        <w:t xml:space="preserve">Charltons - </w:t>
      </w:r>
      <w:proofErr w:type="spellStart"/>
      <w:r>
        <w:t>香港法律</w:t>
      </w:r>
      <w:proofErr w:type="spellEnd"/>
      <w:r>
        <w:t xml:space="preserve"> - 2024</w:t>
      </w:r>
      <w:r>
        <w:t>年</w:t>
      </w:r>
      <w:r>
        <w:t>5</w:t>
      </w:r>
      <w:r>
        <w:t>月</w:t>
      </w:r>
      <w:r>
        <w:t>29</w:t>
      </w:r>
      <w:r>
        <w:t>日</w:t>
      </w:r>
    </w:p>
    <w:sectPr w:rsidR="009A33A9">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01BA6">
      <w:pPr>
        <w:spacing w:after="0"/>
      </w:pPr>
      <w:r>
        <w:separator/>
      </w:r>
    </w:p>
  </w:endnote>
  <w:endnote w:type="continuationSeparator" w:id="0">
    <w:p w:rsidR="00000000" w:rsidRDefault="00801B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3A9" w:rsidRDefault="00801BA6">
      <w:r>
        <w:separator/>
      </w:r>
    </w:p>
  </w:footnote>
  <w:footnote w:type="continuationSeparator" w:id="0">
    <w:p w:rsidR="009A33A9" w:rsidRDefault="00801BA6">
      <w:r>
        <w:continuationSeparator/>
      </w:r>
    </w:p>
  </w:footnote>
  <w:footnote w:id="1">
    <w:p w:rsidR="007E69C4" w:rsidRDefault="007E69C4" w:rsidP="007E69C4">
      <w:pPr>
        <w:pStyle w:val="FootnoteText"/>
        <w:rPr>
          <w:rFonts w:eastAsia="SimSun"/>
          <w:lang w:eastAsia="zh-CN"/>
        </w:rPr>
      </w:pPr>
      <w:r>
        <w:rPr>
          <w:rStyle w:val="FootnoteReference"/>
        </w:rPr>
        <w:footnoteRef/>
      </w:r>
      <w:r>
        <w:rPr>
          <w:rFonts w:eastAsia="SimSun" w:hint="eastAsia"/>
          <w:lang w:eastAsia="zh-CN"/>
        </w:rPr>
        <w:t>同上。第</w:t>
      </w:r>
      <w:r>
        <w:rPr>
          <w:rFonts w:ascii="Arial" w:hAnsi="Arial" w:cs="Arial"/>
          <w:lang w:eastAsia="zh-CN"/>
        </w:rPr>
        <w:t xml:space="preserve"> 3.18</w:t>
      </w:r>
      <w:r>
        <w:rPr>
          <w:rFonts w:ascii="Arial" w:eastAsia="SimSun" w:hAnsi="Arial" w:cs="Arial" w:hint="eastAsia"/>
          <w:lang w:eastAsia="zh-CN"/>
        </w:rPr>
        <w:t>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D7A0B2C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3F0C00B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5CB4FE8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4E29B3"/>
    <w:rsid w:val="00590D07"/>
    <w:rsid w:val="00784D58"/>
    <w:rsid w:val="007E69C4"/>
    <w:rsid w:val="00801BA6"/>
    <w:rsid w:val="008D6863"/>
    <w:rsid w:val="009A33A9"/>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C216F"/>
  <w15:docId w15:val="{23F186D0-7A9F-47AF-98F6-B3356F7E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link w:val="FootnoteTextChar"/>
    <w:uiPriority w:val="9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FootnoteTextChar">
    <w:name w:val="Footnote Text Char"/>
    <w:basedOn w:val="DefaultParagraphFont"/>
    <w:link w:val="FootnoteText"/>
    <w:uiPriority w:val="99"/>
    <w:rsid w:val="007E69C4"/>
    <w:rPr>
      <w:rFonts w:eastAsiaTheme="minorHAnsi"/>
      <w:color w:val="00000A"/>
      <w:sz w:val="24"/>
    </w:rPr>
  </w:style>
  <w:style w:type="character" w:styleId="FootnoteReference">
    <w:name w:val="footnote reference"/>
    <w:basedOn w:val="DefaultParagraphFont"/>
    <w:uiPriority w:val="99"/>
    <w:semiHidden/>
    <w:unhideWhenUsed/>
    <w:rsid w:val="007E69C4"/>
    <w:rPr>
      <w:vertAlign w:val="superscript"/>
    </w:rPr>
  </w:style>
  <w:style w:type="table" w:styleId="TableGrid">
    <w:name w:val="Table Grid"/>
    <w:basedOn w:val="TableNormal"/>
    <w:uiPriority w:val="39"/>
    <w:rsid w:val="007E69C4"/>
    <w:rPr>
      <w:sz w:val="22"/>
      <w:szCs w:val="22"/>
      <w:lang w:eastAsia="zh-TW"/>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801BA6"/>
    <w:pPr>
      <w:spacing w:before="100" w:beforeAutospacing="1" w:after="100" w:afterAutospacing="1"/>
    </w:pPr>
    <w:rPr>
      <w:rFonts w:ascii="SimSun" w:eastAsia="SimSun" w:hAnsi="SimSun" w:cs="SimSun"/>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sfc.hk/edistributionWeb/api/consultation/conclusion?lang=EN&amp;refNo=23CP1" TargetMode="External"/><Relationship Id="rId13" Type="http://schemas.openxmlformats.org/officeDocument/2006/relationships/hyperlink" Target="https://www.charltonslaw.com.cn/xiang-gang-zheng-jian-hui-jiu-xu-ni-zi-chan-jiao-yi-ping-tai-jian-guan-zuo-zui-hou-ding-gao/" TargetMode="External"/><Relationship Id="rId18" Type="http://schemas.openxmlformats.org/officeDocument/2006/relationships/hyperlink" Target="https://www.sfc.hk/TC/Forms/Intermediaries/Audit-questionnair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fc.hk/TC/Forms/Intermediaries/Analysis-of-client-assets-for-associated-entity" TargetMode="External"/><Relationship Id="rId7" Type="http://schemas.openxmlformats.org/officeDocument/2006/relationships/hyperlink" Target="http://www.charltonslaw.com.cn/xiang-gang-zheng-jian-hui-you-guan-shi-shi-zhuan-wei-xu-ni-zi-chan-jiao-yi-ping-tai-er-she-de-quan-xin-fa-pai-zhi-du-de-tong-han" TargetMode="External"/><Relationship Id="rId12" Type="http://schemas.openxmlformats.org/officeDocument/2006/relationships/hyperlink" Target="https://www.charltonslaw.com.cn/xiang-gang-zhen-dui-xu-ni-zi-chan-jiao-yi-suo-de-fa-pai-zhi-du-jiang-yu-2023-nian-3-yue-1-ri-sheng-xiao/" TargetMode="External"/><Relationship Id="rId17" Type="http://schemas.openxmlformats.org/officeDocument/2006/relationships/hyperlink" Target="https://www.sfc.hk/TC/Forms/Intermediaries/Financial-return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c.sfc.hk/TuniS/www.sfc.hk/TC/Welcome-to-the-Fintech-Contact-Point/Virtual-assets/Virtual-asset-trading-platforms-operators/Regulatory-requirements/FAQs-on-licensing-related-matters/SFC-Regulatory-Sandbox/SFC-Regulatory-Sandbox" TargetMode="External"/><Relationship Id="rId20" Type="http://schemas.openxmlformats.org/officeDocument/2006/relationships/hyperlink" Target="https://www.sfc.hk/TC/Forms/Intermediaries/Business-and-risk-management-questionnai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c.hk/-/media/EN/assets/components/codes/files-current/web/guidelines/prevention-of-money-laundering-and-terrorist-fi/AML-Guideline-for-AEs_Eng_1-Jun-2023.pdf?rev=243299fe5b11413495afee886891aa05" TargetMode="External"/><Relationship Id="rId24" Type="http://schemas.openxmlformats.org/officeDocument/2006/relationships/hyperlink" Target="mailto:unsubscribe@charltonslaw.com?subject=unsubscribe%20-Hong%20Kong%20Law-" TargetMode="External"/><Relationship Id="rId5" Type="http://schemas.openxmlformats.org/officeDocument/2006/relationships/footnotes" Target="footnotes.xml"/><Relationship Id="rId15" Type="http://schemas.openxmlformats.org/officeDocument/2006/relationships/hyperlink" Target="https://www.sfc.hk/-/media/EN/assets/components/Guidelines/File-current/Licensing-Handbook-for-VATPs-31-05-2023.pdf?rev=a94fa7324a964e328dd2415815611d76" TargetMode="External"/><Relationship Id="rId23" Type="http://schemas.openxmlformats.org/officeDocument/2006/relationships/hyperlink" Target="mailto:vatp-licensing@sfc.hk" TargetMode="External"/><Relationship Id="rId10" Type="http://schemas.openxmlformats.org/officeDocument/2006/relationships/hyperlink" Target="https://sc.sfc.hk/TuniS/apps.sfc.hk/edistributionWeb/gateway/TC/circular/doc?refNo=23EC27" TargetMode="External"/><Relationship Id="rId19" Type="http://schemas.openxmlformats.org/officeDocument/2006/relationships/hyperlink" Target="https://www.sfc.hk/TC/Forms/Intermediaries/Business-and-risk-management-questionnaire" TargetMode="External"/><Relationship Id="rId4" Type="http://schemas.openxmlformats.org/officeDocument/2006/relationships/webSettings" Target="webSettings.xml"/><Relationship Id="rId9" Type="http://schemas.openxmlformats.org/officeDocument/2006/relationships/hyperlink" Target="https://sc.sfc.hk/TuniS/apps.sfc.hk/edistributionWeb/gateway/TC/circular/doc?refNo=23EC28" TargetMode="External"/><Relationship Id="rId14" Type="http://schemas.openxmlformats.org/officeDocument/2006/relationships/hyperlink" Target="https://www.sfc.hk/-/media/EN/assets/components/Guidelines/File-current/Licensing-Handbook-for-VATPs-31-05-2023.pdf?rev=a94fa7324a964e328dd2415815611d76" TargetMode="External"/><Relationship Id="rId22" Type="http://schemas.openxmlformats.org/officeDocument/2006/relationships/hyperlink" Target="https://www.sfc.hk/TC/faqs/intermediaries/licensing/Premises-for-business-and-record-keep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11</Pages>
  <Words>2388</Words>
  <Characters>13613</Characters>
  <Application>Microsoft Office Word</Application>
  <DocSecurity>0</DocSecurity>
  <Lines>113</Lines>
  <Paragraphs>31</Paragraphs>
  <ScaleCrop>false</ScaleCrop>
  <Company>Charltons</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3</cp:revision>
  <dcterms:created xsi:type="dcterms:W3CDTF">2024-05-29T07:54:00Z</dcterms:created>
  <dcterms:modified xsi:type="dcterms:W3CDTF">2024-05-29T09:08:00Z</dcterms:modified>
</cp:coreProperties>
</file>