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2B5" w:rsidRDefault="00A07CD2">
      <w:pPr>
        <w:pStyle w:val="BlackStrips"/>
      </w:pPr>
      <w:r>
        <w:t xml:space="preserve">Charltons - </w:t>
      </w:r>
      <w:r>
        <w:t>香港法律</w:t>
      </w:r>
      <w:r>
        <w:t xml:space="preserve"> - 2024</w:t>
      </w:r>
      <w:r>
        <w:t>年</w:t>
      </w:r>
      <w:r>
        <w:t>6</w:t>
      </w:r>
      <w:r>
        <w:t>月</w:t>
      </w:r>
      <w:r>
        <w:t>19</w:t>
      </w:r>
      <w:r>
        <w:t>日</w:t>
      </w:r>
    </w:p>
    <w:p w:rsidR="002252B5" w:rsidRDefault="00A07CD2">
      <w:pPr>
        <w:pStyle w:val="ReadOnline"/>
        <w:rPr>
          <w:lang w:eastAsia="zh-CN"/>
        </w:rPr>
      </w:pPr>
      <w:hyperlink r:id="rId7">
        <w:r>
          <w:rPr>
            <w:lang w:eastAsia="zh-CN"/>
          </w:rPr>
          <w:t>online version</w:t>
        </w:r>
      </w:hyperlink>
    </w:p>
    <w:p w:rsidR="002252B5" w:rsidRDefault="00A07CD2">
      <w:pPr>
        <w:pStyle w:val="Title"/>
        <w:rPr>
          <w:lang w:eastAsia="zh-CN"/>
        </w:rPr>
      </w:pPr>
      <w:r>
        <w:rPr>
          <w:lang w:eastAsia="zh-CN"/>
        </w:rPr>
        <w:t>香港财经事务及库务局就规管虚拟资产场外交易的立法建议进行咨询</w:t>
      </w:r>
    </w:p>
    <w:p w:rsidR="002252B5" w:rsidRDefault="00A07CD2">
      <w:pPr>
        <w:pStyle w:val="FirstParagraph"/>
        <w:rPr>
          <w:lang w:eastAsia="zh-CN"/>
        </w:rPr>
      </w:pPr>
      <w:r>
        <w:rPr>
          <w:lang w:eastAsia="zh-CN"/>
        </w:rPr>
        <w:t>2024</w:t>
      </w:r>
      <w:r>
        <w:rPr>
          <w:lang w:eastAsia="zh-CN"/>
        </w:rPr>
        <w:t>年</w:t>
      </w:r>
      <w:r>
        <w:rPr>
          <w:lang w:eastAsia="zh-CN"/>
        </w:rPr>
        <w:t>2</w:t>
      </w:r>
      <w:r>
        <w:rPr>
          <w:lang w:eastAsia="zh-CN"/>
        </w:rPr>
        <w:t>月</w:t>
      </w:r>
      <w:r>
        <w:rPr>
          <w:lang w:eastAsia="zh-CN"/>
        </w:rPr>
        <w:t>8</w:t>
      </w:r>
      <w:r>
        <w:rPr>
          <w:lang w:eastAsia="zh-CN"/>
        </w:rPr>
        <w:t>日，财经事务及库务局刊发</w:t>
      </w:r>
      <w:hyperlink r:id="rId8">
        <w:r>
          <w:rPr>
            <w:lang w:eastAsia="zh-CN"/>
          </w:rPr>
          <w:t>谘询文件</w:t>
        </w:r>
      </w:hyperlink>
      <w:r>
        <w:rPr>
          <w:lang w:eastAsia="zh-CN"/>
        </w:rPr>
        <w:t>，根据《打击洗钱及恐怖分子资金筹集条例》（第</w:t>
      </w:r>
      <w:r>
        <w:rPr>
          <w:lang w:eastAsia="zh-CN"/>
        </w:rPr>
        <w:t>615</w:t>
      </w:r>
      <w:r>
        <w:rPr>
          <w:lang w:eastAsia="zh-CN"/>
        </w:rPr>
        <w:t>章）（</w:t>
      </w:r>
      <w:r>
        <w:rPr>
          <w:b/>
          <w:lang w:eastAsia="zh-CN"/>
        </w:rPr>
        <w:t>《打击洗钱条例》</w:t>
      </w:r>
      <w:r>
        <w:rPr>
          <w:lang w:eastAsia="zh-CN"/>
        </w:rPr>
        <w:t>）设立的虚拟资产服务提供者发牌制度，就规管虚拟资产场外交易的建议进行咨询。</w:t>
      </w:r>
    </w:p>
    <w:p w:rsidR="002252B5" w:rsidRDefault="00A07CD2">
      <w:pPr>
        <w:pStyle w:val="BodyText"/>
        <w:rPr>
          <w:lang w:eastAsia="zh-CN"/>
        </w:rPr>
      </w:pPr>
      <w:r>
        <w:rPr>
          <w:lang w:eastAsia="zh-CN"/>
        </w:rPr>
        <w:t>财经事务及库务局欢迎公众就其建议提出意见，而回应谘询文件的截止日期为</w:t>
      </w:r>
      <w:r>
        <w:rPr>
          <w:lang w:eastAsia="zh-CN"/>
        </w:rPr>
        <w:t>2024</w:t>
      </w:r>
      <w:r>
        <w:rPr>
          <w:lang w:eastAsia="zh-CN"/>
        </w:rPr>
        <w:t>年</w:t>
      </w:r>
      <w:r>
        <w:rPr>
          <w:lang w:eastAsia="zh-CN"/>
        </w:rPr>
        <w:t>4</w:t>
      </w:r>
      <w:r>
        <w:rPr>
          <w:lang w:eastAsia="zh-CN"/>
        </w:rPr>
        <w:t>月</w:t>
      </w:r>
      <w:r>
        <w:rPr>
          <w:lang w:eastAsia="zh-CN"/>
        </w:rPr>
        <w:t>12</w:t>
      </w:r>
      <w:r>
        <w:rPr>
          <w:lang w:eastAsia="zh-CN"/>
        </w:rPr>
        <w:t>日。</w:t>
      </w:r>
    </w:p>
    <w:p w:rsidR="002252B5" w:rsidRDefault="00A07CD2">
      <w:pPr>
        <w:pStyle w:val="BodyText"/>
      </w:pPr>
      <w:r>
        <w:t>背景</w:t>
      </w:r>
    </w:p>
    <w:p w:rsidR="002252B5" w:rsidRDefault="00A07CD2">
      <w:pPr>
        <w:pStyle w:val="BodyText"/>
        <w:rPr>
          <w:lang w:eastAsia="zh-CN"/>
        </w:rPr>
      </w:pPr>
      <w:r>
        <w:rPr>
          <w:lang w:eastAsia="zh-CN"/>
        </w:rPr>
        <w:t>政府早</w:t>
      </w:r>
      <w:r>
        <w:rPr>
          <w:lang w:eastAsia="zh-CN"/>
        </w:rPr>
        <w:t>在</w:t>
      </w:r>
      <w:r>
        <w:rPr>
          <w:lang w:eastAsia="zh-CN"/>
        </w:rPr>
        <w:t>2022</w:t>
      </w:r>
      <w:r>
        <w:rPr>
          <w:lang w:eastAsia="zh-CN"/>
        </w:rPr>
        <w:t>年</w:t>
      </w:r>
      <w:r>
        <w:rPr>
          <w:lang w:eastAsia="zh-CN"/>
        </w:rPr>
        <w:t>10</w:t>
      </w:r>
      <w:r>
        <w:rPr>
          <w:lang w:eastAsia="zh-CN"/>
        </w:rPr>
        <w:t>月发表的《有关香港虚拟资产发展的政策宣言》，致力就虚拟资产活动完善规管框架。</w:t>
      </w:r>
      <w:hyperlink w:anchor="footnote-598-1">
        <w:r>
          <w:rPr>
            <w:vertAlign w:val="superscript"/>
            <w:lang w:eastAsia="zh-CN"/>
          </w:rPr>
          <w:t>1</w:t>
        </w:r>
      </w:hyperlink>
      <w:r>
        <w:rPr>
          <w:lang w:eastAsia="zh-CN"/>
        </w:rPr>
        <w:t>根据《打击洗钱条例》的修订，虚拟资产场外交易平台营运者的发牌制度于</w:t>
      </w:r>
      <w:r>
        <w:rPr>
          <w:lang w:eastAsia="zh-CN"/>
        </w:rPr>
        <w:t>2023</w:t>
      </w:r>
      <w:r>
        <w:rPr>
          <w:lang w:eastAsia="zh-CN"/>
        </w:rPr>
        <w:t>年</w:t>
      </w:r>
      <w:r>
        <w:rPr>
          <w:lang w:eastAsia="zh-CN"/>
        </w:rPr>
        <w:t>6</w:t>
      </w:r>
      <w:r>
        <w:rPr>
          <w:lang w:eastAsia="zh-CN"/>
        </w:rPr>
        <w:t>月生效，规定虚拟交易营运者须获证券及期货事务监察委员会（</w:t>
      </w:r>
      <w:r>
        <w:rPr>
          <w:b/>
          <w:lang w:eastAsia="zh-CN"/>
        </w:rPr>
        <w:t>证监会</w:t>
      </w:r>
      <w:r>
        <w:rPr>
          <w:lang w:eastAsia="zh-CN"/>
        </w:rPr>
        <w:t>）发牌，并须遵守《打击洗钱条例》附表</w:t>
      </w:r>
      <w:r>
        <w:rPr>
          <w:lang w:eastAsia="zh-CN"/>
        </w:rPr>
        <w:t>2</w:t>
      </w:r>
      <w:r>
        <w:rPr>
          <w:lang w:eastAsia="zh-CN"/>
        </w:rPr>
        <w:t>所载的《打击洗钱条例》条文。目前，只有两家虚拟资产交易平台获得了证监会的牌照。</w:t>
      </w:r>
      <w:hyperlink w:anchor="footnote-598-2">
        <w:r>
          <w:rPr>
            <w:vertAlign w:val="superscript"/>
            <w:lang w:eastAsia="zh-CN"/>
          </w:rPr>
          <w:t>2</w:t>
        </w:r>
      </w:hyperlink>
    </w:p>
    <w:p w:rsidR="002252B5" w:rsidRDefault="00A07CD2">
      <w:pPr>
        <w:pStyle w:val="BodyText"/>
        <w:rPr>
          <w:lang w:eastAsia="zh-CN"/>
        </w:rPr>
      </w:pPr>
      <w:r>
        <w:rPr>
          <w:lang w:eastAsia="zh-CN"/>
        </w:rPr>
        <w:t>2023</w:t>
      </w:r>
      <w:r>
        <w:rPr>
          <w:lang w:eastAsia="zh-CN"/>
        </w:rPr>
        <w:t>年，出现了几起案件，涉及向散户投资者提供虚拟资产场外交易服务的交易店对其持牌地位做出虚假或具误导性陈述。这促使政府规管虚拟资产场外交易平台的服务。</w:t>
      </w:r>
    </w:p>
    <w:p w:rsidR="002252B5" w:rsidRDefault="00A07CD2">
      <w:pPr>
        <w:pStyle w:val="BodyText"/>
        <w:rPr>
          <w:lang w:eastAsia="zh-CN"/>
        </w:rPr>
      </w:pPr>
      <w:r>
        <w:rPr>
          <w:lang w:eastAsia="zh-CN"/>
        </w:rPr>
        <w:t>财经事务及库务局估计，本港约有</w:t>
      </w:r>
      <w:r>
        <w:rPr>
          <w:lang w:eastAsia="zh-CN"/>
        </w:rPr>
        <w:t>200</w:t>
      </w:r>
      <w:r>
        <w:rPr>
          <w:lang w:eastAsia="zh-CN"/>
        </w:rPr>
        <w:t>家虚拟资产场外交易店</w:t>
      </w:r>
      <w:r>
        <w:rPr>
          <w:lang w:eastAsia="zh-CN"/>
        </w:rPr>
        <w:t>(</w:t>
      </w:r>
      <w:r>
        <w:rPr>
          <w:lang w:eastAsia="zh-CN"/>
        </w:rPr>
        <w:t>包括自动柜员机</w:t>
      </w:r>
      <w:r>
        <w:rPr>
          <w:lang w:eastAsia="zh-CN"/>
        </w:rPr>
        <w:t>)</w:t>
      </w:r>
      <w:r>
        <w:rPr>
          <w:lang w:eastAsia="zh-CN"/>
        </w:rPr>
        <w:t>，以及约</w:t>
      </w:r>
      <w:r>
        <w:rPr>
          <w:lang w:eastAsia="zh-CN"/>
        </w:rPr>
        <w:t>250</w:t>
      </w:r>
      <w:r>
        <w:rPr>
          <w:lang w:eastAsia="zh-CN"/>
        </w:rPr>
        <w:t>个虚拟货币交易服务的数码平台或活跃的网上帖子。</w:t>
      </w:r>
    </w:p>
    <w:p w:rsidR="002252B5" w:rsidRDefault="00A07CD2">
      <w:pPr>
        <w:pStyle w:val="BodyText"/>
        <w:rPr>
          <w:lang w:eastAsia="zh-CN"/>
        </w:rPr>
      </w:pPr>
      <w:r>
        <w:rPr>
          <w:lang w:eastAsia="zh-CN"/>
        </w:rPr>
        <w:t>香港对虚拟资产场外交易服务提供者的拟议规管</w:t>
      </w:r>
    </w:p>
    <w:p w:rsidR="002252B5" w:rsidRDefault="00A07CD2">
      <w:pPr>
        <w:pStyle w:val="BodyText"/>
        <w:rPr>
          <w:lang w:eastAsia="zh-CN"/>
        </w:rPr>
      </w:pPr>
      <w:r>
        <w:rPr>
          <w:lang w:eastAsia="zh-CN"/>
        </w:rPr>
        <w:t>发牌规定</w:t>
      </w:r>
    </w:p>
    <w:p w:rsidR="002252B5" w:rsidRDefault="00A07CD2">
      <w:pPr>
        <w:pStyle w:val="BodyText"/>
        <w:rPr>
          <w:lang w:eastAsia="zh-CN"/>
        </w:rPr>
      </w:pPr>
      <w:r>
        <w:rPr>
          <w:lang w:eastAsia="zh-CN"/>
        </w:rPr>
        <w:t>财经事务及库务局建议任何人如在香港以业务形式提供任何虚拟资产交易服务或积极向香港公众推广提供场外交易服务，须向海关关长申领牌照。</w:t>
      </w:r>
    </w:p>
    <w:p w:rsidR="002252B5" w:rsidRDefault="00A07CD2">
      <w:pPr>
        <w:pStyle w:val="BodyText"/>
        <w:rPr>
          <w:lang w:eastAsia="zh-CN"/>
        </w:rPr>
      </w:pPr>
      <w:r>
        <w:rPr>
          <w:lang w:eastAsia="zh-CN"/>
        </w:rPr>
        <w:t>虚拟资产场外交易业务将被定义为：</w:t>
      </w:r>
      <w:r>
        <w:rPr>
          <w:lang w:eastAsia="zh-CN"/>
        </w:rPr>
        <w:t>(a)</w:t>
      </w:r>
      <w:r>
        <w:rPr>
          <w:lang w:eastAsia="zh-CN"/>
        </w:rPr>
        <w:t>通过业</w:t>
      </w:r>
      <w:r>
        <w:rPr>
          <w:lang w:eastAsia="zh-CN"/>
        </w:rPr>
        <w:t>务方式，提供任何场外交易的现货交易服务；</w:t>
      </w:r>
      <w:r>
        <w:rPr>
          <w:lang w:eastAsia="zh-CN"/>
        </w:rPr>
        <w:t>(b)</w:t>
      </w:r>
      <w:r>
        <w:rPr>
          <w:lang w:eastAsia="zh-CN"/>
        </w:rPr>
        <w:t>不论服务是透过实体店（即包括自动柜员机）或其他（例如数码）平台提供；及</w:t>
      </w:r>
      <w:r>
        <w:rPr>
          <w:lang w:eastAsia="zh-CN"/>
        </w:rPr>
        <w:t>(c)</w:t>
      </w:r>
      <w:r>
        <w:rPr>
          <w:lang w:eastAsia="zh-CN"/>
        </w:rPr>
        <w:t>明确排除在虚拟资产交易平台发牌制度下已涵盖的虚拟资产交易平台的运作。</w:t>
      </w:r>
    </w:p>
    <w:p w:rsidR="002252B5" w:rsidRDefault="00A07CD2">
      <w:pPr>
        <w:pStyle w:val="BodyText"/>
        <w:rPr>
          <w:lang w:eastAsia="zh-CN"/>
        </w:rPr>
      </w:pPr>
      <w:r>
        <w:rPr>
          <w:lang w:eastAsia="zh-CN"/>
        </w:rPr>
        <w:t>该定义将排除个人之间的点对点交易，除非该交易构成任何一方的商业活动。</w:t>
      </w:r>
    </w:p>
    <w:p w:rsidR="002252B5" w:rsidRDefault="00A07CD2">
      <w:pPr>
        <w:pStyle w:val="BodyText"/>
        <w:rPr>
          <w:lang w:eastAsia="zh-CN"/>
        </w:rPr>
      </w:pPr>
      <w:r>
        <w:rPr>
          <w:lang w:eastAsia="zh-CN"/>
        </w:rPr>
        <w:t>申请虚拟资产交易场外交易牌照的申请人需要：</w:t>
      </w:r>
    </w:p>
    <w:p w:rsidR="002252B5" w:rsidRDefault="00A07CD2">
      <w:pPr>
        <w:pStyle w:val="Compact"/>
        <w:numPr>
          <w:ilvl w:val="0"/>
          <w:numId w:val="3"/>
        </w:numPr>
        <w:rPr>
          <w:lang w:eastAsia="zh-CN"/>
        </w:rPr>
      </w:pPr>
      <w:r>
        <w:rPr>
          <w:lang w:eastAsia="zh-CN"/>
        </w:rPr>
        <w:t>在香港注册成立并在香港有永久营业地点的公司；或</w:t>
      </w:r>
    </w:p>
    <w:p w:rsidR="002252B5" w:rsidRDefault="00A07CD2">
      <w:pPr>
        <w:pStyle w:val="Compact"/>
        <w:numPr>
          <w:ilvl w:val="0"/>
          <w:numId w:val="3"/>
        </w:numPr>
        <w:rPr>
          <w:lang w:eastAsia="zh-CN"/>
        </w:rPr>
      </w:pPr>
      <w:r>
        <w:rPr>
          <w:lang w:eastAsia="zh-CN"/>
        </w:rPr>
        <w:t>根据《公司条例》</w:t>
      </w:r>
      <w:r>
        <w:rPr>
          <w:lang w:eastAsia="zh-CN"/>
        </w:rPr>
        <w:t>(</w:t>
      </w:r>
      <w:r>
        <w:rPr>
          <w:lang w:eastAsia="zh-CN"/>
        </w:rPr>
        <w:t>第</w:t>
      </w:r>
      <w:r>
        <w:rPr>
          <w:lang w:eastAsia="zh-CN"/>
        </w:rPr>
        <w:t>622</w:t>
      </w:r>
      <w:r>
        <w:rPr>
          <w:lang w:eastAsia="zh-CN"/>
        </w:rPr>
        <w:t>章</w:t>
      </w:r>
      <w:r>
        <w:rPr>
          <w:lang w:eastAsia="zh-CN"/>
        </w:rPr>
        <w:t>)</w:t>
      </w:r>
      <w:r>
        <w:rPr>
          <w:lang w:eastAsia="zh-CN"/>
        </w:rPr>
        <w:t>在香港注册但在海外成立的公司。</w:t>
      </w:r>
    </w:p>
    <w:p w:rsidR="002252B5" w:rsidRDefault="00A07CD2">
      <w:pPr>
        <w:pStyle w:val="FirstParagraph"/>
        <w:rPr>
          <w:lang w:eastAsia="zh-CN"/>
        </w:rPr>
      </w:pPr>
      <w:r>
        <w:rPr>
          <w:lang w:eastAsia="zh-CN"/>
        </w:rPr>
        <w:t>准许经营的活动</w:t>
      </w:r>
    </w:p>
    <w:p w:rsidR="002252B5" w:rsidRDefault="00A07CD2">
      <w:pPr>
        <w:pStyle w:val="BodyText"/>
        <w:rPr>
          <w:lang w:eastAsia="zh-CN"/>
        </w:rPr>
      </w:pPr>
      <w:r>
        <w:rPr>
          <w:lang w:eastAsia="zh-CN"/>
        </w:rPr>
        <w:t>根据拟议的制度，持牌虚拟资产场外交易营运者将获准以任何货币从事任何虚拟货币的现货</w:t>
      </w:r>
      <w:r>
        <w:rPr>
          <w:lang w:eastAsia="zh-CN"/>
        </w:rPr>
        <w:t>交易，反之亦然。然而，持牌人将被禁止提供需要虚拟资产交易平台的牌照的以一种虚拟资产转换另一种虚拟资产的交易服务。为了向客户汇出法定货币，场外交易将需要申请货币服务运营商牌照。如果持牌人在出售后将虚拟资产转移给客户，则必须将虚拟资产从其在海关关长注册的钱包转移到客户提供所有权和</w:t>
      </w:r>
      <w:r>
        <w:rPr>
          <w:lang w:eastAsia="zh-CN"/>
        </w:rPr>
        <w:t>/</w:t>
      </w:r>
      <w:r>
        <w:rPr>
          <w:lang w:eastAsia="zh-CN"/>
        </w:rPr>
        <w:t>或控制权证明的钱包。其他服务，如虚拟资产咨询或推荐服务，以及提供虚拟资产衍生品或其他金融产品（包括入股、贷款和融资融券交易），将不被允许。</w:t>
      </w:r>
    </w:p>
    <w:p w:rsidR="002252B5" w:rsidRDefault="00A07CD2">
      <w:pPr>
        <w:pStyle w:val="BodyText"/>
        <w:rPr>
          <w:lang w:eastAsia="zh-CN"/>
        </w:rPr>
      </w:pPr>
      <w:r>
        <w:rPr>
          <w:lang w:eastAsia="zh-CN"/>
        </w:rPr>
        <w:lastRenderedPageBreak/>
        <w:t>允许为虚拟资产场外交易提供的虚拟资产类型</w:t>
      </w:r>
    </w:p>
    <w:p w:rsidR="002252B5" w:rsidRDefault="00A07CD2">
      <w:pPr>
        <w:pStyle w:val="BodyText"/>
        <w:rPr>
          <w:lang w:eastAsia="zh-CN"/>
        </w:rPr>
      </w:pPr>
      <w:r>
        <w:rPr>
          <w:lang w:eastAsia="zh-CN"/>
        </w:rPr>
        <w:t>虚拟资产场外交易持牌人只允许在以下方面提供现货交易</w:t>
      </w:r>
      <w:r>
        <w:rPr>
          <w:lang w:eastAsia="zh-CN"/>
        </w:rPr>
        <w:t>:</w:t>
      </w:r>
    </w:p>
    <w:p w:rsidR="002252B5" w:rsidRDefault="00A07CD2">
      <w:pPr>
        <w:pStyle w:val="Compact"/>
        <w:numPr>
          <w:ilvl w:val="0"/>
          <w:numId w:val="4"/>
        </w:numPr>
        <w:rPr>
          <w:lang w:eastAsia="zh-CN"/>
        </w:rPr>
      </w:pPr>
      <w:r>
        <w:rPr>
          <w:lang w:eastAsia="zh-CN"/>
        </w:rPr>
        <w:t>散户投资者可在至少一个证监会发牌的虚拟资产交易平台的交易的虚拟资产；及</w:t>
      </w:r>
    </w:p>
    <w:p w:rsidR="002252B5" w:rsidRDefault="00A07CD2">
      <w:pPr>
        <w:pStyle w:val="Compact"/>
        <w:numPr>
          <w:ilvl w:val="0"/>
          <w:numId w:val="4"/>
        </w:numPr>
        <w:rPr>
          <w:lang w:eastAsia="zh-CN"/>
        </w:rPr>
      </w:pPr>
      <w:r>
        <w:rPr>
          <w:lang w:eastAsia="zh-CN"/>
        </w:rPr>
        <w:t>由香港金融管理局发牌的发行人发行的稳定币。</w:t>
      </w:r>
    </w:p>
    <w:p w:rsidR="002252B5" w:rsidRDefault="00A07CD2">
      <w:pPr>
        <w:pStyle w:val="FirstParagraph"/>
        <w:rPr>
          <w:lang w:eastAsia="zh-CN"/>
        </w:rPr>
      </w:pPr>
      <w:r>
        <w:rPr>
          <w:lang w:eastAsia="zh-CN"/>
        </w:rPr>
        <w:t>这将在很大程度上限制可作为虚拟资产场外交易持牌人现货交易标的的虚拟资产类型。</w:t>
      </w:r>
    </w:p>
    <w:p w:rsidR="002252B5" w:rsidRDefault="00A07CD2">
      <w:pPr>
        <w:pStyle w:val="BodyText"/>
        <w:rPr>
          <w:lang w:eastAsia="zh-CN"/>
        </w:rPr>
      </w:pPr>
      <w:r>
        <w:rPr>
          <w:lang w:eastAsia="zh-CN"/>
        </w:rPr>
        <w:t>根据香港证监会的《虚拟资产交易平台指引》，持牌虚拟资产交易平台营运者只能提供</w:t>
      </w:r>
      <w:r>
        <w:rPr>
          <w:lang w:eastAsia="zh-CN"/>
        </w:rPr>
        <w:t>“</w:t>
      </w:r>
      <w:r>
        <w:rPr>
          <w:lang w:eastAsia="zh-CN"/>
        </w:rPr>
        <w:t>高流通性</w:t>
      </w:r>
      <w:r>
        <w:rPr>
          <w:lang w:eastAsia="zh-CN"/>
        </w:rPr>
        <w:t>”</w:t>
      </w:r>
      <w:r>
        <w:rPr>
          <w:lang w:eastAsia="zh-CN"/>
        </w:rPr>
        <w:t>的零售虚拟资产交易平台交易。</w:t>
      </w:r>
      <w:hyperlink w:anchor="footnote-598-3">
        <w:r>
          <w:rPr>
            <w:vertAlign w:val="superscript"/>
            <w:lang w:eastAsia="zh-CN"/>
          </w:rPr>
          <w:t>3</w:t>
        </w:r>
      </w:hyperlink>
      <w:r>
        <w:rPr>
          <w:lang w:eastAsia="zh-CN"/>
        </w:rPr>
        <w:t xml:space="preserve"> </w:t>
      </w:r>
      <w:r>
        <w:rPr>
          <w:lang w:eastAsia="zh-CN"/>
        </w:rPr>
        <w:t>要将虚拟资产视为</w:t>
      </w:r>
      <w:r>
        <w:rPr>
          <w:lang w:eastAsia="zh-CN"/>
        </w:rPr>
        <w:t>“</w:t>
      </w:r>
      <w:r>
        <w:rPr>
          <w:lang w:eastAsia="zh-CN"/>
        </w:rPr>
        <w:t>高流通性</w:t>
      </w:r>
      <w:r>
        <w:rPr>
          <w:lang w:eastAsia="zh-CN"/>
        </w:rPr>
        <w:t>”</w:t>
      </w:r>
      <w:r>
        <w:rPr>
          <w:lang w:eastAsia="zh-CN"/>
        </w:rPr>
        <w:t>，它必须是</w:t>
      </w:r>
      <w:r>
        <w:rPr>
          <w:lang w:eastAsia="zh-CN"/>
        </w:rPr>
        <w:t>“</w:t>
      </w:r>
      <w:r>
        <w:rPr>
          <w:lang w:eastAsia="zh-CN"/>
        </w:rPr>
        <w:t>合格的大盘股虚拟资产</w:t>
      </w:r>
      <w:r>
        <w:rPr>
          <w:lang w:eastAsia="zh-CN"/>
        </w:rPr>
        <w:t>”</w:t>
      </w:r>
      <w:r>
        <w:rPr>
          <w:lang w:eastAsia="zh-CN"/>
        </w:rPr>
        <w:t>，其定义是虚拟资产包含在至少两个独立指数提供者发行的至少两个</w:t>
      </w:r>
      <w:r>
        <w:rPr>
          <w:lang w:eastAsia="zh-CN"/>
        </w:rPr>
        <w:t>获接纳的指数中。</w:t>
      </w:r>
      <w:r>
        <w:rPr>
          <w:lang w:eastAsia="zh-CN"/>
        </w:rPr>
        <w:t>“</w:t>
      </w:r>
      <w:r>
        <w:rPr>
          <w:lang w:eastAsia="zh-CN"/>
        </w:rPr>
        <w:t>获接纳的指数</w:t>
      </w:r>
      <w:r>
        <w:rPr>
          <w:lang w:eastAsia="zh-CN"/>
        </w:rPr>
        <w:t>”</w:t>
      </w:r>
      <w:r>
        <w:rPr>
          <w:lang w:eastAsia="zh-CN"/>
        </w:rPr>
        <w:t>是一种具有清楚界定的目标的指数，以衡量在全球市场上最大型的虚拟资产的表现（例如，衡量前十大虚拟资产的指数），该指数是：</w:t>
      </w:r>
      <w:r>
        <w:rPr>
          <w:lang w:eastAsia="zh-CN"/>
        </w:rPr>
        <w:t>(i)</w:t>
      </w:r>
      <w:r>
        <w:rPr>
          <w:lang w:eastAsia="zh-CN"/>
        </w:rPr>
        <w:t>是可供投资的，意味着有关的成分虚拟资产应具备充足的流通性；</w:t>
      </w:r>
      <w:r>
        <w:rPr>
          <w:lang w:eastAsia="zh-CN"/>
        </w:rPr>
        <w:t>(ii)</w:t>
      </w:r>
      <w:r>
        <w:rPr>
          <w:lang w:eastAsia="zh-CN"/>
        </w:rPr>
        <w:t>该指数应以客观方式计算，并以规则为本。在实践中，只有比特币和以太坊等最大的虚拟货币才符合这一定义。</w:t>
      </w:r>
    </w:p>
    <w:p w:rsidR="002252B5" w:rsidRDefault="00A07CD2">
      <w:pPr>
        <w:pStyle w:val="BodyText"/>
        <w:rPr>
          <w:lang w:eastAsia="zh-CN"/>
        </w:rPr>
      </w:pPr>
      <w:r>
        <w:rPr>
          <w:lang w:eastAsia="zh-CN"/>
        </w:rPr>
        <w:t>财经事务及库务局目前正在就法定参考稳定币发行人的拟议发牌制度进行咨询。拟议的发牌制度不适用于引用其他资产</w:t>
      </w:r>
      <w:r>
        <w:rPr>
          <w:lang w:eastAsia="zh-CN"/>
        </w:rPr>
        <w:t>(</w:t>
      </w:r>
      <w:r>
        <w:rPr>
          <w:lang w:eastAsia="zh-CN"/>
        </w:rPr>
        <w:t>例如黄金</w:t>
      </w:r>
      <w:r>
        <w:rPr>
          <w:lang w:eastAsia="zh-CN"/>
        </w:rPr>
        <w:t>)</w:t>
      </w:r>
      <w:r>
        <w:rPr>
          <w:lang w:eastAsia="zh-CN"/>
        </w:rPr>
        <w:t>的稳定币发行人。它也不适用于算法稳定币，因为算法稳定币不能满足稳定币完全由</w:t>
      </w:r>
      <w:r>
        <w:rPr>
          <w:lang w:eastAsia="zh-CN"/>
        </w:rPr>
        <w:t>储备资产支持的要求。</w:t>
      </w:r>
    </w:p>
    <w:p w:rsidR="002252B5" w:rsidRDefault="00A07CD2">
      <w:pPr>
        <w:pStyle w:val="BodyText"/>
        <w:rPr>
          <w:lang w:eastAsia="zh-CN"/>
        </w:rPr>
      </w:pPr>
      <w:r>
        <w:rPr>
          <w:lang w:eastAsia="zh-CN"/>
        </w:rPr>
        <w:t>对虚拟资产场外交易持牌人拟议规定</w:t>
      </w:r>
    </w:p>
    <w:p w:rsidR="002252B5" w:rsidRDefault="00A07CD2">
      <w:pPr>
        <w:pStyle w:val="BodyText"/>
        <w:rPr>
          <w:lang w:eastAsia="zh-CN"/>
        </w:rPr>
      </w:pPr>
      <w:r>
        <w:rPr>
          <w:lang w:eastAsia="zh-CN"/>
        </w:rPr>
        <w:t>拟议机制要求场外交易持牌人：</w:t>
      </w:r>
    </w:p>
    <w:p w:rsidR="002252B5" w:rsidRDefault="00A07CD2">
      <w:pPr>
        <w:pStyle w:val="Compact"/>
        <w:numPr>
          <w:ilvl w:val="0"/>
          <w:numId w:val="5"/>
        </w:numPr>
        <w:rPr>
          <w:lang w:eastAsia="zh-CN"/>
        </w:rPr>
      </w:pPr>
      <w:r>
        <w:rPr>
          <w:lang w:eastAsia="zh-CN"/>
        </w:rPr>
        <w:t>遵守《打击洗钱条例》附表</w:t>
      </w:r>
      <w:r>
        <w:rPr>
          <w:lang w:eastAsia="zh-CN"/>
        </w:rPr>
        <w:t>2</w:t>
      </w:r>
      <w:r>
        <w:rPr>
          <w:lang w:eastAsia="zh-CN"/>
        </w:rPr>
        <w:t>中规定的打击洗钱及恐怖分子资金筹集规定；</w:t>
      </w:r>
    </w:p>
    <w:p w:rsidR="002252B5" w:rsidRDefault="00A07CD2">
      <w:pPr>
        <w:pStyle w:val="Compact"/>
        <w:numPr>
          <w:ilvl w:val="0"/>
          <w:numId w:val="5"/>
        </w:numPr>
        <w:rPr>
          <w:lang w:eastAsia="zh-CN"/>
        </w:rPr>
      </w:pPr>
      <w:r>
        <w:rPr>
          <w:lang w:eastAsia="zh-CN"/>
        </w:rPr>
        <w:t>委任一名合资格的合规主任和一名洗钱报告主任；</w:t>
      </w:r>
    </w:p>
    <w:p w:rsidR="002252B5" w:rsidRDefault="00A07CD2">
      <w:pPr>
        <w:pStyle w:val="Compact"/>
        <w:numPr>
          <w:ilvl w:val="0"/>
          <w:numId w:val="5"/>
        </w:numPr>
        <w:rPr>
          <w:lang w:eastAsia="zh-CN"/>
        </w:rPr>
      </w:pPr>
      <w:r>
        <w:rPr>
          <w:lang w:eastAsia="zh-CN"/>
        </w:rPr>
        <w:t>须建立良好的企业管治架构；</w:t>
      </w:r>
    </w:p>
    <w:p w:rsidR="002252B5" w:rsidRDefault="00A07CD2">
      <w:pPr>
        <w:pStyle w:val="Compact"/>
        <w:numPr>
          <w:ilvl w:val="0"/>
          <w:numId w:val="5"/>
        </w:numPr>
        <w:rPr>
          <w:lang w:eastAsia="zh-CN"/>
        </w:rPr>
      </w:pPr>
      <w:r>
        <w:rPr>
          <w:lang w:eastAsia="zh-CN"/>
        </w:rPr>
        <w:t>审慎和稳健的营运模式经营业务；</w:t>
      </w:r>
    </w:p>
    <w:p w:rsidR="002252B5" w:rsidRDefault="00A07CD2">
      <w:pPr>
        <w:pStyle w:val="Compact"/>
        <w:numPr>
          <w:ilvl w:val="0"/>
          <w:numId w:val="5"/>
        </w:numPr>
        <w:rPr>
          <w:lang w:eastAsia="zh-CN"/>
        </w:rPr>
      </w:pPr>
      <w:r>
        <w:rPr>
          <w:lang w:eastAsia="zh-CN"/>
        </w:rPr>
        <w:t>以诚实及公平态度，以适当技能、审慎及勤勉尽责，以及维护客户利益及市场稳健的方式行事；</w:t>
      </w:r>
    </w:p>
    <w:p w:rsidR="002252B5" w:rsidRDefault="00A07CD2">
      <w:pPr>
        <w:pStyle w:val="Compact"/>
        <w:numPr>
          <w:ilvl w:val="0"/>
          <w:numId w:val="5"/>
        </w:numPr>
        <w:rPr>
          <w:lang w:eastAsia="zh-CN"/>
        </w:rPr>
      </w:pPr>
      <w:r>
        <w:rPr>
          <w:lang w:eastAsia="zh-CN"/>
        </w:rPr>
        <w:t>制定适当的风险管理政策和程序，以缓减其活动可产生的洗钱及恐怖分子资金筹集、网络安全和其他风险；及</w:t>
      </w:r>
    </w:p>
    <w:p w:rsidR="002252B5" w:rsidRDefault="00A07CD2">
      <w:pPr>
        <w:pStyle w:val="Compact"/>
        <w:numPr>
          <w:ilvl w:val="0"/>
          <w:numId w:val="5"/>
        </w:numPr>
        <w:rPr>
          <w:lang w:eastAsia="zh-CN"/>
        </w:rPr>
      </w:pPr>
      <w:r>
        <w:rPr>
          <w:lang w:eastAsia="zh-CN"/>
        </w:rPr>
        <w:t>备存交易和资金流向记录。</w:t>
      </w:r>
    </w:p>
    <w:p w:rsidR="002252B5" w:rsidRDefault="00A07CD2">
      <w:pPr>
        <w:pStyle w:val="FirstParagraph"/>
        <w:rPr>
          <w:lang w:eastAsia="zh-CN"/>
        </w:rPr>
      </w:pPr>
      <w:r>
        <w:rPr>
          <w:lang w:eastAsia="zh-CN"/>
        </w:rPr>
        <w:t>牌照期限</w:t>
      </w:r>
    </w:p>
    <w:p w:rsidR="002252B5" w:rsidRDefault="00A07CD2">
      <w:pPr>
        <w:pStyle w:val="BodyText"/>
        <w:rPr>
          <w:lang w:eastAsia="zh-CN"/>
        </w:rPr>
      </w:pPr>
      <w:r>
        <w:rPr>
          <w:lang w:eastAsia="zh-CN"/>
        </w:rPr>
        <w:t>为配合虚拟资产市场的不断变化，财经事务及库务局建议牌照的首期为两年，并可在向海关关长提出申请及获得批准后，再延长两年。这可让海关关长定期监察持牌人的能力和有效经营业务的能力。</w:t>
      </w:r>
    </w:p>
    <w:p w:rsidR="002252B5" w:rsidRDefault="00A07CD2">
      <w:pPr>
        <w:pStyle w:val="BodyText"/>
        <w:rPr>
          <w:lang w:eastAsia="zh-CN"/>
        </w:rPr>
      </w:pPr>
      <w:r>
        <w:rPr>
          <w:lang w:eastAsia="zh-CN"/>
        </w:rPr>
        <w:t>过渡期选择</w:t>
      </w:r>
    </w:p>
    <w:p w:rsidR="002252B5" w:rsidRDefault="00A07CD2">
      <w:pPr>
        <w:pStyle w:val="BodyText"/>
        <w:rPr>
          <w:lang w:eastAsia="zh-CN"/>
        </w:rPr>
      </w:pPr>
      <w:r>
        <w:rPr>
          <w:lang w:eastAsia="zh-CN"/>
        </w:rPr>
        <w:t>财务事务及库务局建议，在已在香港经营的虚拟资产场外交易业务实施新的发牌制度前，给予六个月的过渡期。它正在就两个备选方案征求意见：</w:t>
      </w:r>
    </w:p>
    <w:p w:rsidR="002252B5" w:rsidRDefault="00A07CD2">
      <w:pPr>
        <w:pStyle w:val="BodyText"/>
        <w:rPr>
          <w:lang w:eastAsia="zh-CN"/>
        </w:rPr>
      </w:pPr>
      <w:r>
        <w:rPr>
          <w:b/>
          <w:i/>
          <w:lang w:eastAsia="zh-CN"/>
        </w:rPr>
        <w:t>方案</w:t>
      </w:r>
      <w:r>
        <w:rPr>
          <w:b/>
          <w:i/>
          <w:lang w:eastAsia="zh-CN"/>
        </w:rPr>
        <w:t>1–</w:t>
      </w:r>
      <w:r>
        <w:rPr>
          <w:b/>
          <w:i/>
          <w:lang w:eastAsia="zh-CN"/>
        </w:rPr>
        <w:t>不设「被当作已获发牌」安排</w:t>
      </w:r>
    </w:p>
    <w:p w:rsidR="002252B5" w:rsidRDefault="00A07CD2">
      <w:pPr>
        <w:pStyle w:val="BodyText"/>
        <w:rPr>
          <w:lang w:eastAsia="zh-CN"/>
        </w:rPr>
      </w:pPr>
      <w:r>
        <w:rPr>
          <w:lang w:eastAsia="zh-CN"/>
        </w:rPr>
        <w:t>在方案</w:t>
      </w:r>
      <w:r>
        <w:rPr>
          <w:lang w:eastAsia="zh-CN"/>
        </w:rPr>
        <w:t>1</w:t>
      </w:r>
      <w:r>
        <w:rPr>
          <w:lang w:eastAsia="zh-CN"/>
        </w:rPr>
        <w:t>下，现有的虚拟资产场外交易提供者可在六个月的过渡期内继续经营，但须在过渡期内的首三个月内向海关关长提交牌照申请。如果他们不能做到这一点，他们将需要在过</w:t>
      </w:r>
      <w:r>
        <w:rPr>
          <w:lang w:eastAsia="zh-CN"/>
        </w:rPr>
        <w:t>渡期生效后第四个月底前有序结束其业务。</w:t>
      </w:r>
    </w:p>
    <w:p w:rsidR="002252B5" w:rsidRDefault="00A07CD2">
      <w:pPr>
        <w:pStyle w:val="BodyText"/>
        <w:rPr>
          <w:lang w:eastAsia="zh-CN"/>
        </w:rPr>
      </w:pPr>
      <w:r>
        <w:rPr>
          <w:b/>
          <w:i/>
          <w:lang w:eastAsia="zh-CN"/>
        </w:rPr>
        <w:t>方案</w:t>
      </w:r>
      <w:r>
        <w:rPr>
          <w:b/>
          <w:i/>
          <w:lang w:eastAsia="zh-CN"/>
        </w:rPr>
        <w:t xml:space="preserve">2 – </w:t>
      </w:r>
      <w:r>
        <w:rPr>
          <w:b/>
          <w:i/>
          <w:lang w:eastAsia="zh-CN"/>
        </w:rPr>
        <w:t>设有「被当作已获发牌」安排</w:t>
      </w:r>
    </w:p>
    <w:p w:rsidR="002252B5" w:rsidRDefault="00A07CD2">
      <w:pPr>
        <w:pStyle w:val="BodyText"/>
        <w:rPr>
          <w:lang w:eastAsia="zh-CN"/>
        </w:rPr>
      </w:pPr>
      <w:r>
        <w:rPr>
          <w:lang w:eastAsia="zh-CN"/>
        </w:rPr>
        <w:lastRenderedPageBreak/>
        <w:t>与方案</w:t>
      </w:r>
      <w:r>
        <w:rPr>
          <w:lang w:eastAsia="zh-CN"/>
        </w:rPr>
        <w:t>1</w:t>
      </w:r>
      <w:r>
        <w:rPr>
          <w:lang w:eastAsia="zh-CN"/>
        </w:rPr>
        <w:t>相若，现有的虚拟资产场外交易服务提供者可在六个月的过渡期内继续经营，并须在过渡期内的首三个月内向海关关长提交牌照申请。符合发牌规定的申请人会获发「被当作的牌照」，以在过渡期结束后的期间继续营运，直至海关关长就有关牌照申请作出最终决定。</w:t>
      </w:r>
    </w:p>
    <w:p w:rsidR="002252B5" w:rsidRDefault="00A07CD2">
      <w:pPr>
        <w:pStyle w:val="BodyText"/>
        <w:rPr>
          <w:lang w:eastAsia="zh-CN"/>
        </w:rPr>
      </w:pPr>
      <w:r>
        <w:rPr>
          <w:lang w:eastAsia="zh-CN"/>
        </w:rPr>
        <w:t>禁止推广活动</w:t>
      </w:r>
    </w:p>
    <w:p w:rsidR="002252B5" w:rsidRDefault="00A07CD2">
      <w:pPr>
        <w:pStyle w:val="BodyText"/>
        <w:rPr>
          <w:lang w:eastAsia="zh-CN"/>
        </w:rPr>
      </w:pPr>
      <w:r>
        <w:rPr>
          <w:lang w:eastAsia="zh-CN"/>
        </w:rPr>
        <w:t>与虚拟资产交易平台发牌制度类似，财务事务及库务局建议禁止在香港或其他地方向香港公众积极推广虚拟资产交易平台场外交易服务，除非有关人士持有虚拟资产场外交易服务提供者的有效牌照。</w:t>
      </w:r>
    </w:p>
    <w:p w:rsidR="002252B5" w:rsidRDefault="00A07CD2">
      <w:pPr>
        <w:pStyle w:val="BodyText"/>
        <w:rPr>
          <w:lang w:eastAsia="zh-CN"/>
        </w:rPr>
      </w:pPr>
      <w:r>
        <w:rPr>
          <w:lang w:eastAsia="zh-CN"/>
        </w:rPr>
        <w:t>海关关长的权利</w:t>
      </w:r>
    </w:p>
    <w:p w:rsidR="002252B5" w:rsidRDefault="00A07CD2">
      <w:pPr>
        <w:pStyle w:val="BodyText"/>
        <w:rPr>
          <w:lang w:eastAsia="zh-CN"/>
        </w:rPr>
      </w:pPr>
      <w:r>
        <w:rPr>
          <w:lang w:eastAsia="zh-CN"/>
        </w:rPr>
        <w:t>海关关长将作为虚拟资产场外交易发牌机构，并有权：</w:t>
      </w:r>
    </w:p>
    <w:p w:rsidR="002252B5" w:rsidRDefault="00A07CD2">
      <w:pPr>
        <w:pStyle w:val="Compact"/>
        <w:numPr>
          <w:ilvl w:val="0"/>
          <w:numId w:val="6"/>
        </w:numPr>
        <w:rPr>
          <w:lang w:eastAsia="zh-CN"/>
        </w:rPr>
      </w:pPr>
      <w:r>
        <w:rPr>
          <w:lang w:eastAsia="zh-CN"/>
        </w:rPr>
        <w:t>获赋权施加发牌条件，增补、更改或修订现有条件；</w:t>
      </w:r>
    </w:p>
    <w:p w:rsidR="002252B5" w:rsidRDefault="00A07CD2">
      <w:pPr>
        <w:pStyle w:val="Compact"/>
        <w:numPr>
          <w:ilvl w:val="0"/>
          <w:numId w:val="6"/>
        </w:numPr>
        <w:rPr>
          <w:lang w:eastAsia="zh-CN"/>
        </w:rPr>
      </w:pPr>
      <w:r>
        <w:rPr>
          <w:lang w:eastAsia="zh-CN"/>
        </w:rPr>
        <w:t>监督虚拟资产场外交易持牌人在打击洗钱及恐怖分子资金筹集方面的合规情况；</w:t>
      </w:r>
    </w:p>
    <w:p w:rsidR="002252B5" w:rsidRDefault="00A07CD2">
      <w:pPr>
        <w:pStyle w:val="Compact"/>
        <w:numPr>
          <w:ilvl w:val="0"/>
          <w:numId w:val="6"/>
        </w:numPr>
        <w:rPr>
          <w:lang w:eastAsia="zh-CN"/>
        </w:rPr>
      </w:pPr>
      <w:r>
        <w:rPr>
          <w:lang w:eastAsia="zh-CN"/>
        </w:rPr>
        <w:t>以及执行其他法定和规管要求；</w:t>
      </w:r>
    </w:p>
    <w:p w:rsidR="002252B5" w:rsidRDefault="00A07CD2">
      <w:pPr>
        <w:pStyle w:val="Compact"/>
        <w:numPr>
          <w:ilvl w:val="0"/>
          <w:numId w:val="6"/>
        </w:numPr>
        <w:rPr>
          <w:lang w:eastAsia="zh-CN"/>
        </w:rPr>
      </w:pPr>
      <w:r>
        <w:rPr>
          <w:lang w:eastAsia="zh-CN"/>
        </w:rPr>
        <w:t>有权进入持牌人的业务处所作例行视察；</w:t>
      </w:r>
    </w:p>
    <w:p w:rsidR="002252B5" w:rsidRDefault="00A07CD2">
      <w:pPr>
        <w:pStyle w:val="Compact"/>
        <w:numPr>
          <w:ilvl w:val="0"/>
          <w:numId w:val="6"/>
        </w:numPr>
        <w:rPr>
          <w:lang w:eastAsia="zh-CN"/>
        </w:rPr>
      </w:pPr>
      <w:r>
        <w:rPr>
          <w:lang w:eastAsia="zh-CN"/>
        </w:rPr>
        <w:t>调查涉嫌违规情况和移走犯罪证据；</w:t>
      </w:r>
    </w:p>
    <w:p w:rsidR="002252B5" w:rsidRDefault="00A07CD2">
      <w:pPr>
        <w:pStyle w:val="Compact"/>
        <w:numPr>
          <w:ilvl w:val="0"/>
          <w:numId w:val="6"/>
        </w:numPr>
      </w:pPr>
      <w:r>
        <w:t>作出拘捕和搜查；及</w:t>
      </w:r>
    </w:p>
    <w:p w:rsidR="002252B5" w:rsidRDefault="00A07CD2">
      <w:pPr>
        <w:pStyle w:val="Compact"/>
        <w:numPr>
          <w:ilvl w:val="0"/>
          <w:numId w:val="6"/>
        </w:numPr>
        <w:rPr>
          <w:lang w:eastAsia="zh-CN"/>
        </w:rPr>
      </w:pPr>
      <w:r>
        <w:rPr>
          <w:lang w:eastAsia="zh-CN"/>
        </w:rPr>
        <w:t>对违规行为施加纪律处分。</w:t>
      </w:r>
    </w:p>
    <w:p w:rsidR="002252B5" w:rsidRDefault="00A07CD2">
      <w:pPr>
        <w:pStyle w:val="FirstParagraph"/>
        <w:rPr>
          <w:lang w:eastAsia="zh-CN"/>
        </w:rPr>
      </w:pPr>
      <w:r>
        <w:rPr>
          <w:lang w:eastAsia="zh-CN"/>
        </w:rPr>
        <w:t>罚则</w:t>
      </w:r>
    </w:p>
    <w:p w:rsidR="002252B5" w:rsidRDefault="00A07CD2">
      <w:pPr>
        <w:pStyle w:val="BodyText"/>
        <w:rPr>
          <w:lang w:eastAsia="zh-CN"/>
        </w:rPr>
      </w:pPr>
      <w:r>
        <w:rPr>
          <w:lang w:eastAsia="zh-CN"/>
        </w:rPr>
        <w:t>根据罪行的性质和严重程度，建议的罚则大致如下：</w:t>
      </w:r>
    </w:p>
    <w:tbl>
      <w:tblPr>
        <w:tblW w:w="5000" w:type="pct"/>
        <w:tblLook w:val="07C0" w:firstRow="0" w:lastRow="1" w:firstColumn="1" w:lastColumn="1" w:noHBand="1" w:noVBand="1"/>
      </w:tblPr>
      <w:tblGrid>
        <w:gridCol w:w="5932"/>
        <w:gridCol w:w="4462"/>
      </w:tblGrid>
      <w:tr w:rsidR="002252B5">
        <w:tc>
          <w:tcPr>
            <w:tcW w:w="0" w:type="auto"/>
          </w:tcPr>
          <w:p w:rsidR="002252B5" w:rsidRDefault="00A07CD2">
            <w:r>
              <w:rPr>
                <w:b/>
              </w:rPr>
              <w:t>罪行</w:t>
            </w:r>
          </w:p>
        </w:tc>
        <w:tc>
          <w:tcPr>
            <w:tcW w:w="0" w:type="auto"/>
          </w:tcPr>
          <w:p w:rsidR="002252B5" w:rsidRDefault="00A07CD2">
            <w:r>
              <w:rPr>
                <w:b/>
              </w:rPr>
              <w:t>建议罚款</w:t>
            </w:r>
          </w:p>
        </w:tc>
      </w:tr>
      <w:tr w:rsidR="002252B5">
        <w:tc>
          <w:tcPr>
            <w:tcW w:w="0" w:type="auto"/>
          </w:tcPr>
          <w:p w:rsidR="002252B5" w:rsidRDefault="00A07CD2">
            <w:pPr>
              <w:rPr>
                <w:lang w:eastAsia="zh-CN"/>
              </w:rPr>
            </w:pPr>
            <w:r>
              <w:rPr>
                <w:lang w:eastAsia="zh-CN"/>
              </w:rPr>
              <w:t>无牌照进行受规管活动的人士</w:t>
            </w:r>
          </w:p>
        </w:tc>
        <w:tc>
          <w:tcPr>
            <w:tcW w:w="0" w:type="auto"/>
          </w:tcPr>
          <w:p w:rsidR="002252B5" w:rsidRDefault="00A07CD2">
            <w:pPr>
              <w:rPr>
                <w:lang w:eastAsia="zh-CN"/>
              </w:rPr>
            </w:pPr>
            <w:r>
              <w:rPr>
                <w:lang w:eastAsia="zh-CN"/>
              </w:rPr>
              <w:t>罚款港币一百万元及监禁两年</w:t>
            </w:r>
          </w:p>
        </w:tc>
      </w:tr>
      <w:tr w:rsidR="002252B5">
        <w:tc>
          <w:tcPr>
            <w:tcW w:w="0" w:type="auto"/>
          </w:tcPr>
          <w:p w:rsidR="002252B5" w:rsidRDefault="00A07CD2">
            <w:pPr>
              <w:rPr>
                <w:lang w:eastAsia="zh-CN"/>
              </w:rPr>
            </w:pPr>
            <w:r>
              <w:rPr>
                <w:lang w:eastAsia="zh-CN"/>
              </w:rPr>
              <w:t>明知而发出关于非持牌人提供虚拟资产场外交易服务的广告</w:t>
            </w:r>
          </w:p>
        </w:tc>
        <w:tc>
          <w:tcPr>
            <w:tcW w:w="0" w:type="auto"/>
          </w:tcPr>
          <w:p w:rsidR="002252B5" w:rsidRDefault="00A07CD2">
            <w:pPr>
              <w:rPr>
                <w:lang w:eastAsia="zh-CN"/>
              </w:rPr>
            </w:pPr>
            <w:r>
              <w:rPr>
                <w:lang w:eastAsia="zh-CN"/>
              </w:rPr>
              <w:t>第</w:t>
            </w:r>
            <w:r>
              <w:rPr>
                <w:lang w:eastAsia="zh-CN"/>
              </w:rPr>
              <w:t>5</w:t>
            </w:r>
            <w:r>
              <w:rPr>
                <w:lang w:eastAsia="zh-CN"/>
              </w:rPr>
              <w:t>级罚款及监禁六个月</w:t>
            </w:r>
          </w:p>
        </w:tc>
      </w:tr>
      <w:tr w:rsidR="002252B5">
        <w:tc>
          <w:tcPr>
            <w:tcW w:w="0" w:type="auto"/>
          </w:tcPr>
          <w:p w:rsidR="002252B5" w:rsidRDefault="00A07CD2">
            <w:pPr>
              <w:rPr>
                <w:lang w:eastAsia="zh-CN"/>
              </w:rPr>
            </w:pPr>
            <w:r>
              <w:rPr>
                <w:lang w:eastAsia="zh-CN"/>
              </w:rPr>
              <w:t>违反法定的打击洗钱及恐怖分子资金筹集规定</w:t>
            </w:r>
          </w:p>
        </w:tc>
        <w:tc>
          <w:tcPr>
            <w:tcW w:w="0" w:type="auto"/>
          </w:tcPr>
          <w:p w:rsidR="002252B5" w:rsidRDefault="00A07CD2">
            <w:pPr>
              <w:rPr>
                <w:lang w:eastAsia="zh-CN"/>
              </w:rPr>
            </w:pPr>
            <w:r>
              <w:rPr>
                <w:lang w:eastAsia="zh-CN"/>
              </w:rPr>
              <w:t>罚款港币一百万元及监禁两年</w:t>
            </w:r>
          </w:p>
        </w:tc>
      </w:tr>
      <w:tr w:rsidR="002252B5">
        <w:tc>
          <w:tcPr>
            <w:tcW w:w="0" w:type="auto"/>
          </w:tcPr>
          <w:p w:rsidR="002252B5" w:rsidRDefault="00A07CD2">
            <w:pPr>
              <w:rPr>
                <w:lang w:eastAsia="zh-CN"/>
              </w:rPr>
            </w:pPr>
            <w:r>
              <w:rPr>
                <w:lang w:eastAsia="zh-CN"/>
              </w:rPr>
              <w:t>作出不当行为</w:t>
            </w:r>
            <w:r>
              <w:rPr>
                <w:lang w:eastAsia="zh-CN"/>
              </w:rPr>
              <w:t xml:space="preserve"> (</w:t>
            </w:r>
            <w:r>
              <w:rPr>
                <w:lang w:eastAsia="zh-CN"/>
              </w:rPr>
              <w:t>例如违反其他规管要求</w:t>
            </w:r>
            <w:r>
              <w:rPr>
                <w:lang w:eastAsia="zh-CN"/>
              </w:rPr>
              <w:t xml:space="preserve"> )</w:t>
            </w:r>
          </w:p>
        </w:tc>
        <w:tc>
          <w:tcPr>
            <w:tcW w:w="0" w:type="auto"/>
          </w:tcPr>
          <w:p w:rsidR="002252B5" w:rsidRDefault="00A07CD2">
            <w:pPr>
              <w:rPr>
                <w:lang w:eastAsia="zh-CN"/>
              </w:rPr>
            </w:pPr>
            <w:r>
              <w:rPr>
                <w:lang w:eastAsia="zh-CN"/>
              </w:rPr>
              <w:t>暂时吊销或撤销牌照、谴责、勒令作出纠正，以及／或罚款</w:t>
            </w:r>
            <w:r>
              <w:rPr>
                <w:lang w:eastAsia="zh-CN"/>
              </w:rPr>
              <w:t xml:space="preserve"> (</w:t>
            </w:r>
            <w:r>
              <w:rPr>
                <w:lang w:eastAsia="zh-CN"/>
              </w:rPr>
              <w:t>不多于港币</w:t>
            </w:r>
            <w:r>
              <w:rPr>
                <w:lang w:eastAsia="zh-CN"/>
              </w:rPr>
              <w:t>50</w:t>
            </w:r>
            <w:r>
              <w:rPr>
                <w:lang w:eastAsia="zh-CN"/>
              </w:rPr>
              <w:t>万元</w:t>
            </w:r>
            <w:r>
              <w:rPr>
                <w:lang w:eastAsia="zh-CN"/>
              </w:rPr>
              <w:t>)</w:t>
            </w:r>
          </w:p>
        </w:tc>
      </w:tr>
      <w:tr w:rsidR="002252B5">
        <w:tc>
          <w:tcPr>
            <w:tcW w:w="0" w:type="auto"/>
          </w:tcPr>
          <w:p w:rsidR="002252B5" w:rsidRDefault="00A07CD2">
            <w:pPr>
              <w:rPr>
                <w:lang w:eastAsia="zh-CN"/>
              </w:rPr>
            </w:pPr>
            <w:r>
              <w:rPr>
                <w:lang w:eastAsia="zh-CN"/>
              </w:rPr>
              <w:t>在涉及虚拟资产的交易中作出欺诈或欺骗行为</w:t>
            </w:r>
          </w:p>
        </w:tc>
        <w:tc>
          <w:tcPr>
            <w:tcW w:w="0" w:type="auto"/>
          </w:tcPr>
          <w:p w:rsidR="002252B5" w:rsidRDefault="00A07CD2">
            <w:pPr>
              <w:rPr>
                <w:lang w:eastAsia="zh-CN"/>
              </w:rPr>
            </w:pPr>
            <w:r>
              <w:rPr>
                <w:lang w:eastAsia="zh-CN"/>
              </w:rPr>
              <w:t>罚款港币一千万元及监禁十年</w:t>
            </w:r>
          </w:p>
        </w:tc>
      </w:tr>
      <w:tr w:rsidR="002252B5">
        <w:tc>
          <w:tcPr>
            <w:tcW w:w="0" w:type="auto"/>
          </w:tcPr>
          <w:p w:rsidR="002252B5" w:rsidRDefault="00A07CD2">
            <w:pPr>
              <w:rPr>
                <w:lang w:eastAsia="zh-CN"/>
              </w:rPr>
            </w:pPr>
            <w:r>
              <w:rPr>
                <w:lang w:eastAsia="zh-CN"/>
              </w:rPr>
              <w:t>任何人作出欺诈或罔顾实情的失实陈述，藉以诱使他人进行涉及虚拟资产的交易</w:t>
            </w:r>
          </w:p>
        </w:tc>
        <w:tc>
          <w:tcPr>
            <w:tcW w:w="0" w:type="auto"/>
          </w:tcPr>
          <w:p w:rsidR="002252B5" w:rsidRDefault="00A07CD2">
            <w:pPr>
              <w:rPr>
                <w:lang w:eastAsia="zh-CN"/>
              </w:rPr>
            </w:pPr>
            <w:r>
              <w:rPr>
                <w:lang w:eastAsia="zh-CN"/>
              </w:rPr>
              <w:t>罚款港币一百万元及监禁七年</w:t>
            </w:r>
          </w:p>
        </w:tc>
      </w:tr>
    </w:tbl>
    <w:p w:rsidR="002252B5" w:rsidRDefault="00A07CD2">
      <w:pPr>
        <w:pStyle w:val="BodyText"/>
        <w:rPr>
          <w:lang w:eastAsia="zh-CN"/>
        </w:rPr>
      </w:pPr>
      <w:r>
        <w:rPr>
          <w:lang w:eastAsia="zh-CN"/>
        </w:rPr>
        <w:t>回应财经事务及库务局谘询</w:t>
      </w:r>
    </w:p>
    <w:p w:rsidR="002252B5" w:rsidRDefault="00A07CD2">
      <w:pPr>
        <w:pStyle w:val="BodyText"/>
      </w:pPr>
      <w:r>
        <w:t>有意参与谘询的人士，可于</w:t>
      </w:r>
      <w:r>
        <w:t>2024</w:t>
      </w:r>
      <w:r>
        <w:t>年</w:t>
      </w:r>
      <w:r>
        <w:t>4</w:t>
      </w:r>
      <w:r>
        <w:t>月</w:t>
      </w:r>
      <w:r>
        <w:t>12</w:t>
      </w:r>
      <w:r>
        <w:t>日或之前将书面意见送交</w:t>
      </w:r>
      <w:hyperlink r:id="rId9">
        <w:r>
          <w:t>vaotc-consult@fstb.gov.hk</w:t>
        </w:r>
      </w:hyperlink>
      <w:r>
        <w:t>或邮寄至香港中环添马添美道政府总部</w:t>
      </w:r>
      <w:r>
        <w:t>24</w:t>
      </w:r>
      <w:r>
        <w:t>樓财经事务及库务局财经事务科第五组。</w:t>
      </w:r>
    </w:p>
    <w:p w:rsidR="002252B5" w:rsidRDefault="00A07CD2">
      <w:pPr>
        <w:pStyle w:val="BodyText"/>
        <w:rPr>
          <w:lang w:eastAsia="zh-CN"/>
        </w:rPr>
      </w:pPr>
      <w:hyperlink w:anchor="footnote-598-1-backlink">
        <w:r>
          <w:rPr>
            <w:lang w:eastAsia="zh-CN"/>
          </w:rPr>
          <w:t>1</w:t>
        </w:r>
      </w:hyperlink>
      <w:r>
        <w:rPr>
          <w:lang w:eastAsia="zh-CN"/>
        </w:rPr>
        <w:t>《有关香港虚拟资产发展的政策宣言》。访问</w:t>
      </w:r>
      <w:r>
        <w:rPr>
          <w:lang w:eastAsia="zh-CN"/>
        </w:rPr>
        <w:t xml:space="preserve"> </w:t>
      </w:r>
      <w:hyperlink r:id="rId10">
        <w:r>
          <w:rPr>
            <w:lang w:eastAsia="zh-CN"/>
          </w:rPr>
          <w:t>P2022103000454_404805_1_1667173469522.pdf (info.gov.hk)</w:t>
        </w:r>
      </w:hyperlink>
    </w:p>
    <w:p w:rsidR="002252B5" w:rsidRDefault="00A07CD2">
      <w:pPr>
        <w:pStyle w:val="BodyText"/>
        <w:rPr>
          <w:lang w:eastAsia="zh-CN"/>
        </w:rPr>
      </w:pPr>
      <w:hyperlink w:anchor="footnote-598-2-backlink">
        <w:r>
          <w:rPr>
            <w:lang w:eastAsia="zh-CN"/>
          </w:rPr>
          <w:t>2</w:t>
        </w:r>
      </w:hyperlink>
      <w:r>
        <w:rPr>
          <w:lang w:eastAsia="zh-CN"/>
        </w:rPr>
        <w:t>虚拟资产交易平台清单。访问</w:t>
      </w:r>
      <w:bookmarkStart w:id="0" w:name="_GoBack"/>
      <w:bookmarkEnd w:id="0"/>
      <w:r>
        <w:fldChar w:fldCharType="begin"/>
      </w:r>
      <w:r>
        <w:rPr>
          <w:lang w:eastAsia="zh-CN"/>
        </w:rPr>
        <w:instrText xml:space="preserve"> HYPERLINK "https://www.sfc.hk/en/W</w:instrText>
      </w:r>
      <w:r>
        <w:rPr>
          <w:lang w:eastAsia="zh-CN"/>
        </w:rPr>
        <w:instrText xml:space="preserve">elcome-to-the-Fintech-Contact-Point/Virtual-assets/Virtual-asset-trading-platforms-operators/Lists-of-virtual-asset-trading-platforms" \h </w:instrText>
      </w:r>
      <w:r>
        <w:fldChar w:fldCharType="separate"/>
      </w:r>
      <w:r>
        <w:rPr>
          <w:lang w:eastAsia="zh-CN"/>
        </w:rPr>
        <w:t>https://www.sfc.hk/en/Welcome-to-the-Fintech-Contact-Point/Virtual-assets/Virtual-asset-trading-platforms-operators/L</w:t>
      </w:r>
      <w:r>
        <w:rPr>
          <w:lang w:eastAsia="zh-CN"/>
        </w:rPr>
        <w:t>ists-of-virtual-asset-trading-platforms</w:t>
      </w:r>
      <w:r>
        <w:fldChar w:fldCharType="end"/>
      </w:r>
      <w:r>
        <w:rPr>
          <w:lang w:eastAsia="zh-CN"/>
        </w:rPr>
        <w:t>.</w:t>
      </w:r>
    </w:p>
    <w:p w:rsidR="002252B5" w:rsidRDefault="00A07CD2">
      <w:pPr>
        <w:pStyle w:val="BodyText"/>
        <w:rPr>
          <w:lang w:eastAsia="zh-CN"/>
        </w:rPr>
      </w:pPr>
      <w:hyperlink w:anchor="footnote-598-3-backlink">
        <w:r>
          <w:rPr>
            <w:lang w:eastAsia="zh-CN"/>
          </w:rPr>
          <w:t>3</w:t>
        </w:r>
      </w:hyperlink>
      <w:r>
        <w:rPr>
          <w:lang w:eastAsia="zh-CN"/>
        </w:rPr>
        <w:t xml:space="preserve"> </w:t>
      </w:r>
      <w:r>
        <w:rPr>
          <w:lang w:eastAsia="zh-CN"/>
        </w:rPr>
        <w:t>《虚拟资产交易平台指引》第</w:t>
      </w:r>
      <w:r>
        <w:rPr>
          <w:lang w:eastAsia="zh-CN"/>
        </w:rPr>
        <w:t>7.7(b)</w:t>
      </w:r>
      <w:r>
        <w:rPr>
          <w:lang w:eastAsia="zh-CN"/>
        </w:rPr>
        <w:t>段。</w:t>
      </w:r>
    </w:p>
    <w:p w:rsidR="002252B5" w:rsidRDefault="00A07CD2">
      <w:pPr>
        <w:pStyle w:val="DisclaimerBold"/>
        <w:rPr>
          <w:lang w:eastAsia="zh-CN"/>
        </w:rPr>
      </w:pPr>
      <w:r>
        <w:rPr>
          <w:lang w:eastAsia="zh-CN"/>
        </w:rPr>
        <w:t>此法讯仅为提供相关资料信息之用，其内容并</w:t>
      </w:r>
    </w:p>
    <w:p w:rsidR="002252B5" w:rsidRDefault="00A07CD2">
      <w:pPr>
        <w:pStyle w:val="Disclaimer"/>
        <w:rPr>
          <w:lang w:eastAsia="zh-CN"/>
        </w:rPr>
      </w:pPr>
      <w:r>
        <w:rPr>
          <w:lang w:eastAsia="zh-CN"/>
        </w:rPr>
        <w:t>不构成法律建议及个案的法律分析。</w:t>
      </w:r>
    </w:p>
    <w:p w:rsidR="002252B5" w:rsidRDefault="00A07CD2">
      <w:pPr>
        <w:pStyle w:val="Disclaimer"/>
        <w:rPr>
          <w:lang w:eastAsia="zh-CN"/>
        </w:rPr>
      </w:pPr>
      <w:r>
        <w:rPr>
          <w:lang w:eastAsia="zh-CN"/>
        </w:rPr>
        <w:t>此法讯的发送并不是为了在易周律师行与用户或浏览者之间建立一种律师与客户之关系。</w:t>
      </w:r>
    </w:p>
    <w:p w:rsidR="002252B5" w:rsidRDefault="00A07CD2">
      <w:pPr>
        <w:pStyle w:val="Disclaimer"/>
        <w:rPr>
          <w:lang w:eastAsia="zh-CN"/>
        </w:rPr>
      </w:pPr>
      <w:r>
        <w:rPr>
          <w:lang w:eastAsia="zh-CN"/>
        </w:rPr>
        <w:t>易周律师行并不对可从互联网获得的任何第三方内容负责。</w:t>
      </w:r>
    </w:p>
    <w:p w:rsidR="002252B5" w:rsidRDefault="00A07CD2">
      <w:pPr>
        <w:pStyle w:val="Disclaimer"/>
        <w:rPr>
          <w:lang w:eastAsia="zh-CN"/>
        </w:rPr>
      </w:pPr>
      <w:r>
        <w:rPr>
          <w:lang w:eastAsia="zh-CN"/>
        </w:rPr>
        <w:t>如你不希望再收到易周法讯，请发送电邮至</w:t>
      </w:r>
      <w:r>
        <w:rPr>
          <w:lang w:eastAsia="zh-CN"/>
        </w:rPr>
        <w:t xml:space="preserve">  </w:t>
      </w:r>
      <w:hyperlink r:id="rId11">
        <w:r>
          <w:rPr>
            <w:lang w:eastAsia="zh-CN"/>
          </w:rPr>
          <w:t>unsubscribe@charltonslaw.com</w:t>
        </w:r>
      </w:hyperlink>
    </w:p>
    <w:p w:rsidR="002252B5" w:rsidRDefault="00A07CD2">
      <w:pPr>
        <w:pStyle w:val="BlackStrips"/>
      </w:pPr>
      <w:r>
        <w:t xml:space="preserve">Charltons - </w:t>
      </w:r>
      <w:r>
        <w:t>香港法律</w:t>
      </w:r>
      <w:r>
        <w:t xml:space="preserve"> - 2024</w:t>
      </w:r>
      <w:r>
        <w:t>年</w:t>
      </w:r>
      <w:r>
        <w:t>6</w:t>
      </w:r>
      <w:r>
        <w:t>月</w:t>
      </w:r>
      <w:r>
        <w:t>19</w:t>
      </w:r>
      <w:r>
        <w:t>日</w:t>
      </w:r>
    </w:p>
    <w:sectPr w:rsidR="002252B5">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07CD2">
      <w:pPr>
        <w:spacing w:after="0"/>
      </w:pPr>
      <w:r>
        <w:separator/>
      </w:r>
    </w:p>
  </w:endnote>
  <w:endnote w:type="continuationSeparator" w:id="0">
    <w:p w:rsidR="00000000" w:rsidRDefault="00A07CD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2B5" w:rsidRDefault="00A07CD2">
      <w:r>
        <w:separator/>
      </w:r>
    </w:p>
  </w:footnote>
  <w:footnote w:type="continuationSeparator" w:id="0">
    <w:p w:rsidR="002252B5" w:rsidRDefault="00A07C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FE42BBA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59DE2F5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7BD6292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 w:numId="4">
    <w:abstractNumId w:val="0"/>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2252B5"/>
    <w:rsid w:val="004E29B3"/>
    <w:rsid w:val="00590D07"/>
    <w:rsid w:val="00784D58"/>
    <w:rsid w:val="008D6863"/>
    <w:rsid w:val="00A07CD2"/>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8E48F"/>
  <w15:docId w15:val="{B3BEC262-C528-4F60-A227-057841769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tb.gov.hk/fsb/en/publication/consult/doc/VAOTC_consultation_paper_en.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arltonslaw.com.cn/xiang-gang-cai-jing-shi-wu-ji-ku-wu-ju-jiu-gui-guan-xu-ni-zi-chan-chang-wai-jiao-yi-de-li-fa-jian-yi-jin-xing-zi-xu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nsubscribe@charltonslaw.com?subject=unsubscribe%20-Hong%20Kong%20Law-" TargetMode="External"/><Relationship Id="rId5" Type="http://schemas.openxmlformats.org/officeDocument/2006/relationships/footnotes" Target="footnotes.xml"/><Relationship Id="rId10" Type="http://schemas.openxmlformats.org/officeDocument/2006/relationships/hyperlink" Target="https://gia.info.gov.hk/general/202210/31/P2022103000454_404805_1_1667173469522.pdf" TargetMode="External"/><Relationship Id="rId4" Type="http://schemas.openxmlformats.org/officeDocument/2006/relationships/webSettings" Target="webSettings.xml"/><Relationship Id="rId9" Type="http://schemas.openxmlformats.org/officeDocument/2006/relationships/hyperlink" Target="mailto:vaotc-consult@fstb.gov.h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Pages>
  <Words>652</Words>
  <Characters>3718</Characters>
  <Application>Microsoft Office Word</Application>
  <DocSecurity>0</DocSecurity>
  <Lines>30</Lines>
  <Paragraphs>8</Paragraphs>
  <ScaleCrop>false</ScaleCrop>
  <Company>Charltons</Company>
  <LinksUpToDate>false</LinksUpToDate>
  <CharactersWithSpaces>4362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Tails Kun Yin Xiang</cp:lastModifiedBy>
  <cp:revision>2</cp:revision>
  <dcterms:created xsi:type="dcterms:W3CDTF">2024-06-19T03:15:00Z</dcterms:created>
  <dcterms:modified xsi:type="dcterms:W3CDTF">2024-06-19T03:16:00Z</dcterms:modified>
</cp:coreProperties>
</file>