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D8F" w:rsidRDefault="009D6863">
      <w:pPr>
        <w:pStyle w:val="BlackStrips"/>
      </w:pPr>
      <w:r>
        <w:t xml:space="preserve">Charltons - </w:t>
      </w:r>
      <w:r>
        <w:t>香港法律</w:t>
      </w:r>
      <w:r>
        <w:t xml:space="preserve"> - 2024</w:t>
      </w:r>
      <w:r>
        <w:t>年</w:t>
      </w:r>
      <w:r>
        <w:t>9</w:t>
      </w:r>
      <w:r>
        <w:t>月</w:t>
      </w:r>
      <w:r>
        <w:t>10</w:t>
      </w:r>
      <w:r>
        <w:t>日</w:t>
      </w:r>
    </w:p>
    <w:p w:rsidR="009E1D8F" w:rsidRDefault="009D6863">
      <w:pPr>
        <w:pStyle w:val="ReadOnline"/>
        <w:rPr>
          <w:lang w:eastAsia="zh-CN"/>
        </w:rPr>
      </w:pPr>
      <w:hyperlink r:id="rId7">
        <w:r>
          <w:rPr>
            <w:lang w:eastAsia="zh-CN"/>
          </w:rPr>
          <w:t>online version</w:t>
        </w:r>
      </w:hyperlink>
    </w:p>
    <w:p w:rsidR="009E1D8F" w:rsidRDefault="009D6863">
      <w:pPr>
        <w:pStyle w:val="Title"/>
        <w:rPr>
          <w:lang w:eastAsia="zh-CN"/>
        </w:rPr>
      </w:pPr>
      <w:r>
        <w:rPr>
          <w:lang w:eastAsia="zh-CN"/>
        </w:rPr>
        <w:t>香港证监会</w:t>
      </w:r>
      <w:r>
        <w:rPr>
          <w:lang w:eastAsia="zh-CN"/>
        </w:rPr>
        <w:t>/</w:t>
      </w:r>
      <w:r>
        <w:rPr>
          <w:lang w:eastAsia="zh-CN"/>
        </w:rPr>
        <w:t>金管局向高端专业投资者提供新的合理适当建议的责任</w:t>
      </w:r>
    </w:p>
    <w:p w:rsidR="009E1D8F" w:rsidRDefault="009D6863">
      <w:pPr>
        <w:pStyle w:val="FirstParagraph"/>
      </w:pPr>
      <w:r>
        <w:rPr>
          <w:lang w:eastAsia="zh-CN"/>
        </w:rPr>
        <w:t>香港证券及期货事务监察委员会（</w:t>
      </w:r>
      <w:r>
        <w:rPr>
          <w:b/>
          <w:lang w:eastAsia="zh-CN"/>
        </w:rPr>
        <w:t>证监会</w:t>
      </w:r>
      <w:r>
        <w:rPr>
          <w:lang w:eastAsia="zh-CN"/>
        </w:rPr>
        <w:t>）及香港金融管理局（</w:t>
      </w:r>
      <w:r>
        <w:rPr>
          <w:b/>
          <w:lang w:eastAsia="zh-CN"/>
        </w:rPr>
        <w:t>金管局</w:t>
      </w:r>
      <w:r>
        <w:rPr>
          <w:lang w:eastAsia="zh-CN"/>
        </w:rPr>
        <w:t>）刊发了一份联合通函，列出持牌中介人在遵守向具备高资产净值及丰富知识或经验的高端专业投资者提供合理适当建议的责任时可采纳的一项新的精简程序。该精简程序载列于</w:t>
      </w:r>
      <w:r>
        <w:rPr>
          <w:lang w:eastAsia="zh-CN"/>
        </w:rPr>
        <w:t>2023</w:t>
      </w:r>
      <w:r>
        <w:rPr>
          <w:lang w:eastAsia="zh-CN"/>
        </w:rPr>
        <w:t>年</w:t>
      </w:r>
      <w:r>
        <w:rPr>
          <w:lang w:eastAsia="zh-CN"/>
        </w:rPr>
        <w:t>7</w:t>
      </w:r>
      <w:r>
        <w:rPr>
          <w:lang w:eastAsia="zh-CN"/>
        </w:rPr>
        <w:t>月</w:t>
      </w:r>
      <w:r>
        <w:rPr>
          <w:lang w:eastAsia="zh-CN"/>
        </w:rPr>
        <w:t>28</w:t>
      </w:r>
      <w:r>
        <w:rPr>
          <w:lang w:eastAsia="zh-CN"/>
        </w:rPr>
        <w:t>日刊发的证监会及金管局</w:t>
      </w:r>
      <w:hyperlink r:id="rId8">
        <w:r>
          <w:rPr>
            <w:lang w:eastAsia="zh-CN"/>
          </w:rPr>
          <w:t>《致中介人的联合通函：有关中介人为遵守向高端</w:t>
        </w:r>
        <w:r>
          <w:rPr>
            <w:lang w:eastAsia="zh-CN"/>
          </w:rPr>
          <w:t>专业投资者提供合理适当建议的责任的精简程序》</w:t>
        </w:r>
      </w:hyperlink>
      <w:hyperlink w:anchor="footnote-598-1">
        <w:r>
          <w:rPr>
            <w:vertAlign w:val="superscript"/>
            <w:lang w:eastAsia="zh-CN"/>
          </w:rPr>
          <w:t>1</w:t>
        </w:r>
      </w:hyperlink>
      <w:r>
        <w:rPr>
          <w:lang w:eastAsia="zh-CN"/>
        </w:rPr>
        <w:t>（</w:t>
      </w:r>
      <w:r>
        <w:rPr>
          <w:b/>
          <w:lang w:eastAsia="zh-CN"/>
        </w:rPr>
        <w:t>有关高端专业投资者适当建议的联合通函</w:t>
      </w:r>
      <w:r>
        <w:rPr>
          <w:lang w:eastAsia="zh-CN"/>
        </w:rPr>
        <w:t>）及</w:t>
      </w:r>
      <w:hyperlink r:id="rId9">
        <w:r>
          <w:rPr>
            <w:lang w:eastAsia="zh-CN"/>
          </w:rPr>
          <w:t>《有关中介人为遵守向高端专业投资者提供合理适当建议的责任</w:t>
        </w:r>
        <w:r>
          <w:rPr>
            <w:lang w:eastAsia="zh-CN"/>
          </w:rPr>
          <w:t>的精简程序的</w:t>
        </w:r>
        <w:r>
          <w:rPr>
            <w:lang w:eastAsia="zh-CN"/>
          </w:rPr>
          <w:t>&lt;</w:t>
        </w:r>
        <w:r>
          <w:rPr>
            <w:lang w:eastAsia="zh-CN"/>
          </w:rPr>
          <w:t>常见问题</w:t>
        </w:r>
        <w:r>
          <w:rPr>
            <w:lang w:eastAsia="zh-CN"/>
          </w:rPr>
          <w:t>&gt;</w:t>
        </w:r>
        <w:r>
          <w:rPr>
            <w:lang w:eastAsia="zh-CN"/>
          </w:rPr>
          <w:t>》</w:t>
        </w:r>
      </w:hyperlink>
      <w:r>
        <w:rPr>
          <w:lang w:eastAsia="zh-CN"/>
        </w:rPr>
        <w:t>中。</w:t>
      </w:r>
      <w:hyperlink w:anchor="footnote-598-2">
        <w:r>
          <w:rPr>
            <w:vertAlign w:val="superscript"/>
          </w:rPr>
          <w:t>2</w:t>
        </w:r>
      </w:hyperlink>
    </w:p>
    <w:p w:rsidR="009E1D8F" w:rsidRPr="009D6863" w:rsidRDefault="009D6863">
      <w:pPr>
        <w:pStyle w:val="BodyText"/>
        <w:rPr>
          <w:b/>
          <w:color w:val="FF0000"/>
          <w:lang w:eastAsia="zh-CN"/>
        </w:rPr>
      </w:pPr>
      <w:r w:rsidRPr="009D6863">
        <w:rPr>
          <w:b/>
          <w:color w:val="FF0000"/>
          <w:lang w:eastAsia="zh-CN"/>
        </w:rPr>
        <w:t>获证监会发牌及在证监会注册中介人的提供合理适当建议的责任</w:t>
      </w:r>
    </w:p>
    <w:p w:rsidR="009E1D8F" w:rsidRDefault="009D6863">
      <w:pPr>
        <w:pStyle w:val="BodyText"/>
      </w:pPr>
      <w:r>
        <w:rPr>
          <w:lang w:eastAsia="zh-CN"/>
        </w:rPr>
        <w:t>获证监会发牌或在证监会注册开展《证券及期货条例》（</w:t>
      </w:r>
      <w:r>
        <w:rPr>
          <w:b/>
          <w:lang w:eastAsia="zh-CN"/>
        </w:rPr>
        <w:t>SFO</w:t>
      </w:r>
      <w:r>
        <w:rPr>
          <w:lang w:eastAsia="zh-CN"/>
        </w:rPr>
        <w:t>）下规定受规管活动的实体（</w:t>
      </w:r>
      <w:r>
        <w:rPr>
          <w:b/>
          <w:lang w:eastAsia="zh-CN"/>
        </w:rPr>
        <w:t>持牌中介人</w:t>
      </w:r>
      <w:r>
        <w:rPr>
          <w:lang w:eastAsia="zh-CN"/>
        </w:rPr>
        <w:t>）须遵守证监会《证券及期货事务监察委员会持牌人或注册人操守准则》（</w:t>
      </w:r>
      <w:r>
        <w:rPr>
          <w:b/>
          <w:lang w:eastAsia="zh-CN"/>
        </w:rPr>
        <w:t>证监会操守准则</w:t>
      </w:r>
      <w:r>
        <w:rPr>
          <w:lang w:eastAsia="zh-CN"/>
        </w:rPr>
        <w:t>）第</w:t>
      </w:r>
      <w:r>
        <w:rPr>
          <w:lang w:eastAsia="zh-CN"/>
        </w:rPr>
        <w:t>5.2</w:t>
      </w:r>
      <w:r>
        <w:rPr>
          <w:lang w:eastAsia="zh-CN"/>
        </w:rPr>
        <w:t>及</w:t>
      </w:r>
      <w:r>
        <w:rPr>
          <w:lang w:eastAsia="zh-CN"/>
        </w:rPr>
        <w:t>5.5(a)</w:t>
      </w:r>
      <w:r>
        <w:rPr>
          <w:lang w:eastAsia="zh-CN"/>
        </w:rPr>
        <w:t>段所载的提供合理适当建议的责任。</w:t>
      </w:r>
      <w:r>
        <w:t>该等段落下规定的持牌中介人责任是应：</w:t>
      </w:r>
    </w:p>
    <w:p w:rsidR="009E1D8F" w:rsidRDefault="009D6863">
      <w:pPr>
        <w:pStyle w:val="Compact"/>
        <w:numPr>
          <w:ilvl w:val="0"/>
          <w:numId w:val="3"/>
        </w:numPr>
        <w:rPr>
          <w:lang w:eastAsia="zh-CN"/>
        </w:rPr>
      </w:pPr>
      <w:r>
        <w:rPr>
          <w:lang w:eastAsia="zh-CN"/>
        </w:rPr>
        <w:t>确保该持牌中介人作出的建议或招揽行为，在考虑到持牌中介人透过尽职审查知悉或应知悉</w:t>
      </w:r>
      <w:r>
        <w:rPr>
          <w:lang w:eastAsia="zh-CN"/>
        </w:rPr>
        <w:t>的资料的情况下，合理适合该特定客户（第</w:t>
      </w:r>
      <w:r>
        <w:rPr>
          <w:lang w:eastAsia="zh-CN"/>
        </w:rPr>
        <w:t>5.2</w:t>
      </w:r>
      <w:r>
        <w:rPr>
          <w:lang w:eastAsia="zh-CN"/>
        </w:rPr>
        <w:t>段）；及</w:t>
      </w:r>
    </w:p>
    <w:p w:rsidR="009E1D8F" w:rsidRDefault="009D6863">
      <w:pPr>
        <w:pStyle w:val="Compact"/>
        <w:numPr>
          <w:ilvl w:val="0"/>
          <w:numId w:val="3"/>
        </w:numPr>
        <w:rPr>
          <w:lang w:eastAsia="zh-CN"/>
        </w:rPr>
      </w:pPr>
      <w:r>
        <w:rPr>
          <w:lang w:eastAsia="zh-CN"/>
        </w:rPr>
        <w:t>在向客户提供复杂产品服务时，确保</w:t>
      </w:r>
      <w:r>
        <w:rPr>
          <w:lang w:eastAsia="zh-CN"/>
        </w:rPr>
        <w:t xml:space="preserve"> </w:t>
      </w:r>
      <w:r>
        <w:rPr>
          <w:lang w:eastAsia="zh-CN"/>
        </w:rPr>
        <w:t>：</w:t>
      </w:r>
    </w:p>
    <w:p w:rsidR="009E1D8F" w:rsidRDefault="009D6863">
      <w:pPr>
        <w:pStyle w:val="Compact"/>
        <w:numPr>
          <w:ilvl w:val="1"/>
          <w:numId w:val="4"/>
        </w:numPr>
        <w:rPr>
          <w:lang w:eastAsia="zh-CN"/>
        </w:rPr>
      </w:pPr>
      <w:r>
        <w:rPr>
          <w:lang w:eastAsia="zh-CN"/>
        </w:rPr>
        <w:t>为客户执行的复杂产品交易，在所有情况下都适合该客户（不论该持牌中介人是否有建议或者招揽该项交易）；</w:t>
      </w:r>
    </w:p>
    <w:p w:rsidR="009E1D8F" w:rsidRDefault="009D6863">
      <w:pPr>
        <w:pStyle w:val="Compact"/>
        <w:numPr>
          <w:ilvl w:val="1"/>
          <w:numId w:val="4"/>
        </w:numPr>
        <w:rPr>
          <w:lang w:eastAsia="zh-CN"/>
        </w:rPr>
      </w:pPr>
      <w:r>
        <w:rPr>
          <w:lang w:eastAsia="zh-CN"/>
        </w:rPr>
        <w:t>向客户提供有关复杂产品性质，特征及风险的充分资料，以允许客户在作出投资决策之前了解有关产品；及</w:t>
      </w:r>
    </w:p>
    <w:p w:rsidR="009E1D8F" w:rsidRDefault="009D6863">
      <w:pPr>
        <w:pStyle w:val="Compact"/>
        <w:numPr>
          <w:ilvl w:val="1"/>
          <w:numId w:val="4"/>
        </w:numPr>
        <w:rPr>
          <w:lang w:eastAsia="zh-CN"/>
        </w:rPr>
      </w:pPr>
      <w:r>
        <w:rPr>
          <w:lang w:eastAsia="zh-CN"/>
        </w:rPr>
        <w:t>向客户提供有关该复杂产品的清晰警告声明。</w:t>
      </w:r>
    </w:p>
    <w:p w:rsidR="009E1D8F" w:rsidRDefault="009D6863">
      <w:pPr>
        <w:pStyle w:val="FirstParagraph"/>
        <w:rPr>
          <w:lang w:eastAsia="zh-CN"/>
        </w:rPr>
      </w:pPr>
      <w:r>
        <w:rPr>
          <w:lang w:eastAsia="zh-CN"/>
        </w:rPr>
        <w:t>“</w:t>
      </w:r>
      <w:r>
        <w:rPr>
          <w:lang w:eastAsia="zh-CN"/>
        </w:rPr>
        <w:t>复杂产品</w:t>
      </w:r>
      <w:r>
        <w:rPr>
          <w:lang w:eastAsia="zh-CN"/>
        </w:rPr>
        <w:t>”</w:t>
      </w:r>
      <w:r>
        <w:rPr>
          <w:lang w:eastAsia="zh-CN"/>
        </w:rPr>
        <w:t>指的是</w:t>
      </w:r>
      <w:r>
        <w:rPr>
          <w:lang w:eastAsia="zh-CN"/>
        </w:rPr>
        <w:t>“</w:t>
      </w:r>
      <w:r>
        <w:rPr>
          <w:i/>
          <w:lang w:eastAsia="zh-CN"/>
        </w:rPr>
        <w:t>由于其复杂架构其条款，特征及风险不太可能被零散投资者合理理解</w:t>
      </w:r>
      <w:r>
        <w:rPr>
          <w:lang w:eastAsia="zh-CN"/>
        </w:rPr>
        <w:t>”</w:t>
      </w:r>
      <w:r>
        <w:rPr>
          <w:lang w:eastAsia="zh-CN"/>
        </w:rPr>
        <w:t>的投资产品。</w:t>
      </w:r>
      <w:hyperlink w:anchor="footnote-598-3">
        <w:r>
          <w:rPr>
            <w:vertAlign w:val="superscript"/>
            <w:lang w:eastAsia="zh-CN"/>
          </w:rPr>
          <w:t>3</w:t>
        </w:r>
      </w:hyperlink>
      <w:r>
        <w:rPr>
          <w:lang w:eastAsia="zh-CN"/>
        </w:rPr>
        <w:t xml:space="preserve"> </w:t>
      </w:r>
      <w:r>
        <w:rPr>
          <w:lang w:eastAsia="zh-CN"/>
        </w:rPr>
        <w:t>在厘定一款</w:t>
      </w:r>
      <w:r>
        <w:rPr>
          <w:lang w:eastAsia="zh-CN"/>
        </w:rPr>
        <w:t>产品是否符合</w:t>
      </w:r>
      <w:r>
        <w:rPr>
          <w:lang w:eastAsia="zh-CN"/>
        </w:rPr>
        <w:t>“</w:t>
      </w:r>
      <w:r>
        <w:rPr>
          <w:lang w:eastAsia="zh-CN"/>
        </w:rPr>
        <w:t>复杂产品</w:t>
      </w:r>
      <w:r>
        <w:rPr>
          <w:lang w:eastAsia="zh-CN"/>
        </w:rPr>
        <w:t>”</w:t>
      </w:r>
      <w:r>
        <w:rPr>
          <w:lang w:eastAsia="zh-CN"/>
        </w:rPr>
        <w:t>定义时，持牌中介人需考虑是否存在以下因素：</w:t>
      </w:r>
    </w:p>
    <w:p w:rsidR="009E1D8F" w:rsidRDefault="009D6863">
      <w:pPr>
        <w:pStyle w:val="Compact"/>
        <w:numPr>
          <w:ilvl w:val="0"/>
          <w:numId w:val="5"/>
        </w:numPr>
        <w:rPr>
          <w:lang w:eastAsia="zh-CN"/>
        </w:rPr>
      </w:pPr>
      <w:r>
        <w:rPr>
          <w:lang w:eastAsia="zh-CN"/>
        </w:rPr>
        <w:t>该投资产品属衍生产品；</w:t>
      </w:r>
    </w:p>
    <w:p w:rsidR="009E1D8F" w:rsidRDefault="009D6863">
      <w:pPr>
        <w:pStyle w:val="Compact"/>
        <w:numPr>
          <w:ilvl w:val="0"/>
          <w:numId w:val="5"/>
        </w:numPr>
        <w:rPr>
          <w:lang w:eastAsia="zh-CN"/>
        </w:rPr>
      </w:pPr>
      <w:r>
        <w:rPr>
          <w:lang w:eastAsia="zh-CN"/>
        </w:rPr>
        <w:t>投资产品可在二级市场以公开价格出售；</w:t>
      </w:r>
    </w:p>
    <w:p w:rsidR="009E1D8F" w:rsidRDefault="009D6863">
      <w:pPr>
        <w:pStyle w:val="Compact"/>
        <w:numPr>
          <w:ilvl w:val="0"/>
          <w:numId w:val="5"/>
        </w:numPr>
        <w:rPr>
          <w:lang w:eastAsia="zh-CN"/>
        </w:rPr>
      </w:pPr>
      <w:r>
        <w:rPr>
          <w:lang w:eastAsia="zh-CN"/>
        </w:rPr>
        <w:t>零散投资者可以获得有关该投资产品的充分及透明的资料；</w:t>
      </w:r>
    </w:p>
    <w:p w:rsidR="009E1D8F" w:rsidRDefault="009D6863">
      <w:pPr>
        <w:pStyle w:val="Compact"/>
        <w:numPr>
          <w:ilvl w:val="0"/>
          <w:numId w:val="5"/>
        </w:numPr>
        <w:rPr>
          <w:lang w:eastAsia="zh-CN"/>
        </w:rPr>
      </w:pPr>
      <w:r>
        <w:rPr>
          <w:lang w:eastAsia="zh-CN"/>
        </w:rPr>
        <w:t>投资者承担损失超过他们的投资金额的风险；</w:t>
      </w:r>
    </w:p>
    <w:p w:rsidR="009E1D8F" w:rsidRDefault="009D6863">
      <w:pPr>
        <w:pStyle w:val="Compact"/>
        <w:numPr>
          <w:ilvl w:val="0"/>
          <w:numId w:val="5"/>
        </w:numPr>
        <w:rPr>
          <w:lang w:eastAsia="zh-CN"/>
        </w:rPr>
      </w:pPr>
      <w:r>
        <w:rPr>
          <w:lang w:eastAsia="zh-CN"/>
        </w:rPr>
        <w:t>任何投资产品的特征或条款可能从根本上改变该项投资的性质或风险或支付情况，或包含厘定回报的多个变量或复杂公式（例如发行人有权将票据转换为另一种不同票据的投资）；及</w:t>
      </w:r>
    </w:p>
    <w:p w:rsidR="009E1D8F" w:rsidRDefault="009D6863">
      <w:pPr>
        <w:pStyle w:val="Compact"/>
        <w:numPr>
          <w:ilvl w:val="0"/>
          <w:numId w:val="5"/>
        </w:numPr>
      </w:pPr>
      <w:r>
        <w:rPr>
          <w:lang w:eastAsia="zh-CN"/>
        </w:rPr>
        <w:t>投资产品的任何条款或特征都可能使其缺乏流动性或难以估值。</w:t>
      </w:r>
      <w:hyperlink w:anchor="footnote-598-4">
        <w:r>
          <w:rPr>
            <w:vertAlign w:val="superscript"/>
          </w:rPr>
          <w:t>4</w:t>
        </w:r>
      </w:hyperlink>
    </w:p>
    <w:p w:rsidR="009E1D8F" w:rsidRPr="009D6863" w:rsidRDefault="009D6863">
      <w:pPr>
        <w:pStyle w:val="FirstParagraph"/>
        <w:rPr>
          <w:b/>
          <w:color w:val="FF0000"/>
          <w:lang w:eastAsia="zh-CN"/>
        </w:rPr>
      </w:pPr>
      <w:r w:rsidRPr="009D6863">
        <w:rPr>
          <w:b/>
          <w:color w:val="FF0000"/>
          <w:lang w:eastAsia="zh-CN"/>
        </w:rPr>
        <w:t>有关持牌中介人为遵守向高端专业投资者提供合理适当建议的责任的新的精简程序</w:t>
      </w:r>
    </w:p>
    <w:p w:rsidR="009E1D8F" w:rsidRDefault="009D6863">
      <w:pPr>
        <w:pStyle w:val="BodyText"/>
        <w:rPr>
          <w:lang w:eastAsia="zh-CN"/>
        </w:rPr>
      </w:pPr>
      <w:r>
        <w:rPr>
          <w:lang w:eastAsia="zh-CN"/>
        </w:rPr>
        <w:t>证监会</w:t>
      </w:r>
      <w:r>
        <w:rPr>
          <w:lang w:eastAsia="zh-CN"/>
        </w:rPr>
        <w:t>/</w:t>
      </w:r>
      <w:r>
        <w:rPr>
          <w:lang w:eastAsia="zh-CN"/>
        </w:rPr>
        <w:t>金管局《有关高端专业投资者适当建议的联合通函》</w:t>
      </w:r>
      <w:hyperlink r:id="rId10">
        <w:r>
          <w:rPr>
            <w:lang w:eastAsia="zh-CN"/>
          </w:rPr>
          <w:t>附件</w:t>
        </w:r>
        <w:r>
          <w:rPr>
            <w:lang w:eastAsia="zh-CN"/>
          </w:rPr>
          <w:t>1</w:t>
        </w:r>
      </w:hyperlink>
      <w:r>
        <w:rPr>
          <w:lang w:eastAsia="zh-CN"/>
        </w:rPr>
        <w:t>列出持牌中介人在遵守向高端专业投资者提供合理适当建议的责任时可采纳的一项新的精简程序（</w:t>
      </w:r>
      <w:r>
        <w:rPr>
          <w:b/>
          <w:lang w:eastAsia="zh-CN"/>
        </w:rPr>
        <w:t>精简程序</w:t>
      </w:r>
      <w:r>
        <w:rPr>
          <w:lang w:eastAsia="zh-CN"/>
        </w:rPr>
        <w:t>）。这讲允许持牌中介人根据高端专业投资者的个人</w:t>
      </w:r>
      <w:r>
        <w:rPr>
          <w:lang w:eastAsia="zh-CN"/>
        </w:rPr>
        <w:t>情况量身定制其提供合理适当销售建议的责任。</w:t>
      </w:r>
    </w:p>
    <w:p w:rsidR="009E1D8F" w:rsidRPr="009D6863" w:rsidRDefault="009D6863">
      <w:pPr>
        <w:pStyle w:val="BodyText"/>
        <w:rPr>
          <w:b/>
          <w:color w:val="FF0000"/>
          <w:lang w:eastAsia="zh-CN"/>
        </w:rPr>
      </w:pPr>
      <w:r w:rsidRPr="009D6863">
        <w:rPr>
          <w:b/>
          <w:color w:val="FF0000"/>
          <w:lang w:eastAsia="zh-CN"/>
        </w:rPr>
        <w:t>高端专业投资者的定义？</w:t>
      </w:r>
    </w:p>
    <w:p w:rsidR="009E1D8F" w:rsidRDefault="009D6863">
      <w:pPr>
        <w:pStyle w:val="BodyText"/>
        <w:rPr>
          <w:lang w:eastAsia="zh-CN"/>
        </w:rPr>
      </w:pPr>
      <w:r>
        <w:rPr>
          <w:lang w:eastAsia="zh-CN"/>
        </w:rPr>
        <w:t>高端专业投资者指的是个人专业投资者（如《证券及期货（专业投资者）规则》（第</w:t>
      </w:r>
      <w:r>
        <w:rPr>
          <w:lang w:eastAsia="zh-CN"/>
        </w:rPr>
        <w:t>571D</w:t>
      </w:r>
      <w:r>
        <w:rPr>
          <w:lang w:eastAsia="zh-CN"/>
        </w:rPr>
        <w:t>章）第</w:t>
      </w:r>
      <w:r>
        <w:rPr>
          <w:lang w:eastAsia="zh-CN"/>
        </w:rPr>
        <w:t>5</w:t>
      </w:r>
      <w:r>
        <w:rPr>
          <w:lang w:eastAsia="zh-CN"/>
        </w:rPr>
        <w:t>节所界定），其在有关日期符合以下要求：</w:t>
      </w:r>
    </w:p>
    <w:p w:rsidR="009E1D8F" w:rsidRDefault="009D6863">
      <w:pPr>
        <w:pStyle w:val="Compact"/>
        <w:numPr>
          <w:ilvl w:val="0"/>
          <w:numId w:val="6"/>
        </w:numPr>
        <w:rPr>
          <w:lang w:eastAsia="zh-CN"/>
        </w:rPr>
      </w:pPr>
      <w:r>
        <w:rPr>
          <w:lang w:eastAsia="zh-CN"/>
        </w:rPr>
        <w:lastRenderedPageBreak/>
        <w:t>证监会</w:t>
      </w:r>
      <w:r>
        <w:rPr>
          <w:lang w:eastAsia="zh-CN"/>
        </w:rPr>
        <w:t>/</w:t>
      </w:r>
      <w:r>
        <w:rPr>
          <w:lang w:eastAsia="zh-CN"/>
        </w:rPr>
        <w:t>金管局《有关高端专业投资者适当建议的联合通函》附件</w:t>
      </w:r>
      <w:r>
        <w:rPr>
          <w:lang w:eastAsia="zh-CN"/>
        </w:rPr>
        <w:t>1</w:t>
      </w:r>
      <w:r>
        <w:rPr>
          <w:lang w:eastAsia="zh-CN"/>
        </w:rPr>
        <w:t>第</w:t>
      </w:r>
      <w:r>
        <w:rPr>
          <w:lang w:eastAsia="zh-CN"/>
        </w:rPr>
        <w:t>3</w:t>
      </w:r>
      <w:r>
        <w:rPr>
          <w:lang w:eastAsia="zh-CN"/>
        </w:rPr>
        <w:t>段中载列的财政状况（</w:t>
      </w:r>
      <w:r>
        <w:rPr>
          <w:b/>
          <w:lang w:eastAsia="zh-CN"/>
        </w:rPr>
        <w:t>附件</w:t>
      </w:r>
      <w:r>
        <w:rPr>
          <w:b/>
          <w:lang w:eastAsia="zh-CN"/>
        </w:rPr>
        <w:t>1</w:t>
      </w:r>
      <w:r>
        <w:rPr>
          <w:lang w:eastAsia="zh-CN"/>
        </w:rPr>
        <w:t>）：</w:t>
      </w:r>
    </w:p>
    <w:p w:rsidR="009E1D8F" w:rsidRDefault="009D6863">
      <w:pPr>
        <w:pStyle w:val="Compact"/>
        <w:numPr>
          <w:ilvl w:val="0"/>
          <w:numId w:val="6"/>
        </w:numPr>
        <w:rPr>
          <w:lang w:eastAsia="zh-CN"/>
        </w:rPr>
      </w:pPr>
      <w:r>
        <w:rPr>
          <w:lang w:eastAsia="zh-CN"/>
        </w:rPr>
        <w:t>附件</w:t>
      </w:r>
      <w:r>
        <w:rPr>
          <w:lang w:eastAsia="zh-CN"/>
        </w:rPr>
        <w:t>1</w:t>
      </w:r>
      <w:r>
        <w:rPr>
          <w:lang w:eastAsia="zh-CN"/>
        </w:rPr>
        <w:t>第</w:t>
      </w:r>
      <w:r>
        <w:rPr>
          <w:lang w:eastAsia="zh-CN"/>
        </w:rPr>
        <w:t>4.1</w:t>
      </w:r>
      <w:r>
        <w:rPr>
          <w:lang w:eastAsia="zh-CN"/>
        </w:rPr>
        <w:t>段中载列的至少一项知识和经验；及</w:t>
      </w:r>
    </w:p>
    <w:p w:rsidR="009E1D8F" w:rsidRDefault="009D6863">
      <w:pPr>
        <w:pStyle w:val="Compact"/>
        <w:numPr>
          <w:ilvl w:val="0"/>
          <w:numId w:val="6"/>
        </w:numPr>
        <w:rPr>
          <w:lang w:eastAsia="zh-CN"/>
        </w:rPr>
      </w:pPr>
      <w:r>
        <w:rPr>
          <w:lang w:eastAsia="zh-CN"/>
        </w:rPr>
        <w:t>附件</w:t>
      </w:r>
      <w:r>
        <w:rPr>
          <w:lang w:eastAsia="zh-CN"/>
        </w:rPr>
        <w:t>1</w:t>
      </w:r>
      <w:r>
        <w:rPr>
          <w:lang w:eastAsia="zh-CN"/>
        </w:rPr>
        <w:t>第</w:t>
      </w:r>
      <w:r>
        <w:rPr>
          <w:lang w:eastAsia="zh-CN"/>
        </w:rPr>
        <w:t>5</w:t>
      </w:r>
      <w:r>
        <w:rPr>
          <w:lang w:eastAsia="zh-CN"/>
        </w:rPr>
        <w:t>段中载列的投资目标。</w:t>
      </w:r>
    </w:p>
    <w:p w:rsidR="009E1D8F" w:rsidRDefault="009D6863">
      <w:pPr>
        <w:pStyle w:val="FirstParagraph"/>
        <w:rPr>
          <w:lang w:eastAsia="zh-CN"/>
        </w:rPr>
      </w:pPr>
      <w:r>
        <w:rPr>
          <w:lang w:eastAsia="zh-CN"/>
        </w:rPr>
        <w:t>高端专业投资者：合资格财政准则</w:t>
      </w:r>
    </w:p>
    <w:p w:rsidR="009E1D8F" w:rsidRDefault="009D6863">
      <w:pPr>
        <w:pStyle w:val="BodyText"/>
        <w:rPr>
          <w:lang w:eastAsia="zh-CN"/>
        </w:rPr>
      </w:pPr>
      <w:r>
        <w:rPr>
          <w:lang w:eastAsia="zh-CN"/>
        </w:rPr>
        <w:t>为在有关日期合资格成为高端专业投资者，个人必须拥有：</w:t>
      </w:r>
    </w:p>
    <w:p w:rsidR="009E1D8F" w:rsidRDefault="009D6863">
      <w:pPr>
        <w:pStyle w:val="Compact"/>
        <w:numPr>
          <w:ilvl w:val="0"/>
          <w:numId w:val="7"/>
        </w:numPr>
        <w:rPr>
          <w:lang w:eastAsia="zh-CN"/>
        </w:rPr>
      </w:pPr>
      <w:r>
        <w:rPr>
          <w:lang w:eastAsia="zh-CN"/>
        </w:rPr>
        <w:t>不少于</w:t>
      </w:r>
      <w:r>
        <w:rPr>
          <w:lang w:eastAsia="zh-CN"/>
        </w:rPr>
        <w:t>4,000</w:t>
      </w:r>
      <w:r>
        <w:rPr>
          <w:lang w:eastAsia="zh-CN"/>
        </w:rPr>
        <w:t>万港元（或其等值的任何外币）的投资组合；或</w:t>
      </w:r>
    </w:p>
    <w:p w:rsidR="009E1D8F" w:rsidRDefault="009D6863">
      <w:pPr>
        <w:pStyle w:val="Compact"/>
        <w:numPr>
          <w:ilvl w:val="0"/>
          <w:numId w:val="7"/>
        </w:numPr>
        <w:rPr>
          <w:lang w:eastAsia="zh-CN"/>
        </w:rPr>
      </w:pPr>
      <w:r>
        <w:rPr>
          <w:lang w:eastAsia="zh-CN"/>
        </w:rPr>
        <w:t>不少于</w:t>
      </w:r>
      <w:r>
        <w:rPr>
          <w:lang w:eastAsia="zh-CN"/>
        </w:rPr>
        <w:t>8,000</w:t>
      </w:r>
      <w:r>
        <w:rPr>
          <w:lang w:eastAsia="zh-CN"/>
        </w:rPr>
        <w:t>万港元（或其等值的任何外币）的除主要住所外的资产净值（即总资产减除总负债）。</w:t>
      </w:r>
    </w:p>
    <w:p w:rsidR="009E1D8F" w:rsidRDefault="009D6863">
      <w:pPr>
        <w:pStyle w:val="FirstParagraph"/>
        <w:rPr>
          <w:lang w:eastAsia="zh-CN"/>
        </w:rPr>
      </w:pPr>
      <w:r>
        <w:rPr>
          <w:lang w:eastAsia="zh-CN"/>
        </w:rPr>
        <w:t>“</w:t>
      </w:r>
      <w:r>
        <w:rPr>
          <w:lang w:eastAsia="zh-CN"/>
        </w:rPr>
        <w:t>投资组合</w:t>
      </w:r>
      <w:r>
        <w:rPr>
          <w:lang w:eastAsia="zh-CN"/>
        </w:rPr>
        <w:t>”</w:t>
      </w:r>
      <w:r>
        <w:rPr>
          <w:lang w:eastAsia="zh-CN"/>
        </w:rPr>
        <w:t>的定义是以下产品的一个组合：</w:t>
      </w:r>
    </w:p>
    <w:p w:rsidR="009E1D8F" w:rsidRDefault="009D6863">
      <w:pPr>
        <w:pStyle w:val="Compact"/>
        <w:numPr>
          <w:ilvl w:val="0"/>
          <w:numId w:val="8"/>
        </w:numPr>
      </w:pPr>
      <w:r>
        <w:t>证券；</w:t>
      </w:r>
    </w:p>
    <w:p w:rsidR="009E1D8F" w:rsidRDefault="009D6863">
      <w:pPr>
        <w:pStyle w:val="Compact"/>
        <w:numPr>
          <w:ilvl w:val="0"/>
          <w:numId w:val="8"/>
        </w:numPr>
        <w:rPr>
          <w:lang w:eastAsia="zh-CN"/>
        </w:rPr>
      </w:pPr>
      <w:r>
        <w:rPr>
          <w:lang w:eastAsia="zh-CN"/>
        </w:rPr>
        <w:t>由香港认可金融机构或受任何离岸司法管辖区规管的银行发出的存款证明书；及</w:t>
      </w:r>
    </w:p>
    <w:p w:rsidR="009E1D8F" w:rsidRDefault="009D6863">
      <w:pPr>
        <w:pStyle w:val="Compact"/>
        <w:numPr>
          <w:ilvl w:val="0"/>
          <w:numId w:val="8"/>
        </w:numPr>
      </w:pPr>
      <w:r>
        <w:rPr>
          <w:lang w:eastAsia="zh-CN"/>
        </w:rPr>
        <w:t>由香港认可金融机构或在任何离岸司法管辖区受规管的银行、证监会持牌法团或在任何离岸司法管辖区受规管的投资中介人为该个人持有的资金。</w:t>
      </w:r>
      <w:hyperlink w:anchor="footnote-598-5">
        <w:r>
          <w:rPr>
            <w:vertAlign w:val="superscript"/>
          </w:rPr>
          <w:t>5</w:t>
        </w:r>
      </w:hyperlink>
    </w:p>
    <w:p w:rsidR="009E1D8F" w:rsidRDefault="009D6863">
      <w:pPr>
        <w:pStyle w:val="FirstParagraph"/>
        <w:rPr>
          <w:lang w:eastAsia="zh-CN"/>
        </w:rPr>
      </w:pPr>
      <w:r>
        <w:rPr>
          <w:lang w:eastAsia="zh-CN"/>
        </w:rPr>
        <w:t>持牌中介人在厘定高端专业投资者</w:t>
      </w:r>
      <w:r>
        <w:rPr>
          <w:lang w:eastAsia="zh-CN"/>
        </w:rPr>
        <w:t>的投资组合价值或资产净值时，可考虑（以下一项或多于一项）：</w:t>
      </w:r>
    </w:p>
    <w:p w:rsidR="009E1D8F" w:rsidRDefault="009D6863">
      <w:pPr>
        <w:pStyle w:val="Compact"/>
        <w:numPr>
          <w:ilvl w:val="0"/>
          <w:numId w:val="9"/>
        </w:numPr>
        <w:rPr>
          <w:lang w:eastAsia="zh-CN"/>
        </w:rPr>
      </w:pPr>
      <w:r>
        <w:rPr>
          <w:lang w:eastAsia="zh-CN"/>
        </w:rPr>
        <w:t>该高端专业投资者本人的账户内的投资组合或资产净值；</w:t>
      </w:r>
    </w:p>
    <w:p w:rsidR="009E1D8F" w:rsidRDefault="009D6863">
      <w:pPr>
        <w:pStyle w:val="Compact"/>
        <w:numPr>
          <w:ilvl w:val="0"/>
          <w:numId w:val="9"/>
        </w:numPr>
        <w:rPr>
          <w:lang w:eastAsia="zh-CN"/>
        </w:rPr>
      </w:pPr>
      <w:r>
        <w:rPr>
          <w:lang w:eastAsia="zh-CN"/>
        </w:rPr>
        <w:t>该高端专业投资者联同其有联系者（即其配偶或子女</w:t>
      </w:r>
      <w:hyperlink w:anchor="footnote-598-6">
        <w:r>
          <w:rPr>
            <w:vertAlign w:val="superscript"/>
            <w:lang w:eastAsia="zh-CN"/>
          </w:rPr>
          <w:t>6</w:t>
        </w:r>
      </w:hyperlink>
      <w:r>
        <w:rPr>
          <w:lang w:eastAsia="zh-CN"/>
        </w:rPr>
        <w:t>）于某联权共有账户内的投资组合或资产净值；</w:t>
      </w:r>
    </w:p>
    <w:p w:rsidR="009E1D8F" w:rsidRDefault="009D6863">
      <w:pPr>
        <w:pStyle w:val="Compact"/>
        <w:numPr>
          <w:ilvl w:val="0"/>
          <w:numId w:val="9"/>
        </w:numPr>
        <w:rPr>
          <w:lang w:eastAsia="zh-CN"/>
        </w:rPr>
      </w:pPr>
      <w:r>
        <w:rPr>
          <w:lang w:eastAsia="zh-CN"/>
        </w:rPr>
        <w:t>该高端专业投资者在联同一名或多于一名其有联系者以外的人士的联权共有账户内的投资组合或资产净值中所占部分，而所占部分为账户持有人之间订立的书面协议中指明该高端专业投资者于该账户投资组合或资产净值中所占部分，或（如没有订立上述协议）为于该</w:t>
      </w:r>
      <w:r>
        <w:rPr>
          <w:lang w:eastAsia="zh-CN"/>
        </w:rPr>
        <w:t>账户投资组合或资产净值中平均所占部分；及</w:t>
      </w:r>
    </w:p>
    <w:p w:rsidR="009E1D8F" w:rsidRDefault="009D6863">
      <w:pPr>
        <w:pStyle w:val="Compact"/>
        <w:numPr>
          <w:ilvl w:val="0"/>
          <w:numId w:val="9"/>
        </w:numPr>
        <w:rPr>
          <w:lang w:eastAsia="zh-CN"/>
        </w:rPr>
      </w:pPr>
      <w:r>
        <w:rPr>
          <w:lang w:eastAsia="zh-CN"/>
        </w:rPr>
        <w:t>在有关日期由该高端专业投资者全资拥有的投资控股公司的投资组合或资产净值。</w:t>
      </w:r>
    </w:p>
    <w:p w:rsidR="009E1D8F" w:rsidRPr="009D6863" w:rsidRDefault="009D6863">
      <w:pPr>
        <w:pStyle w:val="FirstParagraph"/>
        <w:rPr>
          <w:b/>
          <w:lang w:eastAsia="zh-CN"/>
        </w:rPr>
      </w:pPr>
      <w:r w:rsidRPr="009D6863">
        <w:rPr>
          <w:b/>
          <w:lang w:eastAsia="zh-CN"/>
        </w:rPr>
        <w:t>高端专业投资者：知识或经验合资格准则</w:t>
      </w:r>
    </w:p>
    <w:p w:rsidR="009E1D8F" w:rsidRDefault="009D6863">
      <w:pPr>
        <w:pStyle w:val="BodyText"/>
        <w:rPr>
          <w:lang w:eastAsia="zh-CN"/>
        </w:rPr>
      </w:pPr>
      <w:r>
        <w:rPr>
          <w:lang w:eastAsia="zh-CN"/>
        </w:rPr>
        <w:t>为合理地信纳高端专业投资者具备</w:t>
      </w:r>
      <w:r>
        <w:rPr>
          <w:lang w:eastAsia="zh-CN"/>
        </w:rPr>
        <w:t>“</w:t>
      </w:r>
      <w:r>
        <w:rPr>
          <w:i/>
          <w:lang w:eastAsia="zh-CN"/>
        </w:rPr>
        <w:t>相关程度的知识或经验以理解被视为高端专业投资者所产生的风险</w:t>
      </w:r>
      <w:r>
        <w:rPr>
          <w:lang w:eastAsia="zh-CN"/>
        </w:rPr>
        <w:t>”</w:t>
      </w:r>
      <w:r>
        <w:rPr>
          <w:lang w:eastAsia="zh-CN"/>
        </w:rPr>
        <w:t>，持牌中介人应评估该高端专业投资者是否符合以下至少一项条件：</w:t>
      </w:r>
    </w:p>
    <w:p w:rsidR="009E1D8F" w:rsidRDefault="009D6863">
      <w:pPr>
        <w:pStyle w:val="Compact"/>
        <w:numPr>
          <w:ilvl w:val="0"/>
          <w:numId w:val="10"/>
        </w:numPr>
        <w:rPr>
          <w:lang w:eastAsia="zh-CN"/>
        </w:rPr>
      </w:pPr>
      <w:r>
        <w:rPr>
          <w:lang w:eastAsia="zh-CN"/>
        </w:rPr>
        <w:t>持有会计、经济、金融财务或相关学科的学位或深造文凭；</w:t>
      </w:r>
    </w:p>
    <w:p w:rsidR="009E1D8F" w:rsidRDefault="009D6863">
      <w:pPr>
        <w:pStyle w:val="Compact"/>
        <w:numPr>
          <w:ilvl w:val="0"/>
          <w:numId w:val="10"/>
        </w:numPr>
        <w:rPr>
          <w:lang w:eastAsia="zh-CN"/>
        </w:rPr>
      </w:pPr>
      <w:r>
        <w:rPr>
          <w:lang w:eastAsia="zh-CN"/>
        </w:rPr>
        <w:t>取得金融财务相关专业资格（例如特许金融分析师（</w:t>
      </w:r>
      <w:r>
        <w:rPr>
          <w:lang w:eastAsia="zh-CN"/>
        </w:rPr>
        <w:t>“CFA”</w:t>
      </w:r>
      <w:r>
        <w:rPr>
          <w:lang w:eastAsia="zh-CN"/>
        </w:rPr>
        <w:t>）、国际注册投资分析（</w:t>
      </w:r>
      <w:r>
        <w:rPr>
          <w:lang w:eastAsia="zh-CN"/>
        </w:rPr>
        <w:t>“CIIA”</w:t>
      </w:r>
      <w:r>
        <w:rPr>
          <w:lang w:eastAsia="zh-CN"/>
        </w:rPr>
        <w:t>）、注册私人财富管理师（</w:t>
      </w:r>
      <w:r>
        <w:rPr>
          <w:lang w:eastAsia="zh-CN"/>
        </w:rPr>
        <w:t>“CPWP”</w:t>
      </w:r>
      <w:r>
        <w:rPr>
          <w:lang w:eastAsia="zh-CN"/>
        </w:rPr>
        <w:t>）、认可财务策划师（</w:t>
      </w:r>
      <w:r>
        <w:rPr>
          <w:lang w:eastAsia="zh-CN"/>
        </w:rPr>
        <w:t>“C</w:t>
      </w:r>
      <w:r>
        <w:rPr>
          <w:lang w:eastAsia="zh-CN"/>
        </w:rPr>
        <w:t>FP”</w:t>
      </w:r>
      <w:r>
        <w:rPr>
          <w:lang w:eastAsia="zh-CN"/>
        </w:rPr>
        <w:t>）或其他同等资格）；</w:t>
      </w:r>
    </w:p>
    <w:p w:rsidR="009E1D8F" w:rsidRDefault="009D6863">
      <w:pPr>
        <w:pStyle w:val="Compact"/>
        <w:numPr>
          <w:ilvl w:val="0"/>
          <w:numId w:val="10"/>
        </w:numPr>
        <w:rPr>
          <w:lang w:eastAsia="zh-CN"/>
        </w:rPr>
      </w:pPr>
      <w:r>
        <w:rPr>
          <w:lang w:eastAsia="zh-CN"/>
        </w:rPr>
        <w:t>拥有在香港或其他地方从事金融界别专业工作不少于一年的相关经验（例如获发牌进行相关受规管活动）；或</w:t>
      </w:r>
    </w:p>
    <w:p w:rsidR="009E1D8F" w:rsidRDefault="009D6863">
      <w:pPr>
        <w:pStyle w:val="Compact"/>
        <w:numPr>
          <w:ilvl w:val="0"/>
          <w:numId w:val="10"/>
        </w:numPr>
        <w:rPr>
          <w:lang w:eastAsia="zh-CN"/>
        </w:rPr>
      </w:pPr>
      <w:r>
        <w:rPr>
          <w:lang w:eastAsia="zh-CN"/>
        </w:rPr>
        <w:t>在过去三年内曾执行不少于五宗属相同产品类别的投资产品交易，其产品类别是根据投资产品的条款及特点、特性、性质及风险程度所作出的分类（</w:t>
      </w:r>
      <w:r>
        <w:rPr>
          <w:lang w:eastAsia="zh-CN"/>
        </w:rPr>
        <w:t>“</w:t>
      </w:r>
      <w:r>
        <w:rPr>
          <w:b/>
          <w:lang w:eastAsia="zh-CN"/>
        </w:rPr>
        <w:t>产品类别</w:t>
      </w:r>
      <w:r>
        <w:rPr>
          <w:lang w:eastAsia="zh-CN"/>
        </w:rPr>
        <w:t>”</w:t>
      </w:r>
      <w:r>
        <w:rPr>
          <w:lang w:eastAsia="zh-CN"/>
        </w:rPr>
        <w:t>）。</w:t>
      </w:r>
    </w:p>
    <w:p w:rsidR="009E1D8F" w:rsidRDefault="009D6863">
      <w:pPr>
        <w:pStyle w:val="FirstParagraph"/>
        <w:rPr>
          <w:lang w:eastAsia="zh-CN"/>
        </w:rPr>
      </w:pPr>
      <w:r>
        <w:rPr>
          <w:lang w:eastAsia="zh-CN"/>
        </w:rPr>
        <w:t>根据针对不符合上述任何知识及经验资格准则的资深专业投资者的精简程序，持牌中介人不得就属于其产品类别范畴内的任何产品执行交易。</w:t>
      </w:r>
    </w:p>
    <w:p w:rsidR="009E1D8F" w:rsidRPr="009D6863" w:rsidRDefault="009D6863">
      <w:pPr>
        <w:pStyle w:val="BodyText"/>
        <w:rPr>
          <w:b/>
          <w:lang w:eastAsia="zh-CN"/>
        </w:rPr>
      </w:pPr>
      <w:r w:rsidRPr="009D6863">
        <w:rPr>
          <w:b/>
          <w:lang w:eastAsia="zh-CN"/>
        </w:rPr>
        <w:t>高端专业投资者：投资目标合资格准则</w:t>
      </w:r>
    </w:p>
    <w:p w:rsidR="009E1D8F" w:rsidRDefault="009D6863">
      <w:pPr>
        <w:pStyle w:val="BodyText"/>
        <w:rPr>
          <w:lang w:eastAsia="zh-CN"/>
        </w:rPr>
      </w:pPr>
      <w:r>
        <w:rPr>
          <w:lang w:eastAsia="zh-CN"/>
        </w:rPr>
        <w:t>持牌中介人不得将保守型客户（例如其投资目标为保本及</w:t>
      </w:r>
      <w:r>
        <w:rPr>
          <w:lang w:eastAsia="zh-CN"/>
        </w:rPr>
        <w:t>/</w:t>
      </w:r>
      <w:r>
        <w:rPr>
          <w:lang w:eastAsia="zh-CN"/>
        </w:rPr>
        <w:t>或寻求固定收入）视为高端</w:t>
      </w:r>
      <w:r>
        <w:rPr>
          <w:lang w:eastAsia="zh-CN"/>
        </w:rPr>
        <w:t>专业投资者。</w:t>
      </w:r>
    </w:p>
    <w:p w:rsidR="009E1D8F" w:rsidRPr="009D6863" w:rsidRDefault="009D6863">
      <w:pPr>
        <w:pStyle w:val="BodyText"/>
        <w:rPr>
          <w:b/>
          <w:color w:val="FF0000"/>
          <w:lang w:eastAsia="zh-CN"/>
        </w:rPr>
      </w:pPr>
      <w:r w:rsidRPr="009D6863">
        <w:rPr>
          <w:b/>
          <w:color w:val="FF0000"/>
          <w:lang w:eastAsia="zh-CN"/>
        </w:rPr>
        <w:lastRenderedPageBreak/>
        <w:t>高端专业投资者：合资格投资交易</w:t>
      </w:r>
    </w:p>
    <w:p w:rsidR="009E1D8F" w:rsidRDefault="009D6863">
      <w:pPr>
        <w:pStyle w:val="BodyText"/>
        <w:rPr>
          <w:lang w:eastAsia="zh-CN"/>
        </w:rPr>
      </w:pPr>
      <w:r>
        <w:rPr>
          <w:lang w:eastAsia="zh-CN"/>
        </w:rPr>
        <w:t>持牌中介人仅被准许以精简程序（如附件</w:t>
      </w:r>
      <w:r>
        <w:rPr>
          <w:lang w:eastAsia="zh-CN"/>
        </w:rPr>
        <w:t>1</w:t>
      </w:r>
      <w:r>
        <w:rPr>
          <w:lang w:eastAsia="zh-CN"/>
        </w:rPr>
        <w:t>第</w:t>
      </w:r>
      <w:r>
        <w:rPr>
          <w:lang w:eastAsia="zh-CN"/>
        </w:rPr>
        <w:t>C</w:t>
      </w:r>
      <w:r>
        <w:rPr>
          <w:lang w:eastAsia="zh-CN"/>
        </w:rPr>
        <w:t>节所描述）为高端专业投资者执行投资交易，而相关投资产品应符合以下条件：</w:t>
      </w:r>
    </w:p>
    <w:p w:rsidR="009E1D8F" w:rsidRDefault="009D6863">
      <w:pPr>
        <w:pStyle w:val="Compact"/>
        <w:numPr>
          <w:ilvl w:val="0"/>
          <w:numId w:val="11"/>
        </w:numPr>
        <w:rPr>
          <w:lang w:eastAsia="zh-CN"/>
        </w:rPr>
      </w:pPr>
      <w:r>
        <w:rPr>
          <w:lang w:eastAsia="zh-CN"/>
        </w:rPr>
        <w:t>属于为根据精简程序执行交易而订明的产品类别（根据附件</w:t>
      </w:r>
      <w:r>
        <w:rPr>
          <w:lang w:eastAsia="zh-CN"/>
        </w:rPr>
        <w:t>1</w:t>
      </w:r>
      <w:r>
        <w:rPr>
          <w:lang w:eastAsia="zh-CN"/>
        </w:rPr>
        <w:t>第</w:t>
      </w:r>
      <w:r>
        <w:rPr>
          <w:lang w:eastAsia="zh-CN"/>
        </w:rPr>
        <w:t>7</w:t>
      </w:r>
      <w:r>
        <w:rPr>
          <w:lang w:eastAsia="zh-CN"/>
        </w:rPr>
        <w:t>段）；及</w:t>
      </w:r>
    </w:p>
    <w:p w:rsidR="009E1D8F" w:rsidRDefault="009D6863">
      <w:pPr>
        <w:pStyle w:val="Compact"/>
        <w:numPr>
          <w:ilvl w:val="0"/>
          <w:numId w:val="11"/>
        </w:numPr>
      </w:pPr>
      <w:r>
        <w:rPr>
          <w:lang w:eastAsia="zh-CN"/>
        </w:rPr>
        <w:t>总涉及金额符合由高端专业投资者设定的精简交易限额（根据附件</w:t>
      </w:r>
      <w:r>
        <w:rPr>
          <w:lang w:eastAsia="zh-CN"/>
        </w:rPr>
        <w:t>1</w:t>
      </w:r>
      <w:r>
        <w:rPr>
          <w:lang w:eastAsia="zh-CN"/>
        </w:rPr>
        <w:t>第</w:t>
      </w:r>
      <w:r>
        <w:rPr>
          <w:lang w:eastAsia="zh-CN"/>
        </w:rPr>
        <w:t>8</w:t>
      </w:r>
      <w:r>
        <w:rPr>
          <w:lang w:eastAsia="zh-CN"/>
        </w:rPr>
        <w:t>段）（</w:t>
      </w:r>
      <w:r>
        <w:rPr>
          <w:lang w:eastAsia="zh-CN"/>
        </w:rPr>
        <w:t>“</w:t>
      </w:r>
      <w:r>
        <w:rPr>
          <w:b/>
          <w:lang w:eastAsia="zh-CN"/>
        </w:rPr>
        <w:t>合资格投资交易</w:t>
      </w:r>
      <w:r>
        <w:rPr>
          <w:lang w:eastAsia="zh-CN"/>
        </w:rPr>
        <w:t>”</w:t>
      </w:r>
      <w:r>
        <w:rPr>
          <w:lang w:eastAsia="zh-CN"/>
        </w:rPr>
        <w:t>）。</w:t>
      </w:r>
      <w:hyperlink w:anchor="footnote-598-7">
        <w:r>
          <w:rPr>
            <w:vertAlign w:val="superscript"/>
          </w:rPr>
          <w:t>7</w:t>
        </w:r>
      </w:hyperlink>
    </w:p>
    <w:p w:rsidR="009E1D8F" w:rsidRPr="009D6863" w:rsidRDefault="009D6863">
      <w:pPr>
        <w:pStyle w:val="FirstParagraph"/>
        <w:rPr>
          <w:b/>
          <w:lang w:eastAsia="zh-CN"/>
        </w:rPr>
      </w:pPr>
      <w:r w:rsidRPr="009D6863">
        <w:rPr>
          <w:b/>
          <w:lang w:eastAsia="zh-CN"/>
        </w:rPr>
        <w:t>产品类别及产品类别资料</w:t>
      </w:r>
    </w:p>
    <w:p w:rsidR="009E1D8F" w:rsidRDefault="009D6863">
      <w:pPr>
        <w:pStyle w:val="BodyText"/>
        <w:rPr>
          <w:lang w:eastAsia="zh-CN"/>
        </w:rPr>
      </w:pPr>
      <w:r>
        <w:rPr>
          <w:lang w:eastAsia="zh-CN"/>
        </w:rPr>
        <w:t>持牌中介人应制订（或调整）产品类别，以根据投资产品的条款及特点、特性、性质及风险程度进行分类。然后高端专业投资者能够选择可采用精简程序执行投资交易的产品类别。</w:t>
      </w:r>
    </w:p>
    <w:p w:rsidR="009E1D8F" w:rsidRDefault="009D6863">
      <w:pPr>
        <w:pStyle w:val="BodyText"/>
      </w:pPr>
      <w:r>
        <w:t>持牌中介人须：</w:t>
      </w:r>
    </w:p>
    <w:p w:rsidR="009E1D8F" w:rsidRDefault="009D6863">
      <w:pPr>
        <w:pStyle w:val="Compact"/>
        <w:numPr>
          <w:ilvl w:val="0"/>
          <w:numId w:val="12"/>
        </w:numPr>
        <w:rPr>
          <w:lang w:eastAsia="zh-CN"/>
        </w:rPr>
      </w:pPr>
      <w:r>
        <w:rPr>
          <w:lang w:eastAsia="zh-CN"/>
        </w:rPr>
        <w:t>就那些产品类别能够采用该精简程序执行交易以文件记录高端专业投资者的选择；</w:t>
      </w:r>
    </w:p>
    <w:p w:rsidR="009E1D8F" w:rsidRDefault="009D6863">
      <w:pPr>
        <w:pStyle w:val="Compact"/>
        <w:numPr>
          <w:ilvl w:val="0"/>
          <w:numId w:val="12"/>
        </w:numPr>
        <w:rPr>
          <w:lang w:eastAsia="zh-CN"/>
        </w:rPr>
      </w:pPr>
      <w:r>
        <w:rPr>
          <w:lang w:eastAsia="zh-CN"/>
        </w:rPr>
        <w:t>向高端专业投资者提供</w:t>
      </w:r>
      <w:r>
        <w:rPr>
          <w:lang w:eastAsia="zh-CN"/>
        </w:rPr>
        <w:t>“</w:t>
      </w:r>
      <w:r>
        <w:rPr>
          <w:lang w:eastAsia="zh-CN"/>
        </w:rPr>
        <w:t>产品类别资料</w:t>
      </w:r>
      <w:r>
        <w:rPr>
          <w:lang w:eastAsia="zh-CN"/>
        </w:rPr>
        <w:t>”</w:t>
      </w:r>
      <w:r>
        <w:rPr>
          <w:lang w:eastAsia="zh-CN"/>
        </w:rPr>
        <w:t>以阐述及载明该产品类别内所包括的投资产品的条款及特点、特性、性质及风险程度（</w:t>
      </w:r>
      <w:r>
        <w:rPr>
          <w:b/>
          <w:lang w:eastAsia="zh-CN"/>
        </w:rPr>
        <w:t>产品类别资料</w:t>
      </w:r>
      <w:r>
        <w:rPr>
          <w:lang w:eastAsia="zh-CN"/>
        </w:rPr>
        <w:t>）。该产品类别资料能可以以小册子或网页连结等形式刊载。在适用的情况下，产品类别资料应向高端专业投资者提供有关分销复杂产品的警告声明；及</w:t>
      </w:r>
    </w:p>
    <w:p w:rsidR="009E1D8F" w:rsidRDefault="009D6863">
      <w:pPr>
        <w:pStyle w:val="Compact"/>
        <w:numPr>
          <w:ilvl w:val="0"/>
          <w:numId w:val="12"/>
        </w:numPr>
        <w:rPr>
          <w:lang w:eastAsia="zh-CN"/>
        </w:rPr>
      </w:pPr>
      <w:r>
        <w:rPr>
          <w:lang w:eastAsia="zh-CN"/>
        </w:rPr>
        <w:t>应</w:t>
      </w:r>
      <w:r>
        <w:rPr>
          <w:lang w:eastAsia="zh-CN"/>
        </w:rPr>
        <w:t>高端专业投资者要求向其加以解释有关产品类别内所包括的投资产品的条款及特点、特性、性质及风险程度。</w:t>
      </w:r>
    </w:p>
    <w:p w:rsidR="009E1D8F" w:rsidRPr="009D6863" w:rsidRDefault="009D6863">
      <w:pPr>
        <w:pStyle w:val="FirstParagraph"/>
        <w:rPr>
          <w:b/>
          <w:lang w:eastAsia="zh-CN"/>
        </w:rPr>
      </w:pPr>
      <w:r w:rsidRPr="009D6863">
        <w:rPr>
          <w:b/>
          <w:lang w:eastAsia="zh-CN"/>
        </w:rPr>
        <w:t>高端专业投资者：采用精简程序的限额</w:t>
      </w:r>
    </w:p>
    <w:p w:rsidR="009E1D8F" w:rsidRDefault="009D6863">
      <w:pPr>
        <w:pStyle w:val="BodyText"/>
        <w:rPr>
          <w:lang w:eastAsia="zh-CN"/>
        </w:rPr>
      </w:pPr>
      <w:r>
        <w:rPr>
          <w:u w:val="single"/>
          <w:lang w:eastAsia="zh-CN"/>
        </w:rPr>
        <w:t>精简交易限额</w:t>
      </w:r>
    </w:p>
    <w:p w:rsidR="009E1D8F" w:rsidRDefault="009D6863">
      <w:pPr>
        <w:pStyle w:val="BodyText"/>
        <w:rPr>
          <w:lang w:eastAsia="zh-CN"/>
        </w:rPr>
      </w:pPr>
      <w:r>
        <w:rPr>
          <w:lang w:eastAsia="zh-CN"/>
        </w:rPr>
        <w:t>高端专业投资者须订明精简交易限额，以绝对数值或持牌中介人为其所管理资产的百分比，</w:t>
      </w:r>
      <w:r>
        <w:rPr>
          <w:lang w:eastAsia="zh-CN"/>
        </w:rPr>
        <w:t xml:space="preserve"> </w:t>
      </w:r>
      <w:r>
        <w:rPr>
          <w:lang w:eastAsia="zh-CN"/>
        </w:rPr>
        <w:t>列明其能够以精简程序执行的投资交易的最高总涉及金额（</w:t>
      </w:r>
      <w:r>
        <w:rPr>
          <w:lang w:eastAsia="zh-CN"/>
        </w:rPr>
        <w:t>“</w:t>
      </w:r>
      <w:r>
        <w:rPr>
          <w:b/>
          <w:lang w:eastAsia="zh-CN"/>
        </w:rPr>
        <w:t>精简交易限额</w:t>
      </w:r>
      <w:r>
        <w:rPr>
          <w:lang w:eastAsia="zh-CN"/>
        </w:rPr>
        <w:t>”</w:t>
      </w:r>
      <w:r>
        <w:rPr>
          <w:lang w:eastAsia="zh-CN"/>
        </w:rPr>
        <w:t>）。</w:t>
      </w:r>
    </w:p>
    <w:p w:rsidR="009E1D8F" w:rsidRDefault="009D6863">
      <w:pPr>
        <w:pStyle w:val="BodyText"/>
        <w:rPr>
          <w:lang w:eastAsia="zh-CN"/>
        </w:rPr>
      </w:pPr>
      <w:r>
        <w:rPr>
          <w:lang w:eastAsia="zh-CN"/>
        </w:rPr>
        <w:t>高端专业投资者订立合适其个人情况的精简交易限额。持牌中介人须记录高端专业投资者订立的精简交易限额以及高端专业投资者订立该特定水平精简交易限额的依据。</w:t>
      </w:r>
    </w:p>
    <w:p w:rsidR="009E1D8F" w:rsidRDefault="009D6863">
      <w:pPr>
        <w:pStyle w:val="BodyText"/>
        <w:rPr>
          <w:lang w:eastAsia="zh-CN"/>
        </w:rPr>
      </w:pPr>
      <w:r>
        <w:rPr>
          <w:u w:val="single"/>
          <w:lang w:eastAsia="zh-CN"/>
        </w:rPr>
        <w:t>有效的系统及管控措施</w:t>
      </w:r>
    </w:p>
    <w:p w:rsidR="009E1D8F" w:rsidRDefault="009D6863">
      <w:pPr>
        <w:pStyle w:val="BodyText"/>
      </w:pPr>
      <w:r>
        <w:rPr>
          <w:lang w:eastAsia="zh-CN"/>
        </w:rPr>
        <w:t>持牌中介人必须建立和维持有效的系统及管控措施，以确保符合高端专业投资者的精简交易限额。</w:t>
      </w:r>
      <w:r>
        <w:t>特别是，他们应该</w:t>
      </w:r>
      <w:r>
        <w:t>:</w:t>
      </w:r>
    </w:p>
    <w:p w:rsidR="009E1D8F" w:rsidRDefault="009D6863">
      <w:pPr>
        <w:pStyle w:val="Compact"/>
        <w:numPr>
          <w:ilvl w:val="0"/>
          <w:numId w:val="13"/>
        </w:numPr>
        <w:rPr>
          <w:lang w:eastAsia="zh-CN"/>
        </w:rPr>
      </w:pPr>
      <w:r>
        <w:rPr>
          <w:lang w:eastAsia="zh-CN"/>
        </w:rPr>
        <w:t>确保以精简程序执行的投资交易的总涉及金额不超过精简交易限额；或</w:t>
      </w:r>
    </w:p>
    <w:p w:rsidR="009E1D8F" w:rsidRDefault="009D6863">
      <w:pPr>
        <w:pStyle w:val="Compact"/>
        <w:numPr>
          <w:ilvl w:val="0"/>
          <w:numId w:val="13"/>
        </w:numPr>
        <w:rPr>
          <w:lang w:eastAsia="zh-CN"/>
        </w:rPr>
      </w:pPr>
      <w:r>
        <w:rPr>
          <w:lang w:eastAsia="zh-CN"/>
        </w:rPr>
        <w:t>设立指定户口（或子户口），以整合高端专业投资者以精简程序执行的合资格投资交易。在此情况下，中介人应确保以精简程序执行的投资交易的总涉及金额，于高端专业投资者向该等指定户口增补或存入新资金后，保持在或低于有关精简交易限额。中介人应至少于进行年度检讨或每当新资</w:t>
      </w:r>
      <w:r>
        <w:rPr>
          <w:lang w:eastAsia="zh-CN"/>
        </w:rPr>
        <w:t xml:space="preserve"> </w:t>
      </w:r>
      <w:r>
        <w:rPr>
          <w:lang w:eastAsia="zh-CN"/>
        </w:rPr>
        <w:t>金存入指定户口时，与高端专业投资者筹商其分配至该等指定户口的总涉及金额，或该等指定户</w:t>
      </w:r>
      <w:r>
        <w:rPr>
          <w:lang w:eastAsia="zh-CN"/>
        </w:rPr>
        <w:t>口相对中介人为其为所管理资产的占比。</w:t>
      </w:r>
    </w:p>
    <w:p w:rsidR="009E1D8F" w:rsidRDefault="009D6863">
      <w:pPr>
        <w:pStyle w:val="FirstParagraph"/>
      </w:pPr>
      <w:r>
        <w:t>持牌中介人亦有责任：</w:t>
      </w:r>
    </w:p>
    <w:p w:rsidR="009E1D8F" w:rsidRDefault="009D6863">
      <w:pPr>
        <w:pStyle w:val="Compact"/>
        <w:numPr>
          <w:ilvl w:val="0"/>
          <w:numId w:val="14"/>
        </w:numPr>
        <w:rPr>
          <w:lang w:eastAsia="zh-CN"/>
        </w:rPr>
      </w:pPr>
      <w:r>
        <w:rPr>
          <w:lang w:eastAsia="zh-CN"/>
        </w:rPr>
        <w:t>制订措施以侦测超高额或重大交易，并就该等交易向高端专业投资者发出警告声明；</w:t>
      </w:r>
    </w:p>
    <w:p w:rsidR="009E1D8F" w:rsidRDefault="009D6863">
      <w:pPr>
        <w:pStyle w:val="Compact"/>
        <w:numPr>
          <w:ilvl w:val="0"/>
          <w:numId w:val="14"/>
        </w:numPr>
        <w:rPr>
          <w:lang w:eastAsia="zh-CN"/>
        </w:rPr>
      </w:pPr>
      <w:r>
        <w:rPr>
          <w:lang w:eastAsia="zh-CN"/>
        </w:rPr>
        <w:t>中介人应对相关精简交易限额的合规情况每年进行至少一次检讨；及</w:t>
      </w:r>
    </w:p>
    <w:p w:rsidR="009E1D8F" w:rsidRDefault="009D6863">
      <w:pPr>
        <w:pStyle w:val="Compact"/>
        <w:numPr>
          <w:ilvl w:val="0"/>
          <w:numId w:val="14"/>
        </w:numPr>
        <w:rPr>
          <w:lang w:eastAsia="zh-CN"/>
        </w:rPr>
      </w:pPr>
      <w:r>
        <w:rPr>
          <w:lang w:eastAsia="zh-CN"/>
        </w:rPr>
        <w:t>当以精简程序执行的投资交易及／或指定户口内的总涉及金额超出相关精简交易限额时，中介人应就此向高端专业投资者发出提醒。</w:t>
      </w:r>
    </w:p>
    <w:p w:rsidR="009E1D8F" w:rsidRPr="009D6863" w:rsidRDefault="009D6863">
      <w:pPr>
        <w:pStyle w:val="FirstParagraph"/>
        <w:rPr>
          <w:b/>
          <w:color w:val="FF0000"/>
          <w:lang w:eastAsia="zh-CN"/>
        </w:rPr>
      </w:pPr>
      <w:r w:rsidRPr="009D6863">
        <w:rPr>
          <w:b/>
          <w:color w:val="FF0000"/>
          <w:lang w:eastAsia="zh-CN"/>
        </w:rPr>
        <w:lastRenderedPageBreak/>
        <w:t>高端专业投资者：精简程序</w:t>
      </w:r>
    </w:p>
    <w:p w:rsidR="009E1D8F" w:rsidRDefault="009D6863">
      <w:pPr>
        <w:pStyle w:val="BodyText"/>
        <w:rPr>
          <w:lang w:eastAsia="zh-CN"/>
        </w:rPr>
      </w:pPr>
      <w:r>
        <w:rPr>
          <w:lang w:eastAsia="zh-CN"/>
        </w:rPr>
        <w:t>适用于涉及建议或招揽行为的交易，可精简的程序载于附件</w:t>
      </w:r>
      <w:r>
        <w:rPr>
          <w:lang w:eastAsia="zh-CN"/>
        </w:rPr>
        <w:t>1</w:t>
      </w:r>
      <w:r>
        <w:rPr>
          <w:lang w:eastAsia="zh-CN"/>
        </w:rPr>
        <w:t>第</w:t>
      </w:r>
      <w:r>
        <w:rPr>
          <w:lang w:eastAsia="zh-CN"/>
        </w:rPr>
        <w:t>10</w:t>
      </w:r>
      <w:r>
        <w:rPr>
          <w:lang w:eastAsia="zh-CN"/>
        </w:rPr>
        <w:t>段，适用于不涉及建议或招揽行为的复杂产品交易，可精简的程序载于第</w:t>
      </w:r>
      <w:r>
        <w:rPr>
          <w:lang w:eastAsia="zh-CN"/>
        </w:rPr>
        <w:t>11</w:t>
      </w:r>
      <w:r>
        <w:rPr>
          <w:lang w:eastAsia="zh-CN"/>
        </w:rPr>
        <w:t>段，以利便中介人提供合理适当建议的责任。</w:t>
      </w:r>
    </w:p>
    <w:p w:rsidR="009E1D8F" w:rsidRPr="009D6863" w:rsidRDefault="009D6863">
      <w:pPr>
        <w:pStyle w:val="BodyText"/>
        <w:rPr>
          <w:b/>
          <w:lang w:eastAsia="zh-CN"/>
        </w:rPr>
      </w:pPr>
      <w:r w:rsidRPr="009D6863">
        <w:rPr>
          <w:b/>
          <w:lang w:eastAsia="zh-CN"/>
        </w:rPr>
        <w:t>适用于涉及持牌中介人建议或招揽行为的交易的精简程序</w:t>
      </w:r>
    </w:p>
    <w:p w:rsidR="009E1D8F" w:rsidRDefault="009D6863">
      <w:pPr>
        <w:pStyle w:val="BodyText"/>
        <w:rPr>
          <w:lang w:eastAsia="zh-CN"/>
        </w:rPr>
      </w:pPr>
      <w:r>
        <w:rPr>
          <w:lang w:eastAsia="zh-CN"/>
        </w:rPr>
        <w:t>当持牌中介人向高端专业投资者推荐或招揽投资交易时，他们不必：</w:t>
      </w:r>
    </w:p>
    <w:p w:rsidR="009E1D8F" w:rsidRDefault="009D6863">
      <w:pPr>
        <w:pStyle w:val="Compact"/>
        <w:numPr>
          <w:ilvl w:val="0"/>
          <w:numId w:val="15"/>
        </w:numPr>
        <w:rPr>
          <w:lang w:eastAsia="zh-CN"/>
        </w:rPr>
      </w:pPr>
      <w:r>
        <w:rPr>
          <w:lang w:eastAsia="zh-CN"/>
        </w:rPr>
        <w:t>持牌中介人无须就高端专业投资者的风险承受能力、投资目标及投资年期与每项合资格投资交易进行配对；</w:t>
      </w:r>
    </w:p>
    <w:p w:rsidR="009E1D8F" w:rsidRDefault="009D6863">
      <w:pPr>
        <w:pStyle w:val="Compact"/>
        <w:numPr>
          <w:ilvl w:val="0"/>
          <w:numId w:val="15"/>
        </w:numPr>
        <w:rPr>
          <w:lang w:eastAsia="zh-CN"/>
        </w:rPr>
      </w:pPr>
      <w:r>
        <w:rPr>
          <w:lang w:eastAsia="zh-CN"/>
        </w:rPr>
        <w:t>持牌中介人无须就高端专业投资者的知识和经验，及就每项合资格投资交易为该高端专业投资者所带来的集中风险进行评估；</w:t>
      </w:r>
    </w:p>
    <w:p w:rsidR="009E1D8F" w:rsidRDefault="009D6863">
      <w:pPr>
        <w:pStyle w:val="Compact"/>
        <w:numPr>
          <w:ilvl w:val="0"/>
          <w:numId w:val="15"/>
        </w:numPr>
        <w:rPr>
          <w:lang w:eastAsia="zh-CN"/>
        </w:rPr>
      </w:pPr>
      <w:r>
        <w:rPr>
          <w:lang w:eastAsia="zh-CN"/>
        </w:rPr>
        <w:t>持牌中介人无须提供产品说明（若高端专业投资者就该项交易向中介人提出要求及／或提出任何重要疑问除外）。持牌中介人须向高端专业投资者提供最新的产品发售文件，而中介人可选择透过以电子方式（例如电邮</w:t>
      </w:r>
      <w:r>
        <w:rPr>
          <w:lang w:eastAsia="zh-CN"/>
        </w:rPr>
        <w:t>）向高端专业投资者发送该等文件的网页链接或附件；及</w:t>
      </w:r>
    </w:p>
    <w:p w:rsidR="009E1D8F" w:rsidRDefault="009D6863">
      <w:pPr>
        <w:pStyle w:val="Compact"/>
        <w:numPr>
          <w:ilvl w:val="0"/>
          <w:numId w:val="15"/>
        </w:numPr>
        <w:rPr>
          <w:lang w:eastAsia="zh-CN"/>
        </w:rPr>
      </w:pPr>
      <w:r>
        <w:rPr>
          <w:lang w:eastAsia="zh-CN"/>
        </w:rPr>
        <w:t>持牌中介人无须备存纪录及以文件载明其向高端专业投资者所作出的投资建议的依据。</w:t>
      </w:r>
    </w:p>
    <w:p w:rsidR="009E1D8F" w:rsidRPr="009D6863" w:rsidRDefault="009D6863">
      <w:pPr>
        <w:pStyle w:val="FirstParagraph"/>
        <w:rPr>
          <w:b/>
          <w:lang w:eastAsia="zh-CN"/>
        </w:rPr>
      </w:pPr>
      <w:r w:rsidRPr="009D6863">
        <w:rPr>
          <w:b/>
          <w:lang w:eastAsia="zh-CN"/>
        </w:rPr>
        <w:t>适用于不涉及建议或招揽行为的复杂产品交易的精简程序</w:t>
      </w:r>
    </w:p>
    <w:p w:rsidR="009E1D8F" w:rsidRDefault="009D6863">
      <w:pPr>
        <w:pStyle w:val="BodyText"/>
        <w:rPr>
          <w:lang w:eastAsia="zh-CN"/>
        </w:rPr>
      </w:pPr>
      <w:r>
        <w:rPr>
          <w:lang w:eastAsia="zh-CN"/>
        </w:rPr>
        <w:t>持牌中介人采纳的适用于不涉及建议或招揽行为的复杂产品交易的精简程序与上述适用于涉及持牌中介人建议或招揽行为的交易的精简程序一致。但是，除了向高端专业投资者提供发售文件的责任外，在复杂产品中进行交易的持牌中介人无须就高端专业投资者订明的产品类别内所包括的投资产品进行产品尽职审查。如果债券发售文件未提供给高端专业投资者，持牌中介人必须</w:t>
      </w:r>
      <w:r>
        <w:rPr>
          <w:lang w:eastAsia="zh-CN"/>
        </w:rPr>
        <w:t>:</w:t>
      </w:r>
    </w:p>
    <w:p w:rsidR="009E1D8F" w:rsidRDefault="009D6863">
      <w:pPr>
        <w:pStyle w:val="Compact"/>
        <w:numPr>
          <w:ilvl w:val="0"/>
          <w:numId w:val="16"/>
        </w:numPr>
        <w:rPr>
          <w:lang w:eastAsia="zh-CN"/>
        </w:rPr>
      </w:pPr>
      <w:r>
        <w:rPr>
          <w:lang w:eastAsia="zh-CN"/>
        </w:rPr>
        <w:t>中介人应就证监会于</w:t>
      </w:r>
      <w:r>
        <w:rPr>
          <w:lang w:eastAsia="zh-CN"/>
        </w:rPr>
        <w:t>2020</w:t>
      </w:r>
      <w:r>
        <w:rPr>
          <w:lang w:eastAsia="zh-CN"/>
        </w:rPr>
        <w:t>年</w:t>
      </w:r>
      <w:r>
        <w:rPr>
          <w:lang w:eastAsia="zh-CN"/>
        </w:rPr>
        <w:t>12</w:t>
      </w:r>
      <w:r>
        <w:rPr>
          <w:lang w:eastAsia="zh-CN"/>
        </w:rPr>
        <w:t>月</w:t>
      </w:r>
      <w:r>
        <w:rPr>
          <w:lang w:eastAsia="zh-CN"/>
        </w:rPr>
        <w:t>20</w:t>
      </w:r>
      <w:r>
        <w:rPr>
          <w:lang w:eastAsia="zh-CN"/>
        </w:rPr>
        <w:t>日刊发的《关于涉及非招揽复杂产品进行产品尽职审查及披露产品信息的常见问题》编备及向高端专业投资者提供主要条款及特点的概要；</w:t>
      </w:r>
    </w:p>
    <w:p w:rsidR="009E1D8F" w:rsidRDefault="009D6863">
      <w:pPr>
        <w:pStyle w:val="Compact"/>
        <w:numPr>
          <w:ilvl w:val="0"/>
          <w:numId w:val="16"/>
        </w:numPr>
        <w:rPr>
          <w:lang w:eastAsia="zh-CN"/>
        </w:rPr>
      </w:pPr>
      <w:r>
        <w:rPr>
          <w:lang w:eastAsia="zh-CN"/>
        </w:rPr>
        <w:t>采用可靠的公开</w:t>
      </w:r>
      <w:r>
        <w:rPr>
          <w:lang w:eastAsia="zh-CN"/>
        </w:rPr>
        <w:t>信息或数据提供者，就有关于该投资产品的主要条款及特点，向高端专业投资者提供充分数据。持牌中介人可透过书面、口头或同时以此两种方式（须备存纪录）向高端专业投资者提供投资产品的主要条款及特点。</w:t>
      </w:r>
    </w:p>
    <w:p w:rsidR="009E1D8F" w:rsidRDefault="009D6863">
      <w:pPr>
        <w:pStyle w:val="FirstParagraph"/>
        <w:rPr>
          <w:lang w:eastAsia="zh-CN"/>
        </w:rPr>
      </w:pPr>
      <w:r>
        <w:rPr>
          <w:lang w:eastAsia="zh-CN"/>
        </w:rPr>
        <w:t>持牌中介人亦可于每年（而非在每次执行复杂产品交易时）向高端专业投资者提供有关分销复杂产品的警告声明。</w:t>
      </w:r>
    </w:p>
    <w:p w:rsidR="009E1D8F" w:rsidRPr="009D6863" w:rsidRDefault="009D6863">
      <w:pPr>
        <w:pStyle w:val="BodyText"/>
        <w:rPr>
          <w:b/>
          <w:color w:val="FF0000"/>
          <w:lang w:eastAsia="zh-CN"/>
        </w:rPr>
      </w:pPr>
      <w:r w:rsidRPr="009D6863">
        <w:rPr>
          <w:b/>
          <w:color w:val="FF0000"/>
          <w:lang w:eastAsia="zh-CN"/>
        </w:rPr>
        <w:t>精简程序的应用</w:t>
      </w:r>
    </w:p>
    <w:p w:rsidR="009E1D8F" w:rsidRPr="009D6863" w:rsidRDefault="009D6863">
      <w:pPr>
        <w:pStyle w:val="BodyText"/>
        <w:rPr>
          <w:b/>
          <w:lang w:eastAsia="zh-CN"/>
        </w:rPr>
      </w:pPr>
      <w:r w:rsidRPr="009D6863">
        <w:rPr>
          <w:b/>
          <w:lang w:eastAsia="zh-CN"/>
        </w:rPr>
        <w:t>对高端专业投资者的评估</w:t>
      </w:r>
    </w:p>
    <w:p w:rsidR="009E1D8F" w:rsidRDefault="009D6863">
      <w:pPr>
        <w:pStyle w:val="BodyText"/>
        <w:rPr>
          <w:lang w:eastAsia="zh-CN"/>
        </w:rPr>
      </w:pPr>
      <w:r>
        <w:rPr>
          <w:lang w:eastAsia="zh-CN"/>
        </w:rPr>
        <w:t>持牌中介人仅应在合理地信纳高端专业投资者符合财政状况及知识或投资目标以及非保守型投资者，才采用精简程序与该高端专业投资者进行投资交易。评估应以书面载述，持牌中介人应备存在评估过程中</w:t>
      </w:r>
      <w:r>
        <w:rPr>
          <w:lang w:eastAsia="zh-CN"/>
        </w:rPr>
        <w:t>取得的所有相关数据及文件纪录，以说明评估结果的依据。</w:t>
      </w:r>
    </w:p>
    <w:p w:rsidR="009E1D8F" w:rsidRDefault="009D6863">
      <w:pPr>
        <w:pStyle w:val="BodyText"/>
        <w:rPr>
          <w:lang w:eastAsia="zh-CN"/>
        </w:rPr>
      </w:pPr>
      <w:r>
        <w:rPr>
          <w:lang w:eastAsia="zh-CN"/>
        </w:rPr>
        <w:t>中介人亦应备存其与高端专业投资者的所有往来通讯纪录，以说明及支持该高端专业投资者订明的产品类别及精简交易限额。</w:t>
      </w:r>
    </w:p>
    <w:p w:rsidR="009E1D8F" w:rsidRDefault="009D6863">
      <w:pPr>
        <w:pStyle w:val="BodyText"/>
        <w:rPr>
          <w:lang w:eastAsia="zh-CN"/>
        </w:rPr>
      </w:pPr>
      <w:r>
        <w:rPr>
          <w:lang w:eastAsia="zh-CN"/>
        </w:rPr>
        <w:t>证监会的常见问题指出，只要持牌中介人在</w:t>
      </w:r>
      <w:r>
        <w:rPr>
          <w:lang w:eastAsia="zh-CN"/>
        </w:rPr>
        <w:t>“</w:t>
      </w:r>
      <w:r>
        <w:rPr>
          <w:lang w:eastAsia="zh-CN"/>
        </w:rPr>
        <w:t>了解你的客户</w:t>
      </w:r>
      <w:r>
        <w:rPr>
          <w:lang w:eastAsia="zh-CN"/>
        </w:rPr>
        <w:t>”</w:t>
      </w:r>
      <w:r>
        <w:rPr>
          <w:lang w:eastAsia="zh-CN"/>
        </w:rPr>
        <w:t>过程中作出合理努力以获取客户资料，持牌中介人便可根据客户所披露的资料，来决定其是否合资格成为高端专业投资者。然而，持牌中介人须注意所提供的资料与中介人持有的资料之间的任何不一致之处。</w:t>
      </w:r>
      <w:hyperlink w:anchor="footnote-598-8">
        <w:r>
          <w:rPr>
            <w:vertAlign w:val="superscript"/>
            <w:lang w:eastAsia="zh-CN"/>
          </w:rPr>
          <w:t>8</w:t>
        </w:r>
      </w:hyperlink>
    </w:p>
    <w:p w:rsidR="009E1D8F" w:rsidRPr="009D6863" w:rsidRDefault="009D6863">
      <w:pPr>
        <w:pStyle w:val="BodyText"/>
        <w:rPr>
          <w:b/>
          <w:lang w:eastAsia="zh-CN"/>
        </w:rPr>
      </w:pPr>
      <w:r w:rsidRPr="009D6863">
        <w:rPr>
          <w:b/>
          <w:lang w:eastAsia="zh-CN"/>
        </w:rPr>
        <w:t>客户确认</w:t>
      </w:r>
    </w:p>
    <w:p w:rsidR="009E1D8F" w:rsidRDefault="009D6863">
      <w:pPr>
        <w:pStyle w:val="BodyText"/>
        <w:rPr>
          <w:lang w:eastAsia="zh-CN"/>
        </w:rPr>
      </w:pPr>
      <w:r>
        <w:rPr>
          <w:lang w:eastAsia="zh-CN"/>
        </w:rPr>
        <w:t>在采用精简程序与高端专</w:t>
      </w:r>
      <w:r>
        <w:rPr>
          <w:lang w:eastAsia="zh-CN"/>
        </w:rPr>
        <w:t>业投资者进行合资格投资交易前，中介人应：</w:t>
      </w:r>
    </w:p>
    <w:p w:rsidR="009E1D8F" w:rsidRDefault="009D6863">
      <w:pPr>
        <w:pStyle w:val="Compact"/>
        <w:numPr>
          <w:ilvl w:val="0"/>
          <w:numId w:val="17"/>
        </w:numPr>
        <w:rPr>
          <w:lang w:eastAsia="zh-CN"/>
        </w:rPr>
      </w:pPr>
      <w:r>
        <w:rPr>
          <w:lang w:eastAsia="zh-CN"/>
        </w:rPr>
        <w:lastRenderedPageBreak/>
        <w:t>与每位高端专业投资者订立书面协议，确认该客户同意被视为高端专业投资者（包括有关精简程序、产品类别及精简交易限额）；</w:t>
      </w:r>
    </w:p>
    <w:p w:rsidR="009E1D8F" w:rsidRDefault="009D6863">
      <w:pPr>
        <w:pStyle w:val="Compact"/>
        <w:numPr>
          <w:ilvl w:val="0"/>
          <w:numId w:val="17"/>
        </w:numPr>
        <w:rPr>
          <w:lang w:eastAsia="zh-CN"/>
        </w:rPr>
      </w:pPr>
      <w:r>
        <w:rPr>
          <w:lang w:eastAsia="zh-CN"/>
        </w:rPr>
        <w:t>以书面载明该客户符合成为高端专业投资者的评估依据；及</w:t>
      </w:r>
    </w:p>
    <w:p w:rsidR="009E1D8F" w:rsidRDefault="009D6863">
      <w:pPr>
        <w:pStyle w:val="Compact"/>
        <w:numPr>
          <w:ilvl w:val="0"/>
          <w:numId w:val="17"/>
        </w:numPr>
        <w:rPr>
          <w:lang w:eastAsia="zh-CN"/>
        </w:rPr>
      </w:pPr>
      <w:r>
        <w:rPr>
          <w:lang w:eastAsia="zh-CN"/>
        </w:rPr>
        <w:t>以书面载明可采用精简程序为该客户执行投资交易的产品类别及所订明的精简交易限额；及</w:t>
      </w:r>
    </w:p>
    <w:p w:rsidR="009E1D8F" w:rsidRDefault="009D6863">
      <w:pPr>
        <w:pStyle w:val="Compact"/>
        <w:numPr>
          <w:ilvl w:val="0"/>
          <w:numId w:val="17"/>
        </w:numPr>
        <w:rPr>
          <w:lang w:eastAsia="zh-CN"/>
        </w:rPr>
      </w:pPr>
      <w:r>
        <w:rPr>
          <w:lang w:eastAsia="zh-CN"/>
        </w:rPr>
        <w:t>向该客户详尽说明被视为高端专业投资者的后果，以及该客户享有随时撤回被视为高端专业投资者的权利。</w:t>
      </w:r>
    </w:p>
    <w:p w:rsidR="009E1D8F" w:rsidRPr="009D6863" w:rsidRDefault="009D6863">
      <w:pPr>
        <w:pStyle w:val="FirstParagraph"/>
        <w:rPr>
          <w:b/>
          <w:lang w:eastAsia="zh-CN"/>
        </w:rPr>
      </w:pPr>
      <w:r w:rsidRPr="009D6863">
        <w:rPr>
          <w:b/>
          <w:lang w:eastAsia="zh-CN"/>
        </w:rPr>
        <w:t>被视为高端专业投资者的后果包括</w:t>
      </w:r>
    </w:p>
    <w:p w:rsidR="009E1D8F" w:rsidRDefault="009D6863">
      <w:pPr>
        <w:pStyle w:val="BodyText"/>
        <w:rPr>
          <w:lang w:eastAsia="zh-CN"/>
        </w:rPr>
      </w:pPr>
      <w:r>
        <w:rPr>
          <w:lang w:eastAsia="zh-CN"/>
        </w:rPr>
        <w:t>被视为高端专业投资者的后果包括：</w:t>
      </w:r>
    </w:p>
    <w:p w:rsidR="009E1D8F" w:rsidRDefault="009D6863">
      <w:pPr>
        <w:pStyle w:val="Compact"/>
        <w:numPr>
          <w:ilvl w:val="0"/>
          <w:numId w:val="18"/>
        </w:numPr>
        <w:rPr>
          <w:lang w:eastAsia="zh-CN"/>
        </w:rPr>
      </w:pPr>
      <w:r>
        <w:rPr>
          <w:lang w:eastAsia="zh-CN"/>
        </w:rPr>
        <w:t>中介人将会采用附件</w:t>
      </w:r>
      <w:r>
        <w:rPr>
          <w:lang w:eastAsia="zh-CN"/>
        </w:rPr>
        <w:t>1(C)</w:t>
      </w:r>
      <w:r>
        <w:rPr>
          <w:lang w:eastAsia="zh-CN"/>
        </w:rPr>
        <w:t>节所载的精简程序与高端专业投资</w:t>
      </w:r>
      <w:r>
        <w:rPr>
          <w:lang w:eastAsia="zh-CN"/>
        </w:rPr>
        <w:t>者进行合资格投资交易，以遵守其须向高端专业投资者提供合理适当建议的责任；</w:t>
      </w:r>
    </w:p>
    <w:p w:rsidR="009E1D8F" w:rsidRDefault="009D6863">
      <w:pPr>
        <w:pStyle w:val="Compact"/>
        <w:numPr>
          <w:ilvl w:val="0"/>
          <w:numId w:val="18"/>
        </w:numPr>
        <w:rPr>
          <w:lang w:eastAsia="zh-CN"/>
        </w:rPr>
      </w:pPr>
      <w:r>
        <w:rPr>
          <w:lang w:eastAsia="zh-CN"/>
        </w:rPr>
        <w:t>中介人的销售程序将会因考虑到高端专业投资者的相关程度的知识或经验及亏损承受能力而被相应地精简；且除受订明的产品类别及精简交易限额规限外，高端专业投资者或有可能在受到中介人招揽及／或未受到中介人招揽的情况下，以精简程序悉数投资于高风险投资产品组合，当中高端专业投资者未必获中介人提供向其作出投资建议的依据及／或有关复杂产品交易的警告声明；</w:t>
      </w:r>
    </w:p>
    <w:p w:rsidR="009E1D8F" w:rsidRDefault="009D6863">
      <w:pPr>
        <w:pStyle w:val="Compact"/>
        <w:numPr>
          <w:ilvl w:val="0"/>
          <w:numId w:val="18"/>
        </w:numPr>
        <w:rPr>
          <w:lang w:eastAsia="zh-CN"/>
        </w:rPr>
      </w:pPr>
      <w:r>
        <w:rPr>
          <w:lang w:eastAsia="zh-CN"/>
        </w:rPr>
        <w:t>高端专业投资者一经订明可采用精简程序执行投资交易的产品类别，即表示确认其具备相关程度的知识或经验及亏</w:t>
      </w:r>
      <w:r>
        <w:rPr>
          <w:lang w:eastAsia="zh-CN"/>
        </w:rPr>
        <w:t>损承受能力，以理解和接纳以下事宜：</w:t>
      </w:r>
    </w:p>
    <w:p w:rsidR="009E1D8F" w:rsidRDefault="009D6863">
      <w:pPr>
        <w:pStyle w:val="Compact"/>
        <w:numPr>
          <w:ilvl w:val="1"/>
          <w:numId w:val="19"/>
        </w:numPr>
        <w:rPr>
          <w:lang w:eastAsia="zh-CN"/>
        </w:rPr>
      </w:pPr>
      <w:r>
        <w:rPr>
          <w:lang w:eastAsia="zh-CN"/>
        </w:rPr>
        <w:t>产品类别内所包括的投资产品的特性、性质及风险程度（载述于产品类别数据）；</w:t>
      </w:r>
    </w:p>
    <w:p w:rsidR="009E1D8F" w:rsidRDefault="009D6863">
      <w:pPr>
        <w:pStyle w:val="Compact"/>
        <w:numPr>
          <w:ilvl w:val="1"/>
          <w:numId w:val="19"/>
        </w:numPr>
        <w:rPr>
          <w:lang w:eastAsia="zh-CN"/>
        </w:rPr>
      </w:pPr>
      <w:r>
        <w:rPr>
          <w:lang w:eastAsia="zh-CN"/>
        </w:rPr>
        <w:t>其享有在每次执行投资交易前，就该项交易向中介人提出问题或要求中介人为其作出产品说明的权利；及</w:t>
      </w:r>
    </w:p>
    <w:p w:rsidR="009E1D8F" w:rsidRDefault="009D6863">
      <w:pPr>
        <w:pStyle w:val="Compact"/>
        <w:numPr>
          <w:ilvl w:val="1"/>
          <w:numId w:val="19"/>
        </w:numPr>
        <w:rPr>
          <w:lang w:eastAsia="zh-CN"/>
        </w:rPr>
      </w:pPr>
      <w:r>
        <w:rPr>
          <w:lang w:eastAsia="zh-CN"/>
        </w:rPr>
        <w:t>其享有随时新增或删除所选的产品类别的权利；</w:t>
      </w:r>
    </w:p>
    <w:p w:rsidR="009E1D8F" w:rsidRDefault="009D6863">
      <w:pPr>
        <w:pStyle w:val="Compact"/>
        <w:numPr>
          <w:ilvl w:val="0"/>
          <w:numId w:val="18"/>
        </w:numPr>
        <w:rPr>
          <w:lang w:eastAsia="zh-CN"/>
        </w:rPr>
      </w:pPr>
      <w:r>
        <w:rPr>
          <w:lang w:eastAsia="zh-CN"/>
        </w:rPr>
        <w:t>高端专业投资者一经订明可采用精简程序执行投资交易的精简交易限额，即表示确认其具备相关程度的知识或经验及亏损承受能力，以理解和接纳以下事宜：</w:t>
      </w:r>
    </w:p>
    <w:p w:rsidR="009E1D8F" w:rsidRDefault="009D6863">
      <w:pPr>
        <w:pStyle w:val="Compact"/>
        <w:numPr>
          <w:ilvl w:val="1"/>
          <w:numId w:val="20"/>
        </w:numPr>
        <w:rPr>
          <w:lang w:eastAsia="zh-CN"/>
        </w:rPr>
      </w:pPr>
      <w:r>
        <w:rPr>
          <w:lang w:eastAsia="zh-CN"/>
        </w:rPr>
        <w:t>以精简程序执行的投资交易所产生的风险（包括集中风险）的程度；</w:t>
      </w:r>
    </w:p>
    <w:p w:rsidR="009E1D8F" w:rsidRDefault="009D6863">
      <w:pPr>
        <w:pStyle w:val="Compact"/>
        <w:numPr>
          <w:ilvl w:val="1"/>
          <w:numId w:val="20"/>
        </w:numPr>
        <w:rPr>
          <w:lang w:eastAsia="zh-CN"/>
        </w:rPr>
      </w:pPr>
      <w:r>
        <w:rPr>
          <w:lang w:eastAsia="zh-CN"/>
        </w:rPr>
        <w:t>所订明的精简交易限额与其个人情况（例如知识或经验及亏损承受能力）相称；及</w:t>
      </w:r>
    </w:p>
    <w:p w:rsidR="009E1D8F" w:rsidRDefault="009D6863">
      <w:pPr>
        <w:pStyle w:val="Compact"/>
        <w:numPr>
          <w:ilvl w:val="1"/>
          <w:numId w:val="20"/>
        </w:numPr>
        <w:rPr>
          <w:lang w:eastAsia="zh-CN"/>
        </w:rPr>
      </w:pPr>
      <w:r>
        <w:rPr>
          <w:lang w:eastAsia="zh-CN"/>
        </w:rPr>
        <w:t>其享有随时修订其订明的精简交易限额的权利。</w:t>
      </w:r>
    </w:p>
    <w:p w:rsidR="009E1D8F" w:rsidRPr="009D6863" w:rsidRDefault="009D6863">
      <w:pPr>
        <w:pStyle w:val="FirstParagraph"/>
        <w:rPr>
          <w:b/>
          <w:lang w:eastAsia="zh-CN"/>
        </w:rPr>
      </w:pPr>
      <w:r w:rsidRPr="009D6863">
        <w:rPr>
          <w:b/>
          <w:lang w:eastAsia="zh-CN"/>
        </w:rPr>
        <w:t>持牌中介人年度检讨责任</w:t>
      </w:r>
      <w:bookmarkStart w:id="0" w:name="_GoBack"/>
      <w:bookmarkEnd w:id="0"/>
    </w:p>
    <w:p w:rsidR="009E1D8F" w:rsidRDefault="009D6863">
      <w:pPr>
        <w:pStyle w:val="BodyText"/>
        <w:rPr>
          <w:lang w:eastAsia="zh-CN"/>
        </w:rPr>
      </w:pPr>
      <w:r>
        <w:rPr>
          <w:lang w:eastAsia="zh-CN"/>
        </w:rPr>
        <w:t>中介人应为确认高端专业投资者继续符合资格准则进行年度检讨，并确认该高端专业投资者同意中介人就订明的产品类别及精简交易限额，继续以精简程序执行该等合资格投资交易。中介人在进行年度检讨时，应以书面形式提醒客户以下事宜：</w:t>
      </w:r>
    </w:p>
    <w:p w:rsidR="009E1D8F" w:rsidRDefault="009D6863">
      <w:pPr>
        <w:pStyle w:val="Compact"/>
        <w:numPr>
          <w:ilvl w:val="0"/>
          <w:numId w:val="21"/>
        </w:numPr>
        <w:rPr>
          <w:lang w:eastAsia="zh-CN"/>
        </w:rPr>
      </w:pPr>
      <w:r>
        <w:rPr>
          <w:lang w:eastAsia="zh-CN"/>
        </w:rPr>
        <w:t>该客户被视为高端专业投资者的后果；</w:t>
      </w:r>
    </w:p>
    <w:p w:rsidR="009E1D8F" w:rsidRDefault="009D6863">
      <w:pPr>
        <w:pStyle w:val="Compact"/>
        <w:numPr>
          <w:ilvl w:val="0"/>
          <w:numId w:val="21"/>
        </w:numPr>
        <w:rPr>
          <w:lang w:eastAsia="zh-CN"/>
        </w:rPr>
      </w:pPr>
      <w:r>
        <w:rPr>
          <w:lang w:eastAsia="zh-CN"/>
        </w:rPr>
        <w:t>该客户所订明的产品类别，以及相关产品类别数据所载关于产品类别的内容；</w:t>
      </w:r>
    </w:p>
    <w:p w:rsidR="009E1D8F" w:rsidRDefault="009D6863">
      <w:pPr>
        <w:pStyle w:val="Compact"/>
        <w:numPr>
          <w:ilvl w:val="0"/>
          <w:numId w:val="21"/>
        </w:numPr>
        <w:rPr>
          <w:lang w:eastAsia="zh-CN"/>
        </w:rPr>
      </w:pPr>
      <w:r>
        <w:rPr>
          <w:lang w:eastAsia="zh-CN"/>
        </w:rPr>
        <w:t>该客户所订明的精简交易限额，并就任何已发生的超额情况向客户发出提醒；及</w:t>
      </w:r>
    </w:p>
    <w:p w:rsidR="009E1D8F" w:rsidRDefault="009D6863">
      <w:pPr>
        <w:pStyle w:val="Compact"/>
        <w:numPr>
          <w:ilvl w:val="0"/>
          <w:numId w:val="21"/>
        </w:numPr>
        <w:rPr>
          <w:lang w:eastAsia="zh-CN"/>
        </w:rPr>
      </w:pPr>
      <w:r>
        <w:rPr>
          <w:lang w:eastAsia="zh-CN"/>
        </w:rPr>
        <w:t>该客户享有随时撤回被视为高端专业投资者，随时新增或删除所选的产品类别，及／或随时修订其订明的精简交易限额的权利。</w:t>
      </w:r>
    </w:p>
    <w:p w:rsidR="009E1D8F" w:rsidRDefault="009D6863">
      <w:pPr>
        <w:pStyle w:val="FirstParagraph"/>
        <w:rPr>
          <w:lang w:eastAsia="zh-CN"/>
        </w:rPr>
      </w:pPr>
      <w:hyperlink w:anchor="footnote-598-1-backlink">
        <w:r>
          <w:rPr>
            <w:lang w:eastAsia="zh-CN"/>
          </w:rPr>
          <w:t>1</w:t>
        </w:r>
      </w:hyperlink>
      <w:r>
        <w:rPr>
          <w:lang w:eastAsia="zh-CN"/>
        </w:rPr>
        <w:t xml:space="preserve"> </w:t>
      </w:r>
      <w:r>
        <w:rPr>
          <w:lang w:eastAsia="zh-CN"/>
        </w:rPr>
        <w:t>证监会及金管局。（</w:t>
      </w:r>
      <w:r>
        <w:rPr>
          <w:lang w:eastAsia="zh-CN"/>
        </w:rPr>
        <w:t>2023</w:t>
      </w:r>
      <w:r>
        <w:rPr>
          <w:lang w:eastAsia="zh-CN"/>
        </w:rPr>
        <w:t>年</w:t>
      </w:r>
      <w:r>
        <w:rPr>
          <w:lang w:eastAsia="zh-CN"/>
        </w:rPr>
        <w:t>7</w:t>
      </w:r>
      <w:r>
        <w:rPr>
          <w:lang w:eastAsia="zh-CN"/>
        </w:rPr>
        <w:t>月）。《致中介人的联合通函：有关中介人为遵守向高端专业投资者提供合理适当建议的责任的精简程序》</w:t>
      </w:r>
      <w:hyperlink r:id="rId11">
        <w:r>
          <w:rPr>
            <w:lang w:eastAsia="zh-CN"/>
          </w:rPr>
          <w:t>https://apps.sfc.hk/edistributionWeb/gateway/EN/circular/suitability/doc?refNo=23EC35</w:t>
        </w:r>
      </w:hyperlink>
    </w:p>
    <w:p w:rsidR="009E1D8F" w:rsidRDefault="009D6863">
      <w:pPr>
        <w:pStyle w:val="BodyText"/>
      </w:pPr>
      <w:hyperlink w:anchor="footnote-598-2-backlink">
        <w:r>
          <w:t>2</w:t>
        </w:r>
      </w:hyperlink>
      <w:r>
        <w:t xml:space="preserve"> </w:t>
      </w:r>
      <w:r>
        <w:t>证监会。（</w:t>
      </w:r>
      <w:r>
        <w:t>2023</w:t>
      </w:r>
      <w:r>
        <w:t>年</w:t>
      </w:r>
      <w:r>
        <w:t>7</w:t>
      </w:r>
      <w:r>
        <w:t>月）。《有关中介人为遵守向高端专业投资者提供合理适当建议的责任的精</w:t>
      </w:r>
      <w:r>
        <w:lastRenderedPageBreak/>
        <w:t>简程序的</w:t>
      </w:r>
      <w:r>
        <w:t>&lt;</w:t>
      </w:r>
      <w:r>
        <w:t>常见问题</w:t>
      </w:r>
      <w:r>
        <w:t>&gt;</w:t>
      </w:r>
      <w:r>
        <w:t>》</w:t>
      </w:r>
      <w:hyperlink r:id="rId12">
        <w:r>
          <w:t>https://www.sfc.hk/en/faqs/intermediaries/supervision/Sophisticated-Professional-Investors/Sophisticated-Professional-Invest</w:t>
        </w:r>
        <w:r>
          <w:t>ors</w:t>
        </w:r>
      </w:hyperlink>
    </w:p>
    <w:p w:rsidR="009E1D8F" w:rsidRDefault="009D6863">
      <w:pPr>
        <w:pStyle w:val="BodyText"/>
        <w:rPr>
          <w:lang w:eastAsia="zh-CN"/>
        </w:rPr>
      </w:pPr>
      <w:hyperlink w:anchor="footnote-598-3-backlink">
        <w:r>
          <w:rPr>
            <w:lang w:eastAsia="zh-CN"/>
          </w:rPr>
          <w:t>3</w:t>
        </w:r>
      </w:hyperlink>
      <w:r>
        <w:rPr>
          <w:lang w:eastAsia="zh-CN"/>
        </w:rPr>
        <w:t xml:space="preserve"> </w:t>
      </w:r>
      <w:r>
        <w:rPr>
          <w:lang w:eastAsia="zh-CN"/>
        </w:rPr>
        <w:t>《证监会操守准则》第</w:t>
      </w:r>
      <w:r>
        <w:rPr>
          <w:lang w:eastAsia="zh-CN"/>
        </w:rPr>
        <w:t>5.5</w:t>
      </w:r>
      <w:r>
        <w:rPr>
          <w:lang w:eastAsia="zh-CN"/>
        </w:rPr>
        <w:t>段注释</w:t>
      </w:r>
    </w:p>
    <w:p w:rsidR="009E1D8F" w:rsidRDefault="009D6863">
      <w:pPr>
        <w:pStyle w:val="BodyText"/>
      </w:pPr>
      <w:hyperlink w:anchor="footnote-598-4-backlink">
        <w:r>
          <w:t>4</w:t>
        </w:r>
      </w:hyperlink>
      <w:r>
        <w:t xml:space="preserve"> </w:t>
      </w:r>
      <w:r>
        <w:t>同上。有关被视为复杂及非复杂产品的投资产品的进一步指引载于证监会网站：</w:t>
      </w:r>
      <w:hyperlink r:id="rId13">
        <w:r>
          <w:t>https://www.sfc.hk/en/Rules-and-standards/Suitability-requirement/Non-complex-and-complex-products</w:t>
        </w:r>
      </w:hyperlink>
    </w:p>
    <w:p w:rsidR="009E1D8F" w:rsidRDefault="009D6863">
      <w:pPr>
        <w:pStyle w:val="BodyText"/>
        <w:rPr>
          <w:lang w:eastAsia="zh-CN"/>
        </w:rPr>
      </w:pPr>
      <w:hyperlink w:anchor="footnote-598-5-backlink">
        <w:r>
          <w:rPr>
            <w:lang w:eastAsia="zh-CN"/>
          </w:rPr>
          <w:t>5</w:t>
        </w:r>
      </w:hyperlink>
      <w:r>
        <w:rPr>
          <w:lang w:eastAsia="zh-CN"/>
        </w:rPr>
        <w:t xml:space="preserve"> </w:t>
      </w:r>
      <w:r>
        <w:rPr>
          <w:lang w:eastAsia="zh-CN"/>
        </w:rPr>
        <w:t>《证券及期货（专业投资者）规则》</w:t>
      </w:r>
    </w:p>
    <w:p w:rsidR="009E1D8F" w:rsidRDefault="009D6863">
      <w:pPr>
        <w:pStyle w:val="BodyText"/>
        <w:rPr>
          <w:lang w:eastAsia="zh-CN"/>
        </w:rPr>
      </w:pPr>
      <w:hyperlink w:anchor="footnote-598-6-backlink">
        <w:r>
          <w:rPr>
            <w:lang w:eastAsia="zh-CN"/>
          </w:rPr>
          <w:t>6</w:t>
        </w:r>
      </w:hyperlink>
      <w:r>
        <w:rPr>
          <w:lang w:eastAsia="zh-CN"/>
        </w:rPr>
        <w:t xml:space="preserve"> </w:t>
      </w:r>
      <w:r>
        <w:rPr>
          <w:lang w:eastAsia="zh-CN"/>
        </w:rPr>
        <w:t>同上。</w:t>
      </w:r>
    </w:p>
    <w:p w:rsidR="009E1D8F" w:rsidRDefault="009D6863">
      <w:pPr>
        <w:pStyle w:val="BodyText"/>
        <w:rPr>
          <w:lang w:eastAsia="zh-CN"/>
        </w:rPr>
      </w:pPr>
      <w:hyperlink w:anchor="footnote-598-7-backlink">
        <w:r>
          <w:rPr>
            <w:lang w:eastAsia="zh-CN"/>
          </w:rPr>
          <w:t>7</w:t>
        </w:r>
      </w:hyperlink>
      <w:r>
        <w:rPr>
          <w:lang w:eastAsia="zh-CN"/>
        </w:rPr>
        <w:t xml:space="preserve"> </w:t>
      </w:r>
      <w:r>
        <w:rPr>
          <w:lang w:eastAsia="zh-CN"/>
        </w:rPr>
        <w:t>证监会及金管局联合通函第</w:t>
      </w:r>
      <w:r>
        <w:rPr>
          <w:lang w:eastAsia="zh-CN"/>
        </w:rPr>
        <w:t>6</w:t>
      </w:r>
      <w:r>
        <w:rPr>
          <w:lang w:eastAsia="zh-CN"/>
        </w:rPr>
        <w:t>段</w:t>
      </w:r>
    </w:p>
    <w:p w:rsidR="009E1D8F" w:rsidRDefault="009D6863">
      <w:pPr>
        <w:pStyle w:val="BodyText"/>
        <w:rPr>
          <w:lang w:eastAsia="zh-CN"/>
        </w:rPr>
      </w:pPr>
      <w:hyperlink w:anchor="footnote-598-8-backlink">
        <w:r>
          <w:rPr>
            <w:lang w:eastAsia="zh-CN"/>
          </w:rPr>
          <w:t>8</w:t>
        </w:r>
      </w:hyperlink>
      <w:r>
        <w:rPr>
          <w:lang w:eastAsia="zh-CN"/>
        </w:rPr>
        <w:t xml:space="preserve"> </w:t>
      </w:r>
      <w:r>
        <w:rPr>
          <w:lang w:eastAsia="zh-CN"/>
        </w:rPr>
        <w:t>常见问题</w:t>
      </w:r>
      <w:r>
        <w:rPr>
          <w:lang w:eastAsia="zh-CN"/>
        </w:rPr>
        <w:t>1</w:t>
      </w:r>
    </w:p>
    <w:p w:rsidR="009E1D8F" w:rsidRDefault="009D6863">
      <w:pPr>
        <w:pStyle w:val="DisclaimerBold"/>
        <w:rPr>
          <w:lang w:eastAsia="zh-CN"/>
        </w:rPr>
      </w:pPr>
      <w:r>
        <w:rPr>
          <w:lang w:eastAsia="zh-CN"/>
        </w:rPr>
        <w:t>此法讯仅为提供相关资料信息之用，其内容并</w:t>
      </w:r>
    </w:p>
    <w:p w:rsidR="009E1D8F" w:rsidRDefault="009D6863">
      <w:pPr>
        <w:pStyle w:val="Disclaimer"/>
        <w:rPr>
          <w:lang w:eastAsia="zh-CN"/>
        </w:rPr>
      </w:pPr>
      <w:r>
        <w:rPr>
          <w:lang w:eastAsia="zh-CN"/>
        </w:rPr>
        <w:t>不构成法律建议及个案的法律分析。</w:t>
      </w:r>
    </w:p>
    <w:p w:rsidR="009E1D8F" w:rsidRDefault="009D6863">
      <w:pPr>
        <w:pStyle w:val="Disclaimer"/>
        <w:rPr>
          <w:lang w:eastAsia="zh-CN"/>
        </w:rPr>
      </w:pPr>
      <w:r>
        <w:rPr>
          <w:lang w:eastAsia="zh-CN"/>
        </w:rPr>
        <w:t>此法讯的发送并不是为了在易周律师行与用户或浏览者之间建立一种律师与客户之关系。</w:t>
      </w:r>
    </w:p>
    <w:p w:rsidR="009E1D8F" w:rsidRDefault="009D6863">
      <w:pPr>
        <w:pStyle w:val="Disclaimer"/>
        <w:rPr>
          <w:lang w:eastAsia="zh-CN"/>
        </w:rPr>
      </w:pPr>
      <w:r>
        <w:rPr>
          <w:lang w:eastAsia="zh-CN"/>
        </w:rPr>
        <w:t>易周律师行并不对可从互联网获得的任何第三方内容负责。</w:t>
      </w:r>
    </w:p>
    <w:p w:rsidR="009E1D8F" w:rsidRDefault="009D6863">
      <w:pPr>
        <w:pStyle w:val="Disclaimer"/>
        <w:rPr>
          <w:lang w:eastAsia="zh-CN"/>
        </w:rPr>
      </w:pPr>
      <w:r>
        <w:rPr>
          <w:lang w:eastAsia="zh-CN"/>
        </w:rPr>
        <w:t>如你不希望再收到易周法讯，请发送电邮至</w:t>
      </w:r>
      <w:r>
        <w:rPr>
          <w:lang w:eastAsia="zh-CN"/>
        </w:rPr>
        <w:t xml:space="preserve">  </w:t>
      </w:r>
      <w:hyperlink r:id="rId14">
        <w:r>
          <w:rPr>
            <w:lang w:eastAsia="zh-CN"/>
          </w:rPr>
          <w:t>unsubscribe@charltonslaw.com</w:t>
        </w:r>
      </w:hyperlink>
    </w:p>
    <w:p w:rsidR="009E1D8F" w:rsidRDefault="009D6863">
      <w:pPr>
        <w:pStyle w:val="BlackStrips"/>
      </w:pPr>
      <w:r>
        <w:t xml:space="preserve">Charltons - </w:t>
      </w:r>
      <w:r>
        <w:t>香港法律</w:t>
      </w:r>
      <w:r>
        <w:t xml:space="preserve"> - 2024</w:t>
      </w:r>
      <w:r>
        <w:t>年</w:t>
      </w:r>
      <w:r>
        <w:t>9</w:t>
      </w:r>
      <w:r>
        <w:t>月</w:t>
      </w:r>
      <w:r>
        <w:t>10</w:t>
      </w:r>
      <w:r>
        <w:t>日</w:t>
      </w:r>
    </w:p>
    <w:sectPr w:rsidR="009E1D8F">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D6863">
      <w:pPr>
        <w:spacing w:after="0"/>
      </w:pPr>
      <w:r>
        <w:separator/>
      </w:r>
    </w:p>
  </w:endnote>
  <w:endnote w:type="continuationSeparator" w:id="0">
    <w:p w:rsidR="00000000" w:rsidRDefault="009D68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D8F" w:rsidRDefault="009D6863">
      <w:r>
        <w:separator/>
      </w:r>
    </w:p>
  </w:footnote>
  <w:footnote w:type="continuationSeparator" w:id="0">
    <w:p w:rsidR="009E1D8F" w:rsidRDefault="009D6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CFB4E1B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696249C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EB26B55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784D58"/>
    <w:rsid w:val="008D6863"/>
    <w:rsid w:val="009D6863"/>
    <w:rsid w:val="009E1D8F"/>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D2FE0-0D04-40FE-8A5E-536E12A7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sfc.hk/edistributionWeb/gateway/TC/circular/suitability/doc?refNo=23EC35" TargetMode="External"/><Relationship Id="rId13" Type="http://schemas.openxmlformats.org/officeDocument/2006/relationships/hyperlink" Target="https://www.sfc.hk/en/Rules-and-standards/Suitability-requirement/Non-complex-and-complex-products" TargetMode="External"/><Relationship Id="rId3" Type="http://schemas.openxmlformats.org/officeDocument/2006/relationships/settings" Target="settings.xml"/><Relationship Id="rId7" Type="http://schemas.openxmlformats.org/officeDocument/2006/relationships/hyperlink" Target="http://www.charltonslaw.com.cn/xiang-gang-zheng-jian-hui-jin-guan-ju-xiang-gao-duan-zhuan-ye-tou-zi-zhe-ti-gong-xin-de-he-li-gua-dang-jian-yi-de-ze-ren" TargetMode="External"/><Relationship Id="rId12" Type="http://schemas.openxmlformats.org/officeDocument/2006/relationships/hyperlink" Target="https://www.sfc.hk/en/faqs/intermediaries/supervision/Sophisticated-Professional-Investors/Sophisticated-Professional-Investo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sfc.hk/edistributionWeb/gateway/EN/circular/suitability/doc?refNo=23EC3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pps.sfc.hk/edistributionWeb/api/circular/openAppendix?lang=TC&amp;refNo=23EC35&amp;appendix=0" TargetMode="External"/><Relationship Id="rId4" Type="http://schemas.openxmlformats.org/officeDocument/2006/relationships/webSettings" Target="webSettings.xml"/><Relationship Id="rId9" Type="http://schemas.openxmlformats.org/officeDocument/2006/relationships/hyperlink" Target="https://www.sfc.hk/TC/faqs/intermediaries/supervision/Sophisticated-Professional-Investors/Sophisticated-Professional-Investors" TargetMode="External"/><Relationship Id="rId14"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1191</Words>
  <Characters>6794</Characters>
  <Application>Microsoft Office Word</Application>
  <DocSecurity>0</DocSecurity>
  <Lines>56</Lines>
  <Paragraphs>15</Paragraphs>
  <ScaleCrop>false</ScaleCrop>
  <Company>Charltons</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2</cp:revision>
  <dcterms:created xsi:type="dcterms:W3CDTF">2024-09-10T04:45:00Z</dcterms:created>
  <dcterms:modified xsi:type="dcterms:W3CDTF">2024-09-10T07:22:00Z</dcterms:modified>
</cp:coreProperties>
</file>