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3788" w:rsidRDefault="00A5252B">
      <w:pPr>
        <w:pStyle w:val="BlackStrips"/>
      </w:pPr>
      <w:r>
        <w:t xml:space="preserve">Charltons - </w:t>
      </w:r>
      <w:r>
        <w:t>香港法律</w:t>
      </w:r>
      <w:r>
        <w:t xml:space="preserve"> - 2025</w:t>
      </w:r>
      <w:r>
        <w:t>年</w:t>
      </w:r>
      <w:r>
        <w:t>1</w:t>
      </w:r>
      <w:r>
        <w:t>月</w:t>
      </w:r>
      <w:r>
        <w:t>10</w:t>
      </w:r>
      <w:r>
        <w:t>日</w:t>
      </w:r>
    </w:p>
    <w:p w:rsidR="009A3788" w:rsidRDefault="00A5252B">
      <w:pPr>
        <w:pStyle w:val="ReadOnline"/>
      </w:pPr>
      <w:hyperlink r:id="rId8">
        <w:r>
          <w:t>online version</w:t>
        </w:r>
      </w:hyperlink>
    </w:p>
    <w:p w:rsidR="009A3788" w:rsidRDefault="00A5252B">
      <w:pPr>
        <w:pStyle w:val="Title"/>
        <w:rPr>
          <w:lang w:eastAsia="zh-CN"/>
        </w:rPr>
      </w:pPr>
      <w:r>
        <w:rPr>
          <w:lang w:eastAsia="zh-CN"/>
        </w:rPr>
        <w:t>香港金融管理局公布了</w:t>
      </w:r>
      <w:r>
        <w:rPr>
          <w:lang w:eastAsia="zh-CN"/>
        </w:rPr>
        <w:t>2023</w:t>
      </w:r>
      <w:r>
        <w:rPr>
          <w:lang w:eastAsia="zh-CN"/>
        </w:rPr>
        <w:t>年香港金融科技推广计划</w:t>
      </w:r>
    </w:p>
    <w:p w:rsidR="009A3788" w:rsidRDefault="00A5252B">
      <w:pPr>
        <w:pStyle w:val="FirstParagraph"/>
        <w:rPr>
          <w:lang w:eastAsia="zh-CN"/>
        </w:rPr>
      </w:pPr>
      <w:r>
        <w:rPr>
          <w:lang w:eastAsia="zh-CN"/>
        </w:rPr>
        <w:t>香港金融管理局（</w:t>
      </w:r>
      <w:r>
        <w:rPr>
          <w:b/>
          <w:lang w:eastAsia="zh-CN"/>
        </w:rPr>
        <w:t>金管局</w:t>
      </w:r>
      <w:r>
        <w:rPr>
          <w:lang w:eastAsia="zh-CN"/>
        </w:rPr>
        <w:t>）已公布其</w:t>
      </w:r>
      <w:r>
        <w:rPr>
          <w:lang w:eastAsia="zh-CN"/>
        </w:rPr>
        <w:t>2023</w:t>
      </w:r>
      <w:r>
        <w:rPr>
          <w:lang w:eastAsia="zh-CN"/>
        </w:rPr>
        <w:t>年</w:t>
      </w:r>
      <w:hyperlink r:id="rId9">
        <w:r>
          <w:rPr>
            <w:lang w:eastAsia="zh-CN"/>
          </w:rPr>
          <w:t>《金融科技推广计划》</w:t>
        </w:r>
      </w:hyperlink>
      <w:r>
        <w:rPr>
          <w:lang w:eastAsia="zh-CN"/>
        </w:rPr>
        <w:t>，列出其计划将在未来</w:t>
      </w:r>
      <w:r>
        <w:rPr>
          <w:lang w:eastAsia="zh-CN"/>
        </w:rPr>
        <w:t>1</w:t>
      </w:r>
      <w:r>
        <w:rPr>
          <w:lang w:eastAsia="zh-CN"/>
        </w:rPr>
        <w:t>年内实施的主要活动，以推动金融服务业应用金融科技，尤其是在财富管理、保险及绿色投资业领域。鉴于金融科技应用的重要性，金管局计划在提高对金融科技的认识之外，积极协助金融机构实施金融科技解决方案。该《金融科技推广计划》的若干活动与香港政府将</w:t>
      </w:r>
      <w:r>
        <w:rPr>
          <w:lang w:eastAsia="zh-CN"/>
        </w:rPr>
        <w:t>香港建设为一个国际金融科技枢纽的目标相符，并且是以金管局的金融科技应用评估以及金融科技应用研究的结果为基础的。</w:t>
      </w:r>
    </w:p>
    <w:p w:rsidR="009A3788" w:rsidRDefault="00A5252B">
      <w:pPr>
        <w:pStyle w:val="BodyText"/>
      </w:pPr>
      <w:r>
        <w:rPr>
          <w:lang w:eastAsia="zh-CN"/>
        </w:rPr>
        <w:t>香港的金融服务监管机构，金管局，香港证券及期货事务监察委员会（</w:t>
      </w:r>
      <w:r>
        <w:rPr>
          <w:b/>
          <w:lang w:eastAsia="zh-CN"/>
        </w:rPr>
        <w:t>证监会</w:t>
      </w:r>
      <w:r>
        <w:rPr>
          <w:lang w:eastAsia="zh-CN"/>
        </w:rPr>
        <w:t>）与保险业监管局决心要确保金融科技在香港更广泛的应用，以提高其作为国际金融中心提供世界一流的数字金融服务以及领先的金融枢纽功能的地位。在金融业，金管局于</w:t>
      </w:r>
      <w:r>
        <w:rPr>
          <w:lang w:eastAsia="zh-CN"/>
        </w:rPr>
        <w:t>2021</w:t>
      </w:r>
      <w:r>
        <w:rPr>
          <w:lang w:eastAsia="zh-CN"/>
        </w:rPr>
        <w:t>年采纳了「全面推展银行数码化」措施，鼓励银行将其运营充分数字化。该新的《金融科技推广计划》的目的是鼓励金融服务业更广泛地为终端客户提供更为便利、量身定制、便捷及搞笑的服务，</w:t>
      </w:r>
      <w:r>
        <w:rPr>
          <w:lang w:eastAsia="zh-CN"/>
        </w:rPr>
        <w:t>同时确保一个平衡，互利及可持续的金融科技生态系统。</w:t>
      </w:r>
      <w:r>
        <w:t>该项计划的目标在于：</w:t>
      </w:r>
    </w:p>
    <w:p w:rsidR="009A3788" w:rsidRDefault="00A5252B">
      <w:pPr>
        <w:pStyle w:val="Compact"/>
        <w:numPr>
          <w:ilvl w:val="0"/>
          <w:numId w:val="3"/>
        </w:numPr>
        <w:rPr>
          <w:lang w:eastAsia="zh-CN"/>
        </w:rPr>
      </w:pPr>
      <w:r>
        <w:rPr>
          <w:lang w:eastAsia="zh-CN"/>
        </w:rPr>
        <w:t>促进利益持份者之间金融科技经验及专业知识的交流；</w:t>
      </w:r>
    </w:p>
    <w:p w:rsidR="009A3788" w:rsidRDefault="00A5252B">
      <w:pPr>
        <w:pStyle w:val="Compact"/>
        <w:numPr>
          <w:ilvl w:val="0"/>
          <w:numId w:val="3"/>
        </w:numPr>
        <w:rPr>
          <w:lang w:eastAsia="zh-CN"/>
        </w:rPr>
      </w:pPr>
      <w:r>
        <w:rPr>
          <w:lang w:eastAsia="zh-CN"/>
        </w:rPr>
        <w:t>促进对最新发展、商业机会及风险的研究；</w:t>
      </w:r>
    </w:p>
    <w:p w:rsidR="009A3788" w:rsidRDefault="00A5252B">
      <w:pPr>
        <w:pStyle w:val="Compact"/>
        <w:numPr>
          <w:ilvl w:val="0"/>
          <w:numId w:val="3"/>
        </w:numPr>
        <w:rPr>
          <w:lang w:eastAsia="zh-CN"/>
        </w:rPr>
      </w:pPr>
      <w:r>
        <w:rPr>
          <w:lang w:eastAsia="zh-CN"/>
        </w:rPr>
        <w:t>加强金融科技用户之间的联系，尽量减少重叠性工作，以提高金融服务的效率；及</w:t>
      </w:r>
    </w:p>
    <w:p w:rsidR="009A3788" w:rsidRDefault="00A5252B">
      <w:pPr>
        <w:pStyle w:val="Compact"/>
        <w:numPr>
          <w:ilvl w:val="0"/>
          <w:numId w:val="3"/>
        </w:numPr>
        <w:rPr>
          <w:lang w:eastAsia="zh-CN"/>
        </w:rPr>
      </w:pPr>
      <w:r>
        <w:rPr>
          <w:lang w:eastAsia="zh-CN"/>
        </w:rPr>
        <w:t>为金融科技用户组织培训，以促进金融科技的应用。</w:t>
      </w:r>
    </w:p>
    <w:p w:rsidR="009A3788" w:rsidRDefault="00A5252B">
      <w:pPr>
        <w:pStyle w:val="FirstParagraph"/>
        <w:rPr>
          <w:lang w:eastAsia="zh-CN"/>
        </w:rPr>
      </w:pPr>
      <w:r>
        <w:rPr>
          <w:lang w:eastAsia="zh-CN"/>
        </w:rPr>
        <w:t>香港金融科技环境中的弱点包括缺乏可用的数据、缺乏资金支持以及缺乏金融科技人才。</w:t>
      </w:r>
    </w:p>
    <w:p w:rsidR="009A3788" w:rsidRPr="00512849" w:rsidRDefault="00A5252B">
      <w:pPr>
        <w:pStyle w:val="BodyText"/>
        <w:rPr>
          <w:b/>
          <w:lang w:eastAsia="zh-CN"/>
        </w:rPr>
      </w:pPr>
      <w:r w:rsidRPr="00512849">
        <w:rPr>
          <w:b/>
          <w:lang w:eastAsia="zh-CN"/>
        </w:rPr>
        <w:t>金管局的金融科技应用评估</w:t>
      </w:r>
    </w:p>
    <w:p w:rsidR="009A3788" w:rsidRDefault="00A5252B">
      <w:pPr>
        <w:pStyle w:val="BodyText"/>
        <w:rPr>
          <w:lang w:eastAsia="zh-CN"/>
        </w:rPr>
      </w:pPr>
      <w:r>
        <w:rPr>
          <w:lang w:eastAsia="zh-CN"/>
        </w:rPr>
        <w:t>该</w:t>
      </w:r>
      <w:hyperlink r:id="rId10">
        <w:r>
          <w:rPr>
            <w:lang w:eastAsia="zh-CN"/>
          </w:rPr>
          <w:t>《应用评估报告》</w:t>
        </w:r>
      </w:hyperlink>
      <w:r>
        <w:rPr>
          <w:lang w:eastAsia="zh-CN"/>
        </w:rPr>
        <w:t>研究香港银行对金融科技的应用，于</w:t>
      </w:r>
      <w:r>
        <w:rPr>
          <w:lang w:eastAsia="zh-CN"/>
        </w:rPr>
        <w:t>2022</w:t>
      </w:r>
      <w:r>
        <w:rPr>
          <w:lang w:eastAsia="zh-CN"/>
        </w:rPr>
        <w:t>年公布，强调</w:t>
      </w:r>
      <w:r>
        <w:rPr>
          <w:lang w:eastAsia="zh-CN"/>
        </w:rPr>
        <w:t>5</w:t>
      </w:r>
      <w:r>
        <w:rPr>
          <w:lang w:eastAsia="zh-CN"/>
        </w:rPr>
        <w:t>个金融科技重点领域：</w:t>
      </w:r>
    </w:p>
    <w:p w:rsidR="009A3788" w:rsidRDefault="00A5252B">
      <w:pPr>
        <w:pStyle w:val="Compact"/>
        <w:numPr>
          <w:ilvl w:val="0"/>
          <w:numId w:val="4"/>
        </w:numPr>
        <w:rPr>
          <w:lang w:eastAsia="zh-CN"/>
        </w:rPr>
      </w:pPr>
      <w:r>
        <w:rPr>
          <w:b/>
          <w:lang w:eastAsia="zh-CN"/>
        </w:rPr>
        <w:t>财富科技</w:t>
      </w:r>
      <w:r>
        <w:rPr>
          <w:lang w:eastAsia="zh-CN"/>
        </w:rPr>
        <w:t>，即财务规划、投资管理、投资组合分析、投资执行以及客户沟通等财富管理服务；</w:t>
      </w:r>
    </w:p>
    <w:p w:rsidR="009A3788" w:rsidRDefault="00A5252B">
      <w:pPr>
        <w:pStyle w:val="Compact"/>
        <w:numPr>
          <w:ilvl w:val="0"/>
          <w:numId w:val="4"/>
        </w:numPr>
        <w:rPr>
          <w:lang w:eastAsia="zh-CN"/>
        </w:rPr>
      </w:pPr>
      <w:r>
        <w:rPr>
          <w:b/>
          <w:lang w:eastAsia="zh-CN"/>
        </w:rPr>
        <w:t>保险科技</w:t>
      </w:r>
      <w:r>
        <w:rPr>
          <w:lang w:eastAsia="zh-CN"/>
        </w:rPr>
        <w:t>，侧重于改进风险评估、自动索赔评估以及欺诈检测，以节省索赔处理过程中的时间及成本；</w:t>
      </w:r>
    </w:p>
    <w:p w:rsidR="009A3788" w:rsidRDefault="00A5252B">
      <w:pPr>
        <w:pStyle w:val="Compact"/>
        <w:numPr>
          <w:ilvl w:val="0"/>
          <w:numId w:val="4"/>
        </w:numPr>
        <w:rPr>
          <w:lang w:eastAsia="zh-CN"/>
        </w:rPr>
      </w:pPr>
      <w:r>
        <w:rPr>
          <w:b/>
          <w:lang w:eastAsia="zh-CN"/>
        </w:rPr>
        <w:t>绿色科技</w:t>
      </w:r>
      <w:r>
        <w:rPr>
          <w:lang w:eastAsia="zh-CN"/>
        </w:rPr>
        <w:t>，旨在确定符合环境、社会及管治（</w:t>
      </w:r>
      <w:r>
        <w:rPr>
          <w:b/>
          <w:lang w:eastAsia="zh-CN"/>
        </w:rPr>
        <w:t>ESG</w:t>
      </w:r>
      <w:r>
        <w:rPr>
          <w:lang w:eastAsia="zh-CN"/>
        </w:rPr>
        <w:t>）协议的投资机会；</w:t>
      </w:r>
    </w:p>
    <w:p w:rsidR="009A3788" w:rsidRDefault="00A5252B">
      <w:pPr>
        <w:pStyle w:val="Compact"/>
        <w:numPr>
          <w:ilvl w:val="0"/>
          <w:numId w:val="4"/>
        </w:numPr>
        <w:rPr>
          <w:lang w:eastAsia="zh-CN"/>
        </w:rPr>
      </w:pPr>
      <w:r>
        <w:rPr>
          <w:b/>
          <w:lang w:eastAsia="zh-CN"/>
        </w:rPr>
        <w:t>人工智能</w:t>
      </w:r>
      <w:r>
        <w:rPr>
          <w:lang w:eastAsia="zh-CN"/>
        </w:rPr>
        <w:t xml:space="preserve"> – </w:t>
      </w:r>
      <w:r>
        <w:rPr>
          <w:lang w:eastAsia="zh-CN"/>
        </w:rPr>
        <w:t>即模拟机器的智能，使其能够执行通常由人类执行的</w:t>
      </w:r>
      <w:r>
        <w:rPr>
          <w:lang w:eastAsia="zh-CN"/>
        </w:rPr>
        <w:t>任务。人工智能应用的样例包括光学字符识别（</w:t>
      </w:r>
      <w:r>
        <w:rPr>
          <w:b/>
          <w:lang w:eastAsia="zh-CN"/>
        </w:rPr>
        <w:t>OCR</w:t>
      </w:r>
      <w:r>
        <w:rPr>
          <w:lang w:eastAsia="zh-CN"/>
        </w:rPr>
        <w:t>）、机器人过程自动化（</w:t>
      </w:r>
      <w:r>
        <w:rPr>
          <w:b/>
          <w:lang w:eastAsia="zh-CN"/>
        </w:rPr>
        <w:t>RPA</w:t>
      </w:r>
      <w:r>
        <w:rPr>
          <w:lang w:eastAsia="zh-CN"/>
        </w:rPr>
        <w:t>）、生物识别认证、增强数据分析、实时监控、深度学习、联合学习及会话自然语言处理（</w:t>
      </w:r>
      <w:r>
        <w:rPr>
          <w:b/>
          <w:lang w:eastAsia="zh-CN"/>
        </w:rPr>
        <w:t>NLP</w:t>
      </w:r>
      <w:r>
        <w:rPr>
          <w:lang w:eastAsia="zh-CN"/>
        </w:rPr>
        <w:t>）；以及</w:t>
      </w:r>
    </w:p>
    <w:p w:rsidR="009A3788" w:rsidRDefault="00A5252B">
      <w:pPr>
        <w:pStyle w:val="Compact"/>
        <w:numPr>
          <w:ilvl w:val="0"/>
          <w:numId w:val="4"/>
        </w:numPr>
        <w:rPr>
          <w:lang w:eastAsia="zh-CN"/>
        </w:rPr>
      </w:pPr>
      <w:r>
        <w:rPr>
          <w:b/>
          <w:lang w:eastAsia="zh-CN"/>
        </w:rPr>
        <w:t>分布式帐本技术</w:t>
      </w:r>
      <w:r>
        <w:rPr>
          <w:lang w:eastAsia="zh-CN"/>
        </w:rPr>
        <w:t xml:space="preserve"> – </w:t>
      </w:r>
      <w:r>
        <w:rPr>
          <w:lang w:eastAsia="zh-CN"/>
        </w:rPr>
        <w:t>一个分散及分布式的数据库，使多个分类账能够保持共享的交易记录，从而提高跨境支付、汇款及证券发行的效率，减少金融交易的时间以及成本。</w:t>
      </w:r>
    </w:p>
    <w:p w:rsidR="009A3788" w:rsidRDefault="00A5252B">
      <w:pPr>
        <w:pStyle w:val="FirstParagraph"/>
        <w:rPr>
          <w:lang w:eastAsia="zh-CN"/>
        </w:rPr>
      </w:pPr>
      <w:r>
        <w:rPr>
          <w:lang w:eastAsia="zh-CN"/>
        </w:rPr>
        <w:t>根据金管局的金融科技应用评估，</w:t>
      </w:r>
      <w:r>
        <w:rPr>
          <w:lang w:eastAsia="zh-CN"/>
        </w:rPr>
        <w:t>2022</w:t>
      </w:r>
      <w:r>
        <w:rPr>
          <w:lang w:eastAsia="zh-CN"/>
        </w:rPr>
        <w:t>年至</w:t>
      </w:r>
      <w:r>
        <w:rPr>
          <w:lang w:eastAsia="zh-CN"/>
        </w:rPr>
        <w:t>2025</w:t>
      </w:r>
      <w:r>
        <w:rPr>
          <w:lang w:eastAsia="zh-CN"/>
        </w:rPr>
        <w:t>年期间财富科技、投资科技以及保险科技方案的采用率预期将增长</w:t>
      </w:r>
      <w:r w:rsidR="00512849">
        <w:rPr>
          <w:lang w:eastAsia="zh-CN"/>
        </w:rPr>
        <w:t>20-</w:t>
      </w:r>
      <w:r>
        <w:rPr>
          <w:lang w:eastAsia="zh-CN"/>
        </w:rPr>
        <w:t>40%</w:t>
      </w:r>
      <w:r>
        <w:rPr>
          <w:lang w:eastAsia="zh-CN"/>
        </w:rPr>
        <w:t>，而绿色科技的应用率预期将会加倍。对诸如人工智能以及分布式账本技术之</w:t>
      </w:r>
      <w:r>
        <w:rPr>
          <w:lang w:eastAsia="zh-CN"/>
        </w:rPr>
        <w:t>类的新科技的兴趣预期会逐渐增长。</w:t>
      </w:r>
    </w:p>
    <w:p w:rsidR="009A3788" w:rsidRPr="00512849" w:rsidRDefault="00A5252B">
      <w:pPr>
        <w:pStyle w:val="BodyText"/>
        <w:rPr>
          <w:b/>
          <w:lang w:eastAsia="zh-CN"/>
        </w:rPr>
      </w:pPr>
      <w:r w:rsidRPr="00512849">
        <w:rPr>
          <w:b/>
          <w:lang w:eastAsia="zh-CN"/>
        </w:rPr>
        <w:t>金管局的金融科技应用研究</w:t>
      </w:r>
    </w:p>
    <w:p w:rsidR="009A3788" w:rsidRDefault="00A5252B">
      <w:pPr>
        <w:pStyle w:val="BodyText"/>
        <w:rPr>
          <w:lang w:eastAsia="zh-CN"/>
        </w:rPr>
      </w:pPr>
      <w:r>
        <w:rPr>
          <w:lang w:eastAsia="zh-CN"/>
        </w:rPr>
        <w:t>由金管局、毕马威会计师事务所及昆兰律师事务所联合进行的金融科技应用研究，回顾了目前香港的金融科技应用水平，并针对上述</w:t>
      </w:r>
      <w:r>
        <w:rPr>
          <w:lang w:eastAsia="zh-CN"/>
        </w:rPr>
        <w:t>5</w:t>
      </w:r>
      <w:r>
        <w:rPr>
          <w:lang w:eastAsia="zh-CN"/>
        </w:rPr>
        <w:t>个金融科技领域制定了推广计划。研究发现，由于担心第三方金融科技解决方案的质量以及相关的网络安全问题，金融机构通常更喜欢内部开发或部分增</w:t>
      </w:r>
      <w:r>
        <w:rPr>
          <w:lang w:eastAsia="zh-CN"/>
        </w:rPr>
        <w:lastRenderedPageBreak/>
        <w:t>强部署第三方通用解决方案（例如</w:t>
      </w:r>
      <w:r>
        <w:rPr>
          <w:lang w:eastAsia="zh-CN"/>
        </w:rPr>
        <w:t>RPA</w:t>
      </w:r>
      <w:r>
        <w:rPr>
          <w:lang w:eastAsia="zh-CN"/>
        </w:rPr>
        <w:t>）的能力。该项研究发现，金融机构的高内部标准使得他们难以找到能够满足要求标准的金融科技解决方案提供商。组织流程及风险管理协议也可能对金融解决方案提供商施加过多的限制</w:t>
      </w:r>
      <w:r>
        <w:rPr>
          <w:lang w:eastAsia="zh-CN"/>
        </w:rPr>
        <w:t>。该项研究表明，这些问题寓意着各利益持份者之间缺乏相互理解。</w:t>
      </w:r>
    </w:p>
    <w:p w:rsidR="009A3788" w:rsidRPr="00512849" w:rsidRDefault="00A5252B">
      <w:pPr>
        <w:pStyle w:val="BodyText"/>
        <w:rPr>
          <w:b/>
          <w:color w:val="C00000"/>
          <w:lang w:eastAsia="zh-CN"/>
        </w:rPr>
      </w:pPr>
      <w:r w:rsidRPr="00512849">
        <w:rPr>
          <w:b/>
          <w:color w:val="C00000"/>
          <w:lang w:eastAsia="zh-CN"/>
        </w:rPr>
        <w:t>金管局、证监会及保监局近期的金融科技促进措施</w:t>
      </w:r>
    </w:p>
    <w:p w:rsidR="009A3788" w:rsidRPr="00512849" w:rsidRDefault="00A5252B">
      <w:pPr>
        <w:pStyle w:val="BodyText"/>
        <w:rPr>
          <w:b/>
          <w:lang w:eastAsia="zh-CN"/>
        </w:rPr>
      </w:pPr>
      <w:r w:rsidRPr="00512849">
        <w:rPr>
          <w:b/>
          <w:lang w:eastAsia="zh-CN"/>
        </w:rPr>
        <w:t xml:space="preserve">1. </w:t>
      </w:r>
      <w:r w:rsidRPr="00512849">
        <w:rPr>
          <w:b/>
          <w:lang w:eastAsia="zh-CN"/>
        </w:rPr>
        <w:t>推广香港金融枢纽的地位</w:t>
      </w:r>
    </w:p>
    <w:p w:rsidR="009A3788" w:rsidRDefault="00A5252B">
      <w:pPr>
        <w:pStyle w:val="BodyText"/>
        <w:rPr>
          <w:lang w:eastAsia="zh-CN"/>
        </w:rPr>
      </w:pPr>
      <w:r>
        <w:rPr>
          <w:lang w:eastAsia="zh-CN"/>
        </w:rPr>
        <w:t>组织了若干项活动及倡议，准许利益持份者会面并讨论金融科技领域的最新趋势及创新。一个重要的样例是自</w:t>
      </w:r>
      <w:r>
        <w:rPr>
          <w:lang w:eastAsia="zh-CN"/>
        </w:rPr>
        <w:t>2016</w:t>
      </w:r>
      <w:r>
        <w:rPr>
          <w:lang w:eastAsia="zh-CN"/>
        </w:rPr>
        <w:t>年以来每年都会举办的旗舰香港金融科技周。这是推广全球事实跟踪（</w:t>
      </w:r>
      <w:r>
        <w:rPr>
          <w:lang w:eastAsia="zh-CN"/>
        </w:rPr>
        <w:t>GFT</w:t>
      </w:r>
      <w:r>
        <w:rPr>
          <w:lang w:eastAsia="zh-CN"/>
        </w:rPr>
        <w:t>）计划的一个重要场所，该计划通过促进与</w:t>
      </w:r>
      <w:r>
        <w:rPr>
          <w:lang w:eastAsia="zh-CN"/>
        </w:rPr>
        <w:t>100</w:t>
      </w:r>
      <w:r>
        <w:rPr>
          <w:lang w:eastAsia="zh-CN"/>
        </w:rPr>
        <w:t>多家</w:t>
      </w:r>
      <w:r>
        <w:rPr>
          <w:lang w:eastAsia="zh-CN"/>
        </w:rPr>
        <w:t>/</w:t>
      </w:r>
      <w:r>
        <w:rPr>
          <w:lang w:eastAsia="zh-CN"/>
        </w:rPr>
        <w:t>位法团及投资者的互动，为</w:t>
      </w:r>
      <w:r>
        <w:rPr>
          <w:lang w:eastAsia="zh-CN"/>
        </w:rPr>
        <w:t>49</w:t>
      </w:r>
      <w:r>
        <w:rPr>
          <w:lang w:eastAsia="zh-CN"/>
        </w:rPr>
        <w:t>个国家的</w:t>
      </w:r>
      <w:r>
        <w:rPr>
          <w:lang w:eastAsia="zh-CN"/>
        </w:rPr>
        <w:t>800</w:t>
      </w:r>
      <w:r>
        <w:rPr>
          <w:lang w:eastAsia="zh-CN"/>
        </w:rPr>
        <w:t>多家初创企业提供了支持。政府及金融监管机构支持的其他活动包括</w:t>
      </w:r>
      <w:r>
        <w:rPr>
          <w:lang w:eastAsia="zh-CN"/>
        </w:rPr>
        <w:t>2021</w:t>
      </w:r>
      <w:r>
        <w:rPr>
          <w:lang w:eastAsia="zh-CN"/>
        </w:rPr>
        <w:t>年的数码港金融科技创新大会、世界经济论坛峰</w:t>
      </w:r>
      <w:r>
        <w:rPr>
          <w:lang w:eastAsia="zh-CN"/>
        </w:rPr>
        <w:t>会、数字经济峰会以及</w:t>
      </w:r>
      <w:r>
        <w:rPr>
          <w:lang w:eastAsia="zh-CN"/>
        </w:rPr>
        <w:t>2023</w:t>
      </w:r>
      <w:r>
        <w:rPr>
          <w:lang w:eastAsia="zh-CN"/>
        </w:rPr>
        <w:t>年的首届数据峰会，共有</w:t>
      </w:r>
      <w:r>
        <w:rPr>
          <w:lang w:eastAsia="zh-CN"/>
        </w:rPr>
        <w:t>9,000</w:t>
      </w:r>
      <w:r>
        <w:rPr>
          <w:lang w:eastAsia="zh-CN"/>
        </w:rPr>
        <w:t>人参加。</w:t>
      </w:r>
    </w:p>
    <w:p w:rsidR="009A3788" w:rsidRDefault="00A5252B">
      <w:pPr>
        <w:pStyle w:val="BodyText"/>
        <w:rPr>
          <w:lang w:eastAsia="zh-CN"/>
        </w:rPr>
      </w:pPr>
      <w:r>
        <w:rPr>
          <w:lang w:eastAsia="zh-CN"/>
        </w:rPr>
        <w:t>金融科技技术的白皮书及研究报告，包括分布式账本技术、银行人工智能、反洗钱（</w:t>
      </w:r>
      <w:r>
        <w:rPr>
          <w:b/>
          <w:lang w:eastAsia="zh-CN"/>
        </w:rPr>
        <w:t>AML</w:t>
      </w:r>
      <w:r>
        <w:rPr>
          <w:lang w:eastAsia="zh-CN"/>
        </w:rPr>
        <w:t>）、反恐融资（</w:t>
      </w:r>
      <w:r>
        <w:rPr>
          <w:b/>
          <w:lang w:eastAsia="zh-CN"/>
        </w:rPr>
        <w:t>CFT</w:t>
      </w:r>
      <w:r>
        <w:rPr>
          <w:lang w:eastAsia="zh-CN"/>
        </w:rPr>
        <w:t>）以及监管科技解决方案，亦为行业提供了金融科技解决方案及详细的用例。金管局分别于</w:t>
      </w:r>
      <w:r>
        <w:rPr>
          <w:lang w:eastAsia="zh-CN"/>
        </w:rPr>
        <w:t>2016</w:t>
      </w:r>
      <w:r>
        <w:rPr>
          <w:lang w:eastAsia="zh-CN"/>
        </w:rPr>
        <w:t>年及</w:t>
      </w:r>
      <w:r>
        <w:rPr>
          <w:lang w:eastAsia="zh-CN"/>
        </w:rPr>
        <w:t>2017</w:t>
      </w:r>
      <w:r>
        <w:rPr>
          <w:lang w:eastAsia="zh-CN"/>
        </w:rPr>
        <w:t>年发布了关于分布式账本技术的白皮书，为行业参与者提供合规及管治方面的指引。其他关于</w:t>
      </w:r>
      <w:r>
        <w:rPr>
          <w:lang w:eastAsia="zh-CN"/>
        </w:rPr>
        <w:t>2019</w:t>
      </w:r>
      <w:r>
        <w:rPr>
          <w:lang w:eastAsia="zh-CN"/>
        </w:rPr>
        <w:t>年银行业人工智能以及当前技术背景下的反洗钱及反恐融资的文章则提供了对监管科技解决方案的看法。此外，证监会于</w:t>
      </w:r>
      <w:r>
        <w:rPr>
          <w:lang w:eastAsia="zh-CN"/>
        </w:rPr>
        <w:t>2017</w:t>
      </w:r>
      <w:r>
        <w:rPr>
          <w:lang w:eastAsia="zh-CN"/>
        </w:rPr>
        <w:t>年与国际证监会组织合作，发布了一份关于</w:t>
      </w:r>
      <w:r>
        <w:rPr>
          <w:lang w:eastAsia="zh-CN"/>
        </w:rPr>
        <w:t>金融科技解决方案在证券及资本市场产品以及服务中的益处及挑战的深入报告。该报告强调了机器人咨询技术及创新机构交易平台在零售投资市场以及债券交易市场的益处。金管局亦于</w:t>
      </w:r>
      <w:r>
        <w:rPr>
          <w:lang w:eastAsia="zh-CN"/>
        </w:rPr>
        <w:t>2023</w:t>
      </w:r>
      <w:r>
        <w:rPr>
          <w:lang w:eastAsia="zh-CN"/>
        </w:rPr>
        <w:t>年</w:t>
      </w:r>
      <w:r>
        <w:rPr>
          <w:lang w:eastAsia="zh-CN"/>
        </w:rPr>
        <w:t>5</w:t>
      </w:r>
      <w:r>
        <w:rPr>
          <w:lang w:eastAsia="zh-CN"/>
        </w:rPr>
        <w:t>月参与了一份有关加密货币及数字资产市场政策建议的咨询报告。</w:t>
      </w:r>
    </w:p>
    <w:p w:rsidR="009A3788" w:rsidRPr="00512849" w:rsidRDefault="00A5252B">
      <w:pPr>
        <w:pStyle w:val="BodyText"/>
        <w:rPr>
          <w:b/>
          <w:lang w:eastAsia="zh-CN"/>
        </w:rPr>
      </w:pPr>
      <w:r w:rsidRPr="00512849">
        <w:rPr>
          <w:b/>
          <w:lang w:eastAsia="zh-CN"/>
        </w:rPr>
        <w:t xml:space="preserve">2. </w:t>
      </w:r>
      <w:r w:rsidRPr="00512849">
        <w:rPr>
          <w:b/>
          <w:lang w:eastAsia="zh-CN"/>
        </w:rPr>
        <w:t>厘清监管要求</w:t>
      </w:r>
    </w:p>
    <w:p w:rsidR="009A3788" w:rsidRDefault="00A5252B">
      <w:pPr>
        <w:pStyle w:val="BodyText"/>
        <w:rPr>
          <w:lang w:eastAsia="zh-CN"/>
        </w:rPr>
      </w:pPr>
      <w:r>
        <w:rPr>
          <w:lang w:eastAsia="zh-CN"/>
        </w:rPr>
        <w:t>金管局、证监会及保监局定期就监管科技、虚拟资产及网络安全提供指引。例如，金管局的</w:t>
      </w:r>
      <w:r>
        <w:rPr>
          <w:lang w:eastAsia="zh-CN"/>
        </w:rPr>
        <w:t>[</w:t>
      </w:r>
      <w:r>
        <w:rPr>
          <w:lang w:eastAsia="zh-CN"/>
        </w:rPr>
        <w:t>银行便利化倡议</w:t>
      </w:r>
      <w:r>
        <w:rPr>
          <w:lang w:eastAsia="zh-CN"/>
        </w:rPr>
        <w:t>]</w:t>
      </w:r>
      <w:r>
        <w:rPr>
          <w:lang w:eastAsia="zh-CN"/>
        </w:rPr>
        <w:t>旨在减少可能阻碍技术创新的监管阻力。</w:t>
      </w:r>
      <w:r>
        <w:rPr>
          <w:lang w:eastAsia="zh-CN"/>
        </w:rPr>
        <w:t>2018</w:t>
      </w:r>
      <w:r>
        <w:rPr>
          <w:lang w:eastAsia="zh-CN"/>
        </w:rPr>
        <w:t>年</w:t>
      </w:r>
      <w:r>
        <w:rPr>
          <w:lang w:eastAsia="zh-CN"/>
        </w:rPr>
        <w:t>9</w:t>
      </w:r>
      <w:r>
        <w:rPr>
          <w:lang w:eastAsia="zh-CN"/>
        </w:rPr>
        <w:t>月，这些举措进一步拓展，重点是反洗钱及反恐融资。这些措施旨在消除规管模棱两可的地方，提高监管透明度。该目标是透过</w:t>
      </w:r>
      <w:r>
        <w:rPr>
          <w:lang w:eastAsia="zh-CN"/>
        </w:rPr>
        <w:t>使用监管沙箱、提供许可支持以及集中联络点获得支持的。</w:t>
      </w:r>
    </w:p>
    <w:p w:rsidR="009A3788" w:rsidRDefault="00A5252B">
      <w:pPr>
        <w:pStyle w:val="BodyText"/>
        <w:rPr>
          <w:lang w:eastAsia="zh-CN"/>
        </w:rPr>
      </w:pPr>
      <w:r>
        <w:rPr>
          <w:u w:val="single"/>
          <w:lang w:eastAsia="zh-CN"/>
        </w:rPr>
        <w:t>监管沙箱</w:t>
      </w:r>
    </w:p>
    <w:p w:rsidR="009A3788" w:rsidRDefault="00A5252B">
      <w:pPr>
        <w:pStyle w:val="BodyText"/>
        <w:rPr>
          <w:lang w:eastAsia="zh-CN"/>
        </w:rPr>
      </w:pPr>
      <w:r>
        <w:rPr>
          <w:lang w:eastAsia="zh-CN"/>
        </w:rPr>
        <w:t>沙盒的可控特性使金融科技用户能够测试新技术并收集反馈，以促进相关技术在实施之前的进一步完善。该金融科技监管沙箱（</w:t>
      </w:r>
      <w:r>
        <w:rPr>
          <w:b/>
          <w:lang w:eastAsia="zh-CN"/>
        </w:rPr>
        <w:t>FSS</w:t>
      </w:r>
      <w:r>
        <w:rPr>
          <w:lang w:eastAsia="zh-CN"/>
        </w:rPr>
        <w:t>）成立于</w:t>
      </w:r>
      <w:r>
        <w:rPr>
          <w:lang w:eastAsia="zh-CN"/>
        </w:rPr>
        <w:t>2016</w:t>
      </w:r>
      <w:r>
        <w:rPr>
          <w:lang w:eastAsia="zh-CN"/>
        </w:rPr>
        <w:t>年</w:t>
      </w:r>
      <w:r>
        <w:rPr>
          <w:lang w:eastAsia="zh-CN"/>
        </w:rPr>
        <w:t>9</w:t>
      </w:r>
      <w:r>
        <w:rPr>
          <w:lang w:eastAsia="zh-CN"/>
        </w:rPr>
        <w:t>月，准许银行对其人工智能及分布式账本技术金融科技举措进行试点试验。随着时间的推移，该金融科技监管沙箱不断发展出新功能，包括</w:t>
      </w:r>
      <w:r>
        <w:rPr>
          <w:lang w:eastAsia="zh-CN"/>
        </w:rPr>
        <w:t>2017</w:t>
      </w:r>
      <w:r>
        <w:rPr>
          <w:lang w:eastAsia="zh-CN"/>
        </w:rPr>
        <w:t>年的金融科技监管沙箱</w:t>
      </w:r>
      <w:r>
        <w:rPr>
          <w:lang w:eastAsia="zh-CN"/>
        </w:rPr>
        <w:t>2.0</w:t>
      </w:r>
      <w:r>
        <w:rPr>
          <w:lang w:eastAsia="zh-CN"/>
        </w:rPr>
        <w:t>以及</w:t>
      </w:r>
      <w:r>
        <w:rPr>
          <w:lang w:eastAsia="zh-CN"/>
        </w:rPr>
        <w:t>2022</w:t>
      </w:r>
      <w:r>
        <w:rPr>
          <w:lang w:eastAsia="zh-CN"/>
        </w:rPr>
        <w:t>年的金融科技监管沙箱</w:t>
      </w:r>
      <w:r>
        <w:rPr>
          <w:lang w:eastAsia="zh-CN"/>
        </w:rPr>
        <w:t>3.1</w:t>
      </w:r>
      <w:r>
        <w:rPr>
          <w:lang w:eastAsia="zh-CN"/>
        </w:rPr>
        <w:t>试点，以支持该行业的创新及发展。同时，证监会的监管沙箱为公司开展《证券及期货条例》下的受规管活动提供了一个有限的监管环境。保监局亦于</w:t>
      </w:r>
      <w:r>
        <w:rPr>
          <w:lang w:eastAsia="zh-CN"/>
        </w:rPr>
        <w:t>2017</w:t>
      </w:r>
      <w:r>
        <w:rPr>
          <w:lang w:eastAsia="zh-CN"/>
        </w:rPr>
        <w:t>年建立了一个保险科技沙箱，供保险公司在采纳前试验虚拟管理、简化的适用性评估以及自动索赔处理。该等举措旨在促进透明的监管环境，鼓励实验以及创新，同时确保适当的保</w:t>
      </w:r>
      <w:r>
        <w:rPr>
          <w:lang w:eastAsia="zh-CN"/>
        </w:rPr>
        <w:t>障措施到位。</w:t>
      </w:r>
    </w:p>
    <w:p w:rsidR="009A3788" w:rsidRDefault="00A5252B">
      <w:pPr>
        <w:pStyle w:val="BodyText"/>
        <w:rPr>
          <w:lang w:eastAsia="zh-CN"/>
        </w:rPr>
      </w:pPr>
      <w:r>
        <w:rPr>
          <w:u w:val="single"/>
          <w:lang w:eastAsia="zh-CN"/>
        </w:rPr>
        <w:t>许可支持</w:t>
      </w:r>
    </w:p>
    <w:p w:rsidR="009A3788" w:rsidRDefault="00A5252B">
      <w:pPr>
        <w:pStyle w:val="BodyText"/>
        <w:rPr>
          <w:lang w:eastAsia="zh-CN"/>
        </w:rPr>
      </w:pPr>
      <w:r>
        <w:rPr>
          <w:lang w:eastAsia="zh-CN"/>
        </w:rPr>
        <w:t>香港的银行、证券以及保险业已实施了具体的监管框架及审批政策，旨在平衡技术创新与监管合规。金管局规定于</w:t>
      </w:r>
      <w:r>
        <w:rPr>
          <w:lang w:eastAsia="zh-CN"/>
        </w:rPr>
        <w:t>2016</w:t>
      </w:r>
      <w:r>
        <w:rPr>
          <w:lang w:eastAsia="zh-CN"/>
        </w:rPr>
        <w:t>年发出储值便利（</w:t>
      </w:r>
      <w:r>
        <w:rPr>
          <w:b/>
          <w:lang w:eastAsia="zh-CN"/>
        </w:rPr>
        <w:t>SVF</w:t>
      </w:r>
      <w:r>
        <w:rPr>
          <w:lang w:eastAsia="zh-CN"/>
        </w:rPr>
        <w:t>）牌照，并于</w:t>
      </w:r>
      <w:r>
        <w:rPr>
          <w:lang w:eastAsia="zh-CN"/>
        </w:rPr>
        <w:t>2019</w:t>
      </w:r>
      <w:r>
        <w:rPr>
          <w:lang w:eastAsia="zh-CN"/>
        </w:rPr>
        <w:t>年发出虚拟银行牌照。该等电子钱包以及虚拟银行旨在提供更多的金融解决方案，同时保持一定的保障措施。证监会亦透过于</w:t>
      </w:r>
      <w:r>
        <w:rPr>
          <w:lang w:eastAsia="zh-CN"/>
        </w:rPr>
        <w:t>2019</w:t>
      </w:r>
      <w:r>
        <w:rPr>
          <w:lang w:eastAsia="zh-CN"/>
        </w:rPr>
        <w:t>年发出的《网上分销及咨询平台指引》，推动金融科技的应用。</w:t>
      </w:r>
    </w:p>
    <w:p w:rsidR="009A3788" w:rsidRDefault="00A5252B">
      <w:pPr>
        <w:pStyle w:val="BodyText"/>
        <w:rPr>
          <w:lang w:eastAsia="zh-CN"/>
        </w:rPr>
      </w:pPr>
      <w:r>
        <w:rPr>
          <w:lang w:eastAsia="zh-CN"/>
        </w:rPr>
        <w:t>已经实施了虚拟资产活动的监管框架，对管理包括虚拟资产在内的投资组合的实体施加了许可条件。在</w:t>
      </w:r>
      <w:r>
        <w:rPr>
          <w:lang w:eastAsia="zh-CN"/>
        </w:rPr>
        <w:t>2023</w:t>
      </w:r>
      <w:r>
        <w:rPr>
          <w:lang w:eastAsia="zh-CN"/>
        </w:rPr>
        <w:t>年</w:t>
      </w:r>
      <w:r>
        <w:rPr>
          <w:lang w:eastAsia="zh-CN"/>
        </w:rPr>
        <w:t>7</w:t>
      </w:r>
      <w:r>
        <w:rPr>
          <w:lang w:eastAsia="zh-CN"/>
        </w:rPr>
        <w:t>月，证监会为集中虚拟资产交易平台的运营商推出了新的发牌制度，这些平台交易的虚拟资产不属于《证券及期货条例》定义内的证券范畴。该新的发牌制度实施了符合金融行动特别工作组标准的</w:t>
      </w:r>
      <w:r>
        <w:rPr>
          <w:lang w:eastAsia="zh-CN"/>
        </w:rPr>
        <w:t>[</w:t>
      </w:r>
      <w:r>
        <w:rPr>
          <w:lang w:eastAsia="zh-CN"/>
        </w:rPr>
        <w:t>反洗钱</w:t>
      </w:r>
      <w:r>
        <w:rPr>
          <w:lang w:eastAsia="zh-CN"/>
        </w:rPr>
        <w:t>]</w:t>
      </w:r>
      <w:r>
        <w:rPr>
          <w:lang w:eastAsia="zh-CN"/>
        </w:rPr>
        <w:t>及</w:t>
      </w:r>
      <w:r>
        <w:rPr>
          <w:lang w:eastAsia="zh-CN"/>
        </w:rPr>
        <w:t>[</w:t>
      </w:r>
      <w:r>
        <w:rPr>
          <w:lang w:eastAsia="zh-CN"/>
        </w:rPr>
        <w:t>反恐融资</w:t>
      </w:r>
      <w:r>
        <w:rPr>
          <w:lang w:eastAsia="zh-CN"/>
        </w:rPr>
        <w:t>]</w:t>
      </w:r>
      <w:r>
        <w:rPr>
          <w:lang w:eastAsia="zh-CN"/>
        </w:rPr>
        <w:t>义务，并补充了适用于交易属于《证券及期货条例》</w:t>
      </w:r>
      <w:r>
        <w:rPr>
          <w:lang w:eastAsia="zh-CN"/>
        </w:rPr>
        <w:lastRenderedPageBreak/>
        <w:t>定义内的证券范畴的虚拟资产的集中交易平台运营商的现时《证券及期货条例》发牌制度。</w:t>
      </w:r>
      <w:r>
        <w:rPr>
          <w:lang w:eastAsia="zh-CN"/>
        </w:rPr>
        <w:t>2017</w:t>
      </w:r>
      <w:r>
        <w:rPr>
          <w:lang w:eastAsia="zh-CN"/>
        </w:rPr>
        <w:t>年，保监局推出快速授权计划，并发出四张虚拟保险公司牌照，让牌照持有人可自</w:t>
      </w:r>
      <w:r>
        <w:rPr>
          <w:lang w:eastAsia="zh-CN"/>
        </w:rPr>
        <w:t>2018</w:t>
      </w:r>
      <w:r>
        <w:rPr>
          <w:lang w:eastAsia="zh-CN"/>
        </w:rPr>
        <w:t>年起透过数码分销渠道营运。</w:t>
      </w:r>
    </w:p>
    <w:p w:rsidR="009A3788" w:rsidRDefault="00A5252B">
      <w:pPr>
        <w:pStyle w:val="BodyText"/>
        <w:rPr>
          <w:lang w:eastAsia="zh-CN"/>
        </w:rPr>
      </w:pPr>
      <w:r>
        <w:rPr>
          <w:u w:val="single"/>
          <w:lang w:eastAsia="zh-CN"/>
        </w:rPr>
        <w:t>集中联络点</w:t>
      </w:r>
    </w:p>
    <w:p w:rsidR="009A3788" w:rsidRDefault="00A5252B">
      <w:pPr>
        <w:pStyle w:val="BodyText"/>
        <w:rPr>
          <w:lang w:eastAsia="zh-CN"/>
        </w:rPr>
      </w:pPr>
      <w:r>
        <w:rPr>
          <w:lang w:eastAsia="zh-CN"/>
        </w:rPr>
        <w:t>香港的金融监管机构引入集中联络点，以便与业界人士沟通，并就金融科技相关事宜提供专家意见。金管局的金融科技监管聊天室（</w:t>
      </w:r>
      <w:r>
        <w:rPr>
          <w:lang w:eastAsia="zh-CN"/>
        </w:rPr>
        <w:t>2017</w:t>
      </w:r>
      <w:r>
        <w:rPr>
          <w:lang w:eastAsia="zh-CN"/>
        </w:rPr>
        <w:t>年）以及证监会的金融科技监管聊天室在为金融科技咨询小组提供了一个聊天室给予各种选择方面发挥了重要作用，以交流监管反馈，并提供有关监管变化和新趋势的资讯。保监局亦于</w:t>
      </w:r>
      <w:r>
        <w:rPr>
          <w:lang w:eastAsia="zh-CN"/>
        </w:rPr>
        <w:t>2017</w:t>
      </w:r>
      <w:r>
        <w:rPr>
          <w:lang w:eastAsia="zh-CN"/>
        </w:rPr>
        <w:t>年成立保险科技促进小组，加强与保险业公司的沟通，以图推广香港作为区内保险科技枢纽的地位。</w:t>
      </w:r>
    </w:p>
    <w:p w:rsidR="009A3788" w:rsidRPr="00512849" w:rsidRDefault="00A5252B">
      <w:pPr>
        <w:pStyle w:val="BodyText"/>
        <w:rPr>
          <w:b/>
          <w:lang w:eastAsia="zh-CN"/>
        </w:rPr>
      </w:pPr>
      <w:r w:rsidRPr="00512849">
        <w:rPr>
          <w:b/>
          <w:lang w:eastAsia="zh-CN"/>
        </w:rPr>
        <w:t xml:space="preserve">3. </w:t>
      </w:r>
      <w:r w:rsidRPr="00512849">
        <w:rPr>
          <w:b/>
          <w:lang w:eastAsia="zh-CN"/>
        </w:rPr>
        <w:t>加强香港的金融科技配套基础设施</w:t>
      </w:r>
    </w:p>
    <w:p w:rsidR="009A3788" w:rsidRDefault="00A5252B">
      <w:pPr>
        <w:pStyle w:val="BodyText"/>
        <w:rPr>
          <w:lang w:eastAsia="zh-CN"/>
        </w:rPr>
      </w:pPr>
      <w:r>
        <w:rPr>
          <w:lang w:eastAsia="zh-CN"/>
        </w:rPr>
        <w:t>创新枢纽及共享基础设施是促进应用金融科技解决方案的</w:t>
      </w:r>
      <w:r>
        <w:rPr>
          <w:lang w:eastAsia="zh-CN"/>
        </w:rPr>
        <w:t>机制的重要样例。</w:t>
      </w:r>
    </w:p>
    <w:p w:rsidR="009A3788" w:rsidRDefault="00A5252B">
      <w:pPr>
        <w:pStyle w:val="BodyText"/>
        <w:rPr>
          <w:lang w:eastAsia="zh-CN"/>
        </w:rPr>
      </w:pPr>
      <w:r>
        <w:rPr>
          <w:u w:val="single"/>
          <w:lang w:eastAsia="zh-CN"/>
        </w:rPr>
        <w:t>创新枢纽</w:t>
      </w:r>
    </w:p>
    <w:p w:rsidR="009A3788" w:rsidRDefault="00A5252B">
      <w:pPr>
        <w:pStyle w:val="BodyText"/>
        <w:rPr>
          <w:lang w:eastAsia="zh-CN"/>
        </w:rPr>
      </w:pPr>
      <w:r>
        <w:rPr>
          <w:lang w:eastAsia="zh-CN"/>
        </w:rPr>
        <w:t>在香港的金融监管机构及政府的支持下，拥有超过</w:t>
      </w:r>
      <w:r>
        <w:rPr>
          <w:lang w:eastAsia="zh-CN"/>
        </w:rPr>
        <w:t>3,000</w:t>
      </w:r>
      <w:r>
        <w:rPr>
          <w:lang w:eastAsia="zh-CN"/>
        </w:rPr>
        <w:t>家初创企业及本地金融科技公司的数码港及香港科技园（</w:t>
      </w:r>
      <w:r>
        <w:rPr>
          <w:b/>
          <w:lang w:eastAsia="zh-CN"/>
        </w:rPr>
        <w:t>HKSTP</w:t>
      </w:r>
      <w:r>
        <w:rPr>
          <w:lang w:eastAsia="zh-CN"/>
        </w:rPr>
        <w:t>）能够为其成员提供高端设施和计划，从而维持其业务生命周期。例如，金管局</w:t>
      </w:r>
      <w:r>
        <w:rPr>
          <w:lang w:eastAsia="zh-CN"/>
        </w:rPr>
        <w:t>-</w:t>
      </w:r>
      <w:r>
        <w:rPr>
          <w:lang w:eastAsia="zh-CN"/>
        </w:rPr>
        <w:t>香港应用科技研究院（</w:t>
      </w:r>
      <w:r>
        <w:rPr>
          <w:b/>
          <w:lang w:eastAsia="zh-CN"/>
        </w:rPr>
        <w:t>ASTRI</w:t>
      </w:r>
      <w:r>
        <w:rPr>
          <w:lang w:eastAsia="zh-CN"/>
        </w:rPr>
        <w:t>）创新中心为金融科技解决方案提供商提供</w:t>
      </w:r>
      <w:r>
        <w:rPr>
          <w:lang w:eastAsia="zh-CN"/>
        </w:rPr>
        <w:t>200</w:t>
      </w:r>
      <w:r>
        <w:rPr>
          <w:lang w:eastAsia="zh-CN"/>
        </w:rPr>
        <w:t>多个虚拟工作站和</w:t>
      </w:r>
      <w:r>
        <w:rPr>
          <w:lang w:eastAsia="zh-CN"/>
        </w:rPr>
        <w:t>30</w:t>
      </w:r>
      <w:r>
        <w:rPr>
          <w:lang w:eastAsia="zh-CN"/>
        </w:rPr>
        <w:t>个创新设施的连接，以测试他们新发明的解决方案。</w:t>
      </w:r>
    </w:p>
    <w:p w:rsidR="009A3788" w:rsidRDefault="00A5252B">
      <w:pPr>
        <w:pStyle w:val="BodyText"/>
        <w:rPr>
          <w:lang w:eastAsia="zh-CN"/>
        </w:rPr>
      </w:pPr>
      <w:r>
        <w:rPr>
          <w:u w:val="single"/>
          <w:lang w:eastAsia="zh-CN"/>
        </w:rPr>
        <w:t>共享基础设施</w:t>
      </w:r>
    </w:p>
    <w:p w:rsidR="009A3788" w:rsidRDefault="00A5252B">
      <w:pPr>
        <w:pStyle w:val="BodyText"/>
        <w:rPr>
          <w:lang w:eastAsia="zh-CN"/>
        </w:rPr>
      </w:pPr>
      <w:r>
        <w:rPr>
          <w:lang w:eastAsia="zh-CN"/>
        </w:rPr>
        <w:t>香港的金融监管机构已经启动了共享基础设施项目，包括金管局分别于</w:t>
      </w:r>
      <w:r>
        <w:rPr>
          <w:lang w:eastAsia="zh-CN"/>
        </w:rPr>
        <w:t>2019</w:t>
      </w:r>
      <w:r>
        <w:rPr>
          <w:lang w:eastAsia="zh-CN"/>
        </w:rPr>
        <w:t>年及</w:t>
      </w:r>
      <w:r>
        <w:rPr>
          <w:lang w:eastAsia="zh-CN"/>
        </w:rPr>
        <w:t>2022</w:t>
      </w:r>
      <w:r>
        <w:rPr>
          <w:lang w:eastAsia="zh-CN"/>
        </w:rPr>
        <w:t>年推出的开放</w:t>
      </w:r>
      <w:r>
        <w:rPr>
          <w:lang w:eastAsia="zh-CN"/>
        </w:rPr>
        <w:t>API</w:t>
      </w:r>
      <w:r>
        <w:rPr>
          <w:lang w:eastAsia="zh-CN"/>
        </w:rPr>
        <w:t>和</w:t>
      </w:r>
      <w:r>
        <w:rPr>
          <w:lang w:eastAsia="zh-CN"/>
        </w:rPr>
        <w:t>CDI</w:t>
      </w:r>
      <w:r>
        <w:rPr>
          <w:lang w:eastAsia="zh-CN"/>
        </w:rPr>
        <w:t>计划。自</w:t>
      </w:r>
      <w:r>
        <w:rPr>
          <w:lang w:eastAsia="zh-CN"/>
        </w:rPr>
        <w:t>2021</w:t>
      </w:r>
      <w:r>
        <w:rPr>
          <w:lang w:eastAsia="zh-CN"/>
        </w:rPr>
        <w:t>年以来，银行业的开</w:t>
      </w:r>
      <w:r>
        <w:rPr>
          <w:lang w:eastAsia="zh-CN"/>
        </w:rPr>
        <w:t>放</w:t>
      </w:r>
      <w:r>
        <w:rPr>
          <w:lang w:eastAsia="zh-CN"/>
        </w:rPr>
        <w:t>API</w:t>
      </w:r>
      <w:r>
        <w:rPr>
          <w:lang w:eastAsia="zh-CN"/>
        </w:rPr>
        <w:t>促进了银行与第三方服务提供商（</w:t>
      </w:r>
      <w:r>
        <w:rPr>
          <w:b/>
          <w:lang w:eastAsia="zh-CN"/>
        </w:rPr>
        <w:t>TSPs</w:t>
      </w:r>
      <w:r>
        <w:rPr>
          <w:lang w:eastAsia="zh-CN"/>
        </w:rPr>
        <w:t>）在开发创新银行产品方面的合作。保监局亦公布了一个以保险业为重点的开放</w:t>
      </w:r>
      <w:r>
        <w:rPr>
          <w:lang w:eastAsia="zh-CN"/>
        </w:rPr>
        <w:t>API</w:t>
      </w:r>
      <w:r>
        <w:rPr>
          <w:lang w:eastAsia="zh-CN"/>
        </w:rPr>
        <w:t>。金管局的</w:t>
      </w:r>
      <w:r>
        <w:rPr>
          <w:lang w:eastAsia="zh-CN"/>
        </w:rPr>
        <w:t>CDI</w:t>
      </w:r>
      <w:r>
        <w:rPr>
          <w:lang w:eastAsia="zh-CN"/>
        </w:rPr>
        <w:t>是一个安全的平台，让金融机构在征得企业（尤其是中小企业）同意的情况下，从私营及公共数据提供商（包括金融科技解决方案提供商）处提取企业的商业数据。这就简化了银行内部需要用户提供基本相同信息的现有流程，例如为中小企业补充贷款申请以及加快贷款审批。</w:t>
      </w:r>
    </w:p>
    <w:p w:rsidR="009A3788" w:rsidRPr="00512849" w:rsidRDefault="00A5252B">
      <w:pPr>
        <w:pStyle w:val="BodyText"/>
        <w:rPr>
          <w:b/>
          <w:lang w:eastAsia="zh-CN"/>
        </w:rPr>
      </w:pPr>
      <w:r w:rsidRPr="00512849">
        <w:rPr>
          <w:b/>
          <w:lang w:eastAsia="zh-CN"/>
        </w:rPr>
        <w:t xml:space="preserve">4. </w:t>
      </w:r>
      <w:r w:rsidRPr="00512849">
        <w:rPr>
          <w:b/>
          <w:lang w:eastAsia="zh-CN"/>
        </w:rPr>
        <w:t>培养人才</w:t>
      </w:r>
    </w:p>
    <w:p w:rsidR="009A3788" w:rsidRDefault="00A5252B">
      <w:pPr>
        <w:pStyle w:val="BodyText"/>
        <w:rPr>
          <w:lang w:eastAsia="zh-CN"/>
        </w:rPr>
      </w:pPr>
      <w:r>
        <w:rPr>
          <w:lang w:eastAsia="zh-CN"/>
        </w:rPr>
        <w:t>已制定人才计划吸引、培育及留住香港的顶尖人才。数码港推出的金融从业员金融科技培训计划就是一个样例，该计划旨在为金融</w:t>
      </w:r>
      <w:r>
        <w:rPr>
          <w:lang w:eastAsia="zh-CN"/>
        </w:rPr>
        <w:t>界专业人士提供知识及技能，以制定适当的金融科技解决方案。</w:t>
      </w:r>
      <w:r>
        <w:rPr>
          <w:lang w:eastAsia="zh-CN"/>
        </w:rPr>
        <w:t>2022</w:t>
      </w:r>
      <w:r>
        <w:rPr>
          <w:lang w:eastAsia="zh-CN"/>
        </w:rPr>
        <w:t>年计划吸引了</w:t>
      </w:r>
      <w:r>
        <w:rPr>
          <w:lang w:eastAsia="zh-CN"/>
        </w:rPr>
        <w:t>240%</w:t>
      </w:r>
      <w:r>
        <w:rPr>
          <w:lang w:eastAsia="zh-CN"/>
        </w:rPr>
        <w:t>增量幅度的注册量，为香港培育金融科技人才开启了良好的开端。与此同时，金管局于</w:t>
      </w:r>
      <w:r>
        <w:rPr>
          <w:lang w:eastAsia="zh-CN"/>
        </w:rPr>
        <w:t>2021</w:t>
      </w:r>
      <w:r>
        <w:rPr>
          <w:lang w:eastAsia="zh-CN"/>
        </w:rPr>
        <w:t>年推出《金融科技提升能力框架》，其中包括与金融科技相关的不同职位的技能以及资历清单，以指引银行业从业员提高其金融科技的专业能力。针对大学生的计划亦已实施。金融科技职业加速计划与保监局合作，提供间隔年实习机会和保险科技实习机会。此外，行业项目硕士网络计划主要针对研究生。金管局亦支持由科技园、数码港及应用科技研究院等其他合作伙伴举办的人才发展计划</w:t>
      </w:r>
      <w:r>
        <w:rPr>
          <w:lang w:eastAsia="zh-CN"/>
        </w:rPr>
        <w:t>。</w:t>
      </w:r>
    </w:p>
    <w:p w:rsidR="009A3788" w:rsidRPr="00512849" w:rsidRDefault="00A5252B">
      <w:pPr>
        <w:pStyle w:val="BodyText"/>
        <w:rPr>
          <w:b/>
          <w:lang w:eastAsia="zh-CN"/>
        </w:rPr>
      </w:pPr>
      <w:r w:rsidRPr="00512849">
        <w:rPr>
          <w:b/>
          <w:lang w:eastAsia="zh-CN"/>
        </w:rPr>
        <w:t xml:space="preserve">5. </w:t>
      </w:r>
      <w:r w:rsidRPr="00512849">
        <w:rPr>
          <w:b/>
          <w:lang w:eastAsia="zh-CN"/>
        </w:rPr>
        <w:t>提供财政支持</w:t>
      </w:r>
    </w:p>
    <w:p w:rsidR="009A3788" w:rsidRDefault="00A5252B">
      <w:pPr>
        <w:pStyle w:val="BodyText"/>
        <w:rPr>
          <w:lang w:eastAsia="zh-CN"/>
        </w:rPr>
      </w:pPr>
      <w:r>
        <w:rPr>
          <w:lang w:eastAsia="zh-CN"/>
        </w:rPr>
        <w:t>资金一直是科技创新的障碍，为此，香港政府通过数码港及科技园提供补贴以及拨款计划，帮助金融科技解决方案提供商获得资金和投资者。该等资助计划采用双管齐下的方式：</w:t>
      </w:r>
      <w:r>
        <w:rPr>
          <w:lang w:eastAsia="zh-CN"/>
        </w:rPr>
        <w:t>(1)</w:t>
      </w:r>
      <w:r>
        <w:rPr>
          <w:lang w:eastAsia="zh-CN"/>
        </w:rPr>
        <w:t>帮助金融科技解决方案提供商实现其商业理念；以及</w:t>
      </w:r>
      <w:r>
        <w:rPr>
          <w:lang w:eastAsia="zh-CN"/>
        </w:rPr>
        <w:t>(2)</w:t>
      </w:r>
      <w:r>
        <w:rPr>
          <w:lang w:eastAsia="zh-CN"/>
        </w:rPr>
        <w:t>鼓励用户应用金融科技以提振需求。数码港创意微型基金于</w:t>
      </w:r>
      <w:r>
        <w:rPr>
          <w:lang w:eastAsia="zh-CN"/>
        </w:rPr>
        <w:t>2009</w:t>
      </w:r>
      <w:r>
        <w:rPr>
          <w:lang w:eastAsia="zh-CN"/>
        </w:rPr>
        <w:t>年向新成立的初创项目提供</w:t>
      </w:r>
      <w:r>
        <w:rPr>
          <w:lang w:eastAsia="zh-CN"/>
        </w:rPr>
        <w:t>10</w:t>
      </w:r>
      <w:r>
        <w:rPr>
          <w:lang w:eastAsia="zh-CN"/>
        </w:rPr>
        <w:t>万港元的资助，并透过海外及内地市场推广计划向参与海外展览的初创公司提供</w:t>
      </w:r>
      <w:r>
        <w:rPr>
          <w:lang w:eastAsia="zh-CN"/>
        </w:rPr>
        <w:t>20</w:t>
      </w:r>
      <w:r>
        <w:rPr>
          <w:lang w:eastAsia="zh-CN"/>
        </w:rPr>
        <w:t>万港元的资助。最近在</w:t>
      </w:r>
      <w:r>
        <w:rPr>
          <w:lang w:eastAsia="zh-CN"/>
        </w:rPr>
        <w:t>2021</w:t>
      </w:r>
      <w:r>
        <w:rPr>
          <w:lang w:eastAsia="zh-CN"/>
        </w:rPr>
        <w:t>年和</w:t>
      </w:r>
      <w:r>
        <w:rPr>
          <w:lang w:eastAsia="zh-CN"/>
        </w:rPr>
        <w:t>2022</w:t>
      </w:r>
      <w:r>
        <w:rPr>
          <w:lang w:eastAsia="zh-CN"/>
        </w:rPr>
        <w:t>年，「拍住上」资助计划向金融科技行业两端的机构提供了高达</w:t>
      </w:r>
      <w:r>
        <w:rPr>
          <w:lang w:eastAsia="zh-CN"/>
        </w:rPr>
        <w:t>15</w:t>
      </w:r>
      <w:r>
        <w:rPr>
          <w:lang w:eastAsia="zh-CN"/>
        </w:rPr>
        <w:t>万港元的资金</w:t>
      </w:r>
      <w:r>
        <w:rPr>
          <w:lang w:eastAsia="zh-CN"/>
        </w:rPr>
        <w:t>。</w:t>
      </w:r>
    </w:p>
    <w:p w:rsidR="009A3788" w:rsidRPr="00512849" w:rsidRDefault="00A5252B">
      <w:pPr>
        <w:pStyle w:val="BodyText"/>
        <w:rPr>
          <w:b/>
          <w:color w:val="C00000"/>
          <w:lang w:eastAsia="zh-CN"/>
        </w:rPr>
      </w:pPr>
      <w:r w:rsidRPr="00512849">
        <w:rPr>
          <w:b/>
          <w:color w:val="C00000"/>
          <w:lang w:eastAsia="zh-CN"/>
        </w:rPr>
        <w:t>金管局金融科技应用研究</w:t>
      </w:r>
    </w:p>
    <w:p w:rsidR="009A3788" w:rsidRDefault="00A5252B">
      <w:pPr>
        <w:pStyle w:val="BodyText"/>
        <w:rPr>
          <w:lang w:eastAsia="zh-CN"/>
        </w:rPr>
      </w:pPr>
      <w:r>
        <w:rPr>
          <w:lang w:eastAsia="zh-CN"/>
        </w:rPr>
        <w:lastRenderedPageBreak/>
        <w:t>金管局希望透过研究应用金融科技所面临的挑战以及可能的解决方案，鼓励金融机构更多地采用金融科技服务。该研究涵盖了评估中确定的所有五个重点领域，并强调了共享的创新机会。该研究亦有助于展示该等技术的广泛应用潜力，包括客户获取，客户货币化，客户维护以及后端运营，诸如风险管理及流程优化。</w:t>
      </w:r>
    </w:p>
    <w:p w:rsidR="009A3788" w:rsidRDefault="00A5252B">
      <w:pPr>
        <w:pStyle w:val="BodyText"/>
        <w:rPr>
          <w:lang w:eastAsia="zh-CN"/>
        </w:rPr>
      </w:pPr>
      <w:r>
        <w:rPr>
          <w:lang w:eastAsia="zh-CN"/>
        </w:rPr>
        <w:t>行业高管对采用金融科技解决方案表现出不同程度的兴趣，财富科技</w:t>
      </w:r>
      <w:r>
        <w:rPr>
          <w:lang w:eastAsia="zh-CN"/>
        </w:rPr>
        <w:t>/</w:t>
      </w:r>
      <w:r>
        <w:rPr>
          <w:lang w:eastAsia="zh-CN"/>
        </w:rPr>
        <w:t>投资科技、保险科技以及绿色科技分别获得</w:t>
      </w:r>
      <w:r>
        <w:rPr>
          <w:lang w:eastAsia="zh-CN"/>
        </w:rPr>
        <w:t>6.0</w:t>
      </w:r>
      <w:r>
        <w:rPr>
          <w:lang w:eastAsia="zh-CN"/>
        </w:rPr>
        <w:t>、</w:t>
      </w:r>
      <w:r>
        <w:rPr>
          <w:lang w:eastAsia="zh-CN"/>
        </w:rPr>
        <w:t>8.1</w:t>
      </w:r>
      <w:r>
        <w:rPr>
          <w:lang w:eastAsia="zh-CN"/>
        </w:rPr>
        <w:t>及</w:t>
      </w:r>
      <w:r>
        <w:rPr>
          <w:lang w:eastAsia="zh-CN"/>
        </w:rPr>
        <w:t>6.4</w:t>
      </w:r>
      <w:r>
        <w:rPr>
          <w:lang w:eastAsia="zh-CN"/>
        </w:rPr>
        <w:t>分（满分为</w:t>
      </w:r>
      <w:r>
        <w:rPr>
          <w:lang w:eastAsia="zh-CN"/>
        </w:rPr>
        <w:t>10</w:t>
      </w:r>
      <w:r>
        <w:rPr>
          <w:lang w:eastAsia="zh-CN"/>
        </w:rPr>
        <w:t>分）。尽管对绿色科技的兴趣相对较低，但由于对环境、社会及企业管治的日</w:t>
      </w:r>
      <w:r>
        <w:rPr>
          <w:lang w:eastAsia="zh-CN"/>
        </w:rPr>
        <w:t>益重视，绿色科技解决方案在监管机构、资产所有者以及终端投资者中越来越受欢迎。另一方面，缺乏强大的数据框架及结构化数据集阻碍了保险科技解决方案的应用。</w:t>
      </w:r>
    </w:p>
    <w:p w:rsidR="009A3788" w:rsidRDefault="00A5252B">
      <w:pPr>
        <w:pStyle w:val="BodyText"/>
        <w:rPr>
          <w:lang w:eastAsia="zh-CN"/>
        </w:rPr>
      </w:pPr>
      <w:r>
        <w:rPr>
          <w:lang w:eastAsia="zh-CN"/>
        </w:rPr>
        <w:t>该研究指出，在将金融科技解决方案纳入金融机构的日常运营中，通常采用四种不同的方法。</w:t>
      </w:r>
    </w:p>
    <w:tbl>
      <w:tblPr>
        <w:tblStyle w:val="TableGrid"/>
        <w:tblW w:w="5000" w:type="pct"/>
        <w:tblLook w:val="07C0" w:firstRow="0" w:lastRow="1" w:firstColumn="1" w:lastColumn="1" w:noHBand="1" w:noVBand="1"/>
      </w:tblPr>
      <w:tblGrid>
        <w:gridCol w:w="1064"/>
        <w:gridCol w:w="5467"/>
        <w:gridCol w:w="2171"/>
        <w:gridCol w:w="716"/>
        <w:gridCol w:w="976"/>
      </w:tblGrid>
      <w:tr w:rsidR="009A3788" w:rsidTr="00512849">
        <w:tc>
          <w:tcPr>
            <w:tcW w:w="0" w:type="auto"/>
          </w:tcPr>
          <w:p w:rsidR="009A3788" w:rsidRDefault="009A3788">
            <w:pPr>
              <w:rPr>
                <w:lang w:eastAsia="zh-CN"/>
              </w:rPr>
            </w:pPr>
          </w:p>
        </w:tc>
        <w:tc>
          <w:tcPr>
            <w:tcW w:w="0" w:type="auto"/>
          </w:tcPr>
          <w:p w:rsidR="009A3788" w:rsidRPr="00512849" w:rsidRDefault="00A5252B">
            <w:pPr>
              <w:rPr>
                <w:color w:val="C00000"/>
              </w:rPr>
            </w:pPr>
            <w:r w:rsidRPr="00512849">
              <w:rPr>
                <w:color w:val="C00000"/>
              </w:rPr>
              <w:t>特征</w:t>
            </w:r>
          </w:p>
        </w:tc>
        <w:tc>
          <w:tcPr>
            <w:tcW w:w="0" w:type="auto"/>
          </w:tcPr>
          <w:p w:rsidR="009A3788" w:rsidRPr="00512849" w:rsidRDefault="00A5252B">
            <w:pPr>
              <w:rPr>
                <w:color w:val="C00000"/>
              </w:rPr>
            </w:pPr>
            <w:r w:rsidRPr="00512849">
              <w:rPr>
                <w:color w:val="C00000"/>
              </w:rPr>
              <w:t>益处</w:t>
            </w:r>
          </w:p>
        </w:tc>
        <w:tc>
          <w:tcPr>
            <w:tcW w:w="0" w:type="auto"/>
          </w:tcPr>
          <w:p w:rsidR="009A3788" w:rsidRPr="00512849" w:rsidRDefault="00A5252B">
            <w:pPr>
              <w:rPr>
                <w:color w:val="C00000"/>
              </w:rPr>
            </w:pPr>
            <w:r w:rsidRPr="00512849">
              <w:rPr>
                <w:color w:val="C00000"/>
              </w:rPr>
              <w:t>资源要求</w:t>
            </w:r>
          </w:p>
        </w:tc>
        <w:tc>
          <w:tcPr>
            <w:tcW w:w="0" w:type="auto"/>
          </w:tcPr>
          <w:p w:rsidR="009A3788" w:rsidRPr="00512849" w:rsidRDefault="00A5252B">
            <w:pPr>
              <w:rPr>
                <w:color w:val="C00000"/>
              </w:rPr>
            </w:pPr>
            <w:r w:rsidRPr="00512849">
              <w:rPr>
                <w:color w:val="C00000"/>
              </w:rPr>
              <w:t>数字创新成熟度</w:t>
            </w:r>
          </w:p>
        </w:tc>
      </w:tr>
      <w:tr w:rsidR="009A3788" w:rsidTr="00512849">
        <w:tc>
          <w:tcPr>
            <w:tcW w:w="0" w:type="auto"/>
          </w:tcPr>
          <w:p w:rsidR="009A3788" w:rsidRPr="00512849" w:rsidRDefault="00A5252B">
            <w:pPr>
              <w:rPr>
                <w:color w:val="C00000"/>
              </w:rPr>
            </w:pPr>
            <w:r w:rsidRPr="00512849">
              <w:rPr>
                <w:color w:val="C00000"/>
              </w:rPr>
              <w:t>临时基准</w:t>
            </w:r>
          </w:p>
        </w:tc>
        <w:tc>
          <w:tcPr>
            <w:tcW w:w="0" w:type="auto"/>
          </w:tcPr>
          <w:p w:rsidR="009A3788" w:rsidRDefault="00A5252B">
            <w:pPr>
              <w:rPr>
                <w:lang w:eastAsia="zh-CN"/>
              </w:rPr>
            </w:pPr>
            <w:r>
              <w:rPr>
                <w:lang w:eastAsia="zh-CN"/>
              </w:rPr>
              <w:t>成立了一个临时工作小组，以迎合不同个案的需要。</w:t>
            </w:r>
          </w:p>
        </w:tc>
        <w:tc>
          <w:tcPr>
            <w:tcW w:w="0" w:type="auto"/>
          </w:tcPr>
          <w:p w:rsidR="009A3788" w:rsidRDefault="00A5252B">
            <w:pPr>
              <w:rPr>
                <w:lang w:eastAsia="zh-CN"/>
              </w:rPr>
            </w:pPr>
            <w:r>
              <w:rPr>
                <w:lang w:eastAsia="zh-CN"/>
              </w:rPr>
              <w:t>资源资质低，适合新的金融科技用户</w:t>
            </w:r>
          </w:p>
        </w:tc>
        <w:tc>
          <w:tcPr>
            <w:tcW w:w="0" w:type="auto"/>
          </w:tcPr>
          <w:p w:rsidR="009A3788" w:rsidRDefault="00A5252B">
            <w:r>
              <w:t>低</w:t>
            </w:r>
          </w:p>
        </w:tc>
        <w:tc>
          <w:tcPr>
            <w:tcW w:w="0" w:type="auto"/>
          </w:tcPr>
          <w:p w:rsidR="009A3788" w:rsidRDefault="00A5252B">
            <w:r>
              <w:t>低</w:t>
            </w:r>
          </w:p>
        </w:tc>
      </w:tr>
      <w:tr w:rsidR="009A3788" w:rsidTr="00512849">
        <w:tc>
          <w:tcPr>
            <w:tcW w:w="0" w:type="auto"/>
          </w:tcPr>
          <w:p w:rsidR="009A3788" w:rsidRPr="00512849" w:rsidRDefault="00A5252B">
            <w:pPr>
              <w:rPr>
                <w:color w:val="C00000"/>
              </w:rPr>
            </w:pPr>
            <w:r w:rsidRPr="00512849">
              <w:rPr>
                <w:color w:val="C00000"/>
              </w:rPr>
              <w:t>中央管理创新团队</w:t>
            </w:r>
          </w:p>
        </w:tc>
        <w:tc>
          <w:tcPr>
            <w:tcW w:w="0" w:type="auto"/>
          </w:tcPr>
          <w:p w:rsidR="009A3788" w:rsidRDefault="00A5252B">
            <w:pPr>
              <w:rPr>
                <w:lang w:eastAsia="zh-CN"/>
              </w:rPr>
            </w:pPr>
            <w:r>
              <w:rPr>
                <w:lang w:eastAsia="zh-CN"/>
              </w:rPr>
              <w:t>一个核心团队管理金融机构内的所有金融科技解决方案。</w:t>
            </w:r>
          </w:p>
        </w:tc>
        <w:tc>
          <w:tcPr>
            <w:tcW w:w="0" w:type="auto"/>
          </w:tcPr>
          <w:p w:rsidR="009A3788" w:rsidRDefault="00A5252B">
            <w:pPr>
              <w:rPr>
                <w:lang w:eastAsia="zh-CN"/>
              </w:rPr>
            </w:pPr>
            <w:r>
              <w:rPr>
                <w:lang w:eastAsia="zh-CN"/>
              </w:rPr>
              <w:t>更全面、系统地实施金融科技</w:t>
            </w:r>
          </w:p>
        </w:tc>
        <w:tc>
          <w:tcPr>
            <w:tcW w:w="0" w:type="auto"/>
          </w:tcPr>
          <w:p w:rsidR="009A3788" w:rsidRDefault="00A5252B">
            <w:r>
              <w:t>中低</w:t>
            </w:r>
          </w:p>
        </w:tc>
        <w:tc>
          <w:tcPr>
            <w:tcW w:w="0" w:type="auto"/>
          </w:tcPr>
          <w:p w:rsidR="009A3788" w:rsidRDefault="00A5252B">
            <w:r>
              <w:t>中低</w:t>
            </w:r>
          </w:p>
        </w:tc>
      </w:tr>
      <w:tr w:rsidR="009A3788" w:rsidTr="00512849">
        <w:tc>
          <w:tcPr>
            <w:tcW w:w="0" w:type="auto"/>
          </w:tcPr>
          <w:p w:rsidR="009A3788" w:rsidRPr="00512849" w:rsidRDefault="00A5252B">
            <w:pPr>
              <w:rPr>
                <w:color w:val="C00000"/>
              </w:rPr>
            </w:pPr>
            <w:r w:rsidRPr="00512849">
              <w:rPr>
                <w:color w:val="C00000"/>
              </w:rPr>
              <w:t>业务部创新团队</w:t>
            </w:r>
          </w:p>
        </w:tc>
        <w:tc>
          <w:tcPr>
            <w:tcW w:w="0" w:type="auto"/>
          </w:tcPr>
          <w:p w:rsidR="009A3788" w:rsidRDefault="00A5252B">
            <w:pPr>
              <w:rPr>
                <w:lang w:eastAsia="zh-CN"/>
              </w:rPr>
            </w:pPr>
            <w:r>
              <w:rPr>
                <w:lang w:eastAsia="zh-CN"/>
              </w:rPr>
              <w:t>在金融机构的每项业务或职能线中管理金融科技解决方案的核心团队。</w:t>
            </w:r>
          </w:p>
        </w:tc>
        <w:tc>
          <w:tcPr>
            <w:tcW w:w="0" w:type="auto"/>
          </w:tcPr>
          <w:p w:rsidR="009A3788" w:rsidRDefault="00A5252B">
            <w:pPr>
              <w:rPr>
                <w:lang w:eastAsia="zh-CN"/>
              </w:rPr>
            </w:pPr>
            <w:r>
              <w:rPr>
                <w:lang w:eastAsia="zh-CN"/>
              </w:rPr>
              <w:t>更量身定制的方法，以满足特定需求</w:t>
            </w:r>
          </w:p>
        </w:tc>
        <w:tc>
          <w:tcPr>
            <w:tcW w:w="0" w:type="auto"/>
          </w:tcPr>
          <w:p w:rsidR="009A3788" w:rsidRDefault="00A5252B">
            <w:r>
              <w:t>中高</w:t>
            </w:r>
          </w:p>
        </w:tc>
        <w:tc>
          <w:tcPr>
            <w:tcW w:w="0" w:type="auto"/>
          </w:tcPr>
          <w:p w:rsidR="009A3788" w:rsidRDefault="00A5252B">
            <w:r>
              <w:t>中高</w:t>
            </w:r>
          </w:p>
        </w:tc>
      </w:tr>
      <w:tr w:rsidR="009A3788" w:rsidTr="00512849">
        <w:tc>
          <w:tcPr>
            <w:tcW w:w="0" w:type="auto"/>
          </w:tcPr>
          <w:p w:rsidR="009A3788" w:rsidRPr="00512849" w:rsidRDefault="00A5252B">
            <w:pPr>
              <w:rPr>
                <w:color w:val="C00000"/>
              </w:rPr>
            </w:pPr>
            <w:r w:rsidRPr="00512849">
              <w:rPr>
                <w:color w:val="C00000"/>
              </w:rPr>
              <w:t>枢纽辐射模型</w:t>
            </w:r>
          </w:p>
        </w:tc>
        <w:tc>
          <w:tcPr>
            <w:tcW w:w="0" w:type="auto"/>
          </w:tcPr>
          <w:p w:rsidR="009A3788" w:rsidRDefault="00A5252B">
            <w:pPr>
              <w:rPr>
                <w:lang w:eastAsia="zh-CN"/>
              </w:rPr>
            </w:pPr>
            <w:r>
              <w:rPr>
                <w:lang w:eastAsia="zh-CN"/>
              </w:rPr>
              <w:t>中央管理团队与业务单元创新团队的结合：中央团队规划整体战略，而业务单元团队实施针对业务单元需求的金融科技解决方案。</w:t>
            </w:r>
          </w:p>
        </w:tc>
        <w:tc>
          <w:tcPr>
            <w:tcW w:w="0" w:type="auto"/>
          </w:tcPr>
          <w:p w:rsidR="009A3788" w:rsidRDefault="00A5252B">
            <w:pPr>
              <w:rPr>
                <w:lang w:eastAsia="zh-CN"/>
              </w:rPr>
            </w:pPr>
            <w:r>
              <w:rPr>
                <w:lang w:eastAsia="zh-CN"/>
              </w:rPr>
              <w:t>灵活的方法准许不同团队之间的协作及沟通</w:t>
            </w:r>
          </w:p>
        </w:tc>
        <w:tc>
          <w:tcPr>
            <w:tcW w:w="0" w:type="auto"/>
          </w:tcPr>
          <w:p w:rsidR="009A3788" w:rsidRDefault="00A5252B">
            <w:r>
              <w:t>高</w:t>
            </w:r>
          </w:p>
        </w:tc>
        <w:tc>
          <w:tcPr>
            <w:tcW w:w="0" w:type="auto"/>
          </w:tcPr>
          <w:p w:rsidR="009A3788" w:rsidRDefault="00A5252B">
            <w:r>
              <w:t>高</w:t>
            </w:r>
          </w:p>
        </w:tc>
      </w:tr>
    </w:tbl>
    <w:p w:rsidR="009A3788" w:rsidRDefault="00A5252B">
      <w:pPr>
        <w:pStyle w:val="BodyText"/>
        <w:rPr>
          <w:lang w:eastAsia="zh-CN"/>
        </w:rPr>
      </w:pPr>
      <w:r>
        <w:rPr>
          <w:lang w:eastAsia="zh-CN"/>
        </w:rPr>
        <w:t>就受金管局监管的机构而言，大部分受访者采用集中管理的创新团队模式（</w:t>
      </w:r>
      <w:r>
        <w:rPr>
          <w:lang w:eastAsia="zh-CN"/>
        </w:rPr>
        <w:t>30%</w:t>
      </w:r>
      <w:r>
        <w:rPr>
          <w:lang w:eastAsia="zh-CN"/>
        </w:rPr>
        <w:t>）或枢纽辐射式模式（</w:t>
      </w:r>
      <w:r>
        <w:rPr>
          <w:lang w:eastAsia="zh-CN"/>
        </w:rPr>
        <w:t>36%</w:t>
      </w:r>
      <w:r>
        <w:rPr>
          <w:lang w:eastAsia="zh-CN"/>
        </w:rPr>
        <w:t>）。许多受证监会监管的机构采用枢纽辐射模式（</w:t>
      </w:r>
      <w:r>
        <w:rPr>
          <w:lang w:eastAsia="zh-CN"/>
        </w:rPr>
        <w:t>45%</w:t>
      </w:r>
      <w:r>
        <w:rPr>
          <w:lang w:eastAsia="zh-CN"/>
        </w:rPr>
        <w:t>）。另一方面，近一半受保监局监管的机构采用临时基准方法（</w:t>
      </w:r>
      <w:r>
        <w:rPr>
          <w:lang w:eastAsia="zh-CN"/>
        </w:rPr>
        <w:t>46%</w:t>
      </w:r>
      <w:r>
        <w:rPr>
          <w:lang w:eastAsia="zh-CN"/>
        </w:rPr>
        <w:t>）。</w:t>
      </w:r>
    </w:p>
    <w:p w:rsidR="009A3788" w:rsidRDefault="00A5252B">
      <w:pPr>
        <w:pStyle w:val="BodyText"/>
        <w:rPr>
          <w:lang w:eastAsia="zh-CN"/>
        </w:rPr>
      </w:pPr>
      <w:r>
        <w:rPr>
          <w:lang w:eastAsia="zh-CN"/>
        </w:rPr>
        <w:t>就金融科技解决方案的开发及应用而言，金融机构通常会选择采用内部开发的金融科技产品，直接部署由第三方开发的金融科技产品，或者两者混合使用。在这三种方法中，第三方产品是最不受欢迎的，因为它们成本高，而且由于它们高度复杂的性质而缺乏灵活性。大多数金融机构（</w:t>
      </w:r>
      <w:r>
        <w:rPr>
          <w:lang w:eastAsia="zh-CN"/>
        </w:rPr>
        <w:t>50%</w:t>
      </w:r>
      <w:r>
        <w:rPr>
          <w:lang w:eastAsia="zh-CN"/>
        </w:rPr>
        <w:t>）更喜欢混合方案，因为大公司有更大的空间使用外部产品来改进现有系统。然而，这种方法通常仅限于技术覆盖解决方案，诸如光学字符识别及机器人流程自动化，这表明缺乏采用更全面解决方案的意愿。</w:t>
      </w:r>
    </w:p>
    <w:p w:rsidR="009A3788" w:rsidRPr="00512849" w:rsidRDefault="00A5252B">
      <w:pPr>
        <w:pStyle w:val="BodyText"/>
        <w:rPr>
          <w:b/>
          <w:lang w:eastAsia="zh-CN"/>
        </w:rPr>
      </w:pPr>
      <w:r w:rsidRPr="00512849">
        <w:rPr>
          <w:b/>
          <w:lang w:eastAsia="zh-CN"/>
        </w:rPr>
        <w:t>金融科技应用的生命周期</w:t>
      </w:r>
    </w:p>
    <w:p w:rsidR="009A3788" w:rsidRDefault="00A5252B">
      <w:pPr>
        <w:pStyle w:val="BodyText"/>
        <w:rPr>
          <w:lang w:eastAsia="zh-CN"/>
        </w:rPr>
      </w:pPr>
      <w:r>
        <w:rPr>
          <w:lang w:eastAsia="zh-CN"/>
        </w:rPr>
        <w:t>金融科技的应用可以分为五个阶段：（</w:t>
      </w:r>
      <w:r>
        <w:rPr>
          <w:lang w:eastAsia="zh-CN"/>
        </w:rPr>
        <w:t>1</w:t>
      </w:r>
      <w:r>
        <w:rPr>
          <w:lang w:eastAsia="zh-CN"/>
        </w:rPr>
        <w:t>）寻源采购，</w:t>
      </w:r>
      <w:r>
        <w:rPr>
          <w:lang w:eastAsia="zh-CN"/>
        </w:rPr>
        <w:t>（</w:t>
      </w:r>
      <w:r>
        <w:rPr>
          <w:lang w:eastAsia="zh-CN"/>
        </w:rPr>
        <w:t>2</w:t>
      </w:r>
      <w:r>
        <w:rPr>
          <w:lang w:eastAsia="zh-CN"/>
        </w:rPr>
        <w:t>）约因，（</w:t>
      </w:r>
      <w:r>
        <w:rPr>
          <w:lang w:eastAsia="zh-CN"/>
        </w:rPr>
        <w:t>3</w:t>
      </w:r>
      <w:r>
        <w:rPr>
          <w:lang w:eastAsia="zh-CN"/>
        </w:rPr>
        <w:t>）谈判，（</w:t>
      </w:r>
      <w:r>
        <w:rPr>
          <w:lang w:eastAsia="zh-CN"/>
        </w:rPr>
        <w:t>4</w:t>
      </w:r>
      <w:r>
        <w:rPr>
          <w:lang w:eastAsia="zh-CN"/>
        </w:rPr>
        <w:t>）进入流程管理以及（</w:t>
      </w:r>
      <w:r>
        <w:rPr>
          <w:lang w:eastAsia="zh-CN"/>
        </w:rPr>
        <w:t>5</w:t>
      </w:r>
      <w:r>
        <w:rPr>
          <w:lang w:eastAsia="zh-CN"/>
        </w:rPr>
        <w:t>）激活。该研究的很大一部分致力于确定这五个阶段的挑战，如下表所概述：</w:t>
      </w:r>
    </w:p>
    <w:tbl>
      <w:tblPr>
        <w:tblStyle w:val="TableGrid"/>
        <w:tblW w:w="0" w:type="auto"/>
        <w:tblLook w:val="04A0" w:firstRow="1" w:lastRow="0" w:firstColumn="1" w:lastColumn="0" w:noHBand="0" w:noVBand="1"/>
      </w:tblPr>
      <w:tblGrid>
        <w:gridCol w:w="1864"/>
        <w:gridCol w:w="4765"/>
        <w:gridCol w:w="3685"/>
        <w:gridCol w:w="80"/>
      </w:tblGrid>
      <w:tr w:rsidR="00512849" w:rsidTr="004A40D9">
        <w:tc>
          <w:tcPr>
            <w:tcW w:w="1864" w:type="dxa"/>
          </w:tcPr>
          <w:p w:rsidR="00512849" w:rsidRPr="00512849" w:rsidRDefault="00512849" w:rsidP="00926F80">
            <w:pPr>
              <w:pStyle w:val="NormalWeb"/>
              <w:adjustRightInd w:val="0"/>
              <w:snapToGrid w:val="0"/>
              <w:spacing w:before="0" w:beforeAutospacing="0" w:after="0" w:afterAutospacing="0"/>
              <w:jc w:val="both"/>
              <w:textAlignment w:val="baseline"/>
              <w:rPr>
                <w:rFonts w:asciiTheme="minorHAnsi" w:eastAsia="Inter" w:hAnsiTheme="minorHAnsi" w:cs="Times New Roman Regular"/>
                <w:color w:val="2B2B2B"/>
              </w:rPr>
            </w:pPr>
            <w:r w:rsidRPr="00512849">
              <w:rPr>
                <w:rFonts w:asciiTheme="minorHAnsi" w:eastAsia="Inter" w:hAnsiTheme="minorHAnsi" w:cs="Times New Roman Regular"/>
                <w:color w:val="DD1D25"/>
              </w:rPr>
              <w:t>5</w:t>
            </w:r>
            <w:r w:rsidRPr="00512849">
              <w:rPr>
                <w:rFonts w:asciiTheme="minorHAnsi" w:hAnsiTheme="minorHAnsi"/>
                <w:color w:val="DD1D25"/>
              </w:rPr>
              <w:t>个阶段</w:t>
            </w:r>
            <w:r w:rsidRPr="00512849">
              <w:rPr>
                <w:rFonts w:asciiTheme="minorHAnsi" w:eastAsia="Inter" w:hAnsiTheme="minorHAnsi" w:cs="Times New Roman Regular"/>
                <w:color w:val="DD1D25"/>
              </w:rPr>
              <w:t> </w:t>
            </w:r>
          </w:p>
        </w:tc>
        <w:tc>
          <w:tcPr>
            <w:tcW w:w="4765" w:type="dxa"/>
          </w:tcPr>
          <w:p w:rsidR="00512849" w:rsidRPr="00512849" w:rsidRDefault="00512849" w:rsidP="00926F80">
            <w:pPr>
              <w:pStyle w:val="NormalWeb"/>
              <w:adjustRightInd w:val="0"/>
              <w:snapToGrid w:val="0"/>
              <w:spacing w:before="0" w:beforeAutospacing="0" w:after="0" w:afterAutospacing="0"/>
              <w:jc w:val="both"/>
              <w:textAlignment w:val="baseline"/>
              <w:rPr>
                <w:rFonts w:asciiTheme="minorHAnsi" w:eastAsia="Inter" w:hAnsiTheme="minorHAnsi" w:cs="Times New Roman Regular"/>
                <w:color w:val="2B2B2B"/>
              </w:rPr>
            </w:pPr>
            <w:r w:rsidRPr="00512849">
              <w:rPr>
                <w:rFonts w:asciiTheme="minorHAnsi" w:hAnsiTheme="minorHAnsi"/>
                <w:color w:val="DD1D25"/>
              </w:rPr>
              <w:t>金融科技解决方案提供商面临的挑战</w:t>
            </w:r>
          </w:p>
        </w:tc>
        <w:tc>
          <w:tcPr>
            <w:tcW w:w="3765" w:type="dxa"/>
            <w:gridSpan w:val="2"/>
          </w:tcPr>
          <w:p w:rsidR="00512849" w:rsidRPr="00512849" w:rsidRDefault="00512849" w:rsidP="00926F80">
            <w:pPr>
              <w:pStyle w:val="NormalWeb"/>
              <w:adjustRightInd w:val="0"/>
              <w:snapToGrid w:val="0"/>
              <w:spacing w:before="0" w:beforeAutospacing="0" w:after="0" w:afterAutospacing="0"/>
              <w:jc w:val="both"/>
              <w:textAlignment w:val="baseline"/>
              <w:rPr>
                <w:rFonts w:asciiTheme="minorHAnsi" w:eastAsia="Inter" w:hAnsiTheme="minorHAnsi" w:cs="Times New Roman Regular"/>
                <w:color w:val="2B2B2B"/>
              </w:rPr>
            </w:pPr>
            <w:r w:rsidRPr="00512849">
              <w:rPr>
                <w:rFonts w:asciiTheme="minorHAnsi" w:hAnsiTheme="minorHAnsi"/>
                <w:color w:val="DD1D25"/>
              </w:rPr>
              <w:t>金融科技用户面临的挑战</w:t>
            </w:r>
            <w:r w:rsidRPr="00512849">
              <w:rPr>
                <w:rFonts w:asciiTheme="minorHAnsi" w:eastAsia="Inter" w:hAnsiTheme="minorHAnsi" w:cs="Times New Roman Regular"/>
                <w:color w:val="DD1D25"/>
              </w:rPr>
              <w:t> </w:t>
            </w:r>
          </w:p>
        </w:tc>
      </w:tr>
      <w:tr w:rsidR="00512849" w:rsidTr="004A40D9">
        <w:tc>
          <w:tcPr>
            <w:tcW w:w="1864" w:type="dxa"/>
            <w:vMerge w:val="restart"/>
          </w:tcPr>
          <w:p w:rsidR="00512849" w:rsidRDefault="00512849" w:rsidP="00926F80">
            <w:pPr>
              <w:pStyle w:val="NormalWeb"/>
              <w:adjustRightInd w:val="0"/>
              <w:snapToGrid w:val="0"/>
              <w:spacing w:before="0" w:beforeAutospacing="0" w:after="0" w:afterAutospacing="0"/>
              <w:jc w:val="both"/>
              <w:textAlignment w:val="baseline"/>
              <w:rPr>
                <w:rFonts w:asciiTheme="minorHAnsi" w:eastAsia="Inter" w:hAnsiTheme="minorHAnsi" w:cs="Times New Roman Regular"/>
                <w:b/>
                <w:bCs/>
                <w:color w:val="2B2B2B"/>
              </w:rPr>
            </w:pPr>
            <w:r w:rsidRPr="00512849">
              <w:rPr>
                <w:rStyle w:val="Strong"/>
                <w:rFonts w:asciiTheme="minorHAnsi" w:hAnsiTheme="minorHAnsi"/>
                <w:color w:val="2B2B2B"/>
              </w:rPr>
              <w:t>寻源采购</w:t>
            </w:r>
            <w:r w:rsidRPr="00512849">
              <w:rPr>
                <w:rFonts w:asciiTheme="minorHAnsi" w:eastAsia="Inter" w:hAnsiTheme="minorHAnsi" w:cs="Times New Roman Regular"/>
                <w:b/>
                <w:bCs/>
                <w:color w:val="2B2B2B"/>
              </w:rPr>
              <w:t> </w:t>
            </w:r>
          </w:p>
          <w:p w:rsidR="00A5252B" w:rsidRPr="00512849" w:rsidRDefault="00A5252B" w:rsidP="00926F80">
            <w:pPr>
              <w:pStyle w:val="NormalWeb"/>
              <w:adjustRightInd w:val="0"/>
              <w:snapToGrid w:val="0"/>
              <w:spacing w:before="0" w:beforeAutospacing="0" w:after="0" w:afterAutospacing="0"/>
              <w:jc w:val="both"/>
              <w:textAlignment w:val="baseline"/>
              <w:rPr>
                <w:rFonts w:asciiTheme="minorHAnsi" w:hAnsiTheme="minorHAnsi" w:cs="Times New Roman Regular"/>
              </w:rPr>
            </w:pPr>
          </w:p>
          <w:p w:rsidR="00512849" w:rsidRPr="00512849" w:rsidRDefault="00512849" w:rsidP="00926F80">
            <w:pPr>
              <w:pStyle w:val="NormalWeb"/>
              <w:adjustRightInd w:val="0"/>
              <w:snapToGrid w:val="0"/>
              <w:spacing w:before="0" w:beforeAutospacing="0" w:after="0" w:afterAutospacing="0"/>
              <w:jc w:val="both"/>
              <w:textAlignment w:val="baseline"/>
              <w:rPr>
                <w:rFonts w:asciiTheme="minorHAnsi" w:eastAsia="Inter" w:hAnsiTheme="minorHAnsi" w:cs="Times New Roman Regular"/>
                <w:color w:val="2B2B2B"/>
              </w:rPr>
            </w:pPr>
            <w:r w:rsidRPr="00512849">
              <w:rPr>
                <w:rFonts w:asciiTheme="minorHAnsi" w:hAnsiTheme="minorHAnsi"/>
                <w:color w:val="2B2B2B"/>
              </w:rPr>
              <w:t>寻源采购方法</w:t>
            </w:r>
            <w:r w:rsidRPr="00512849">
              <w:rPr>
                <w:rFonts w:asciiTheme="minorHAnsi" w:hAnsiTheme="minorHAnsi"/>
                <w:color w:val="2B2B2B"/>
              </w:rPr>
              <w:lastRenderedPageBreak/>
              <w:t>包括商业推介、招标过程</w:t>
            </w:r>
            <w:r w:rsidRPr="00512849">
              <w:rPr>
                <w:rFonts w:asciiTheme="minorHAnsi" w:eastAsia="Inter" w:hAnsiTheme="minorHAnsi" w:cs="Times New Roman Regular"/>
                <w:color w:val="2B2B2B"/>
              </w:rPr>
              <w:t>/</w:t>
            </w:r>
            <w:r w:rsidRPr="00512849">
              <w:rPr>
                <w:rFonts w:asciiTheme="minorHAnsi" w:hAnsiTheme="minorHAnsi"/>
                <w:color w:val="2B2B2B"/>
              </w:rPr>
              <w:t>推销、金融科技展示活动、桌面研究及陌生电访</w:t>
            </w:r>
            <w:r w:rsidRPr="00512849">
              <w:rPr>
                <w:rFonts w:asciiTheme="minorHAnsi" w:eastAsia="Inter" w:hAnsiTheme="minorHAnsi" w:cs="Times New Roman Regular"/>
                <w:color w:val="2B2B2B"/>
              </w:rPr>
              <w:t>/</w:t>
            </w:r>
            <w:r w:rsidRPr="00512849">
              <w:rPr>
                <w:rFonts w:asciiTheme="minorHAnsi" w:hAnsiTheme="minorHAnsi"/>
                <w:color w:val="2B2B2B"/>
              </w:rPr>
              <w:t>电子邮件</w:t>
            </w:r>
            <w:r w:rsidRPr="00512849">
              <w:rPr>
                <w:rFonts w:asciiTheme="minorHAnsi" w:eastAsia="Inter" w:hAnsiTheme="minorHAnsi" w:cs="Times New Roman Regular"/>
                <w:color w:val="2B2B2B"/>
              </w:rPr>
              <w:t> </w:t>
            </w:r>
          </w:p>
        </w:tc>
        <w:tc>
          <w:tcPr>
            <w:tcW w:w="4765" w:type="dxa"/>
          </w:tcPr>
          <w:p w:rsidR="00512849" w:rsidRPr="00512849" w:rsidRDefault="00512849" w:rsidP="00926F80">
            <w:pPr>
              <w:pStyle w:val="NormalWeb"/>
              <w:adjustRightInd w:val="0"/>
              <w:snapToGrid w:val="0"/>
              <w:spacing w:before="0" w:beforeAutospacing="0" w:after="0" w:afterAutospacing="0"/>
              <w:jc w:val="both"/>
              <w:textAlignment w:val="baseline"/>
              <w:rPr>
                <w:rFonts w:asciiTheme="minorHAnsi" w:hAnsiTheme="minorHAnsi" w:cs="Times New Roman Regular"/>
              </w:rPr>
            </w:pPr>
            <w:r w:rsidRPr="00512849">
              <w:rPr>
                <w:rFonts w:asciiTheme="minorHAnsi" w:eastAsia="Inter" w:hAnsiTheme="minorHAnsi" w:cs="Times New Roman Regular"/>
                <w:color w:val="2B2B2B"/>
              </w:rPr>
              <w:lastRenderedPageBreak/>
              <w:t xml:space="preserve">– </w:t>
            </w:r>
            <w:r w:rsidRPr="00512849">
              <w:rPr>
                <w:rFonts w:asciiTheme="minorHAnsi" w:hAnsiTheme="minorHAnsi"/>
                <w:color w:val="2B2B2B"/>
              </w:rPr>
              <w:t>严重依赖现有网络及业务推介（</w:t>
            </w:r>
            <w:r w:rsidRPr="00512849">
              <w:rPr>
                <w:rFonts w:asciiTheme="minorHAnsi" w:eastAsia="Inter" w:hAnsiTheme="minorHAnsi" w:cs="Times New Roman Regular"/>
                <w:color w:val="2B2B2B"/>
              </w:rPr>
              <w:t>70%</w:t>
            </w:r>
            <w:r w:rsidRPr="00512849">
              <w:rPr>
                <w:rFonts w:asciiTheme="minorHAnsi" w:hAnsiTheme="minorHAnsi"/>
                <w:color w:val="2B2B2B"/>
              </w:rPr>
              <w:t>），导致提供商需要与金融机构的决策者建立密切关系。</w:t>
            </w:r>
          </w:p>
          <w:p w:rsidR="00512849" w:rsidRPr="00512849" w:rsidRDefault="00512849" w:rsidP="00926F80">
            <w:pPr>
              <w:pStyle w:val="NormalWeb"/>
              <w:adjustRightInd w:val="0"/>
              <w:snapToGrid w:val="0"/>
              <w:spacing w:before="0" w:beforeAutospacing="0" w:after="0" w:afterAutospacing="0"/>
              <w:jc w:val="both"/>
              <w:textAlignment w:val="baseline"/>
              <w:rPr>
                <w:rFonts w:asciiTheme="minorHAnsi" w:hAnsiTheme="minorHAnsi" w:cs="Times New Roman Regular"/>
              </w:rPr>
            </w:pPr>
            <w:r w:rsidRPr="00512849">
              <w:rPr>
                <w:rFonts w:asciiTheme="minorHAnsi" w:eastAsia="Inter" w:hAnsiTheme="minorHAnsi" w:cs="Times New Roman Regular"/>
                <w:color w:val="2B2B2B"/>
              </w:rPr>
              <w:lastRenderedPageBreak/>
              <w:t xml:space="preserve">– </w:t>
            </w:r>
            <w:r w:rsidRPr="00512849">
              <w:rPr>
                <w:rFonts w:asciiTheme="minorHAnsi" w:hAnsiTheme="minorHAnsi"/>
                <w:color w:val="2B2B2B"/>
              </w:rPr>
              <w:t>陌生电访或电子邮件是不可行的，因为它们现在允许彻底介绍产品</w:t>
            </w:r>
          </w:p>
          <w:p w:rsidR="00512849" w:rsidRPr="00512849" w:rsidRDefault="00512849" w:rsidP="00926F80">
            <w:pPr>
              <w:pStyle w:val="NormalWeb"/>
              <w:adjustRightInd w:val="0"/>
              <w:snapToGrid w:val="0"/>
              <w:spacing w:before="0" w:beforeAutospacing="0" w:after="0" w:afterAutospacing="0"/>
              <w:jc w:val="both"/>
              <w:textAlignment w:val="baseline"/>
              <w:rPr>
                <w:rFonts w:asciiTheme="minorHAnsi" w:hAnsiTheme="minorHAnsi" w:cs="Times New Roman Regular"/>
              </w:rPr>
            </w:pPr>
            <w:r w:rsidRPr="00512849">
              <w:rPr>
                <w:rFonts w:asciiTheme="minorHAnsi" w:eastAsia="Inter" w:hAnsiTheme="minorHAnsi" w:cs="Times New Roman Regular"/>
                <w:color w:val="2B2B2B"/>
              </w:rPr>
              <w:t xml:space="preserve">– </w:t>
            </w:r>
            <w:r w:rsidRPr="00512849">
              <w:rPr>
                <w:rFonts w:asciiTheme="minorHAnsi" w:hAnsiTheme="minorHAnsi"/>
                <w:color w:val="2B2B2B"/>
              </w:rPr>
              <w:t>难以了解用户的具体需求，导致无法定制产品以满足潜在客户需求。</w:t>
            </w:r>
            <w:r w:rsidRPr="00512849">
              <w:rPr>
                <w:rFonts w:asciiTheme="minorHAnsi" w:eastAsia="Inter" w:hAnsiTheme="minorHAnsi" w:cs="Times New Roman Regular"/>
                <w:color w:val="2B2B2B"/>
              </w:rPr>
              <w:t> </w:t>
            </w:r>
          </w:p>
          <w:p w:rsidR="00512849" w:rsidRPr="00512849" w:rsidRDefault="00512849" w:rsidP="00926F80">
            <w:pPr>
              <w:pStyle w:val="NormalWeb"/>
              <w:adjustRightInd w:val="0"/>
              <w:snapToGrid w:val="0"/>
              <w:spacing w:before="0" w:beforeAutospacing="0" w:after="0" w:afterAutospacing="0"/>
              <w:jc w:val="both"/>
              <w:textAlignment w:val="baseline"/>
              <w:rPr>
                <w:rFonts w:asciiTheme="minorHAnsi" w:eastAsia="Inter" w:hAnsiTheme="minorHAnsi" w:cs="Times New Roman Regular"/>
                <w:color w:val="2B2B2B"/>
              </w:rPr>
            </w:pPr>
            <w:r w:rsidRPr="00512849">
              <w:rPr>
                <w:rFonts w:asciiTheme="minorHAnsi" w:eastAsia="Inter" w:hAnsiTheme="minorHAnsi" w:cs="Times New Roman Regular"/>
                <w:color w:val="2B2B2B"/>
              </w:rPr>
              <w:t xml:space="preserve">– </w:t>
            </w:r>
            <w:r w:rsidRPr="00512849">
              <w:rPr>
                <w:rFonts w:asciiTheme="minorHAnsi" w:hAnsiTheme="minorHAnsi"/>
                <w:color w:val="2B2B2B"/>
              </w:rPr>
              <w:t>建立良好声誉以吸引客户的营销成本高。</w:t>
            </w:r>
            <w:r w:rsidRPr="00512849">
              <w:rPr>
                <w:rFonts w:asciiTheme="minorHAnsi" w:eastAsia="Inter" w:hAnsiTheme="minorHAnsi" w:cs="Times New Roman Regular"/>
                <w:color w:val="2B2B2B"/>
              </w:rPr>
              <w:t> </w:t>
            </w:r>
          </w:p>
        </w:tc>
        <w:tc>
          <w:tcPr>
            <w:tcW w:w="3765" w:type="dxa"/>
            <w:gridSpan w:val="2"/>
          </w:tcPr>
          <w:p w:rsidR="00512849" w:rsidRPr="00512849" w:rsidRDefault="00512849" w:rsidP="00926F80">
            <w:pPr>
              <w:pStyle w:val="NormalWeb"/>
              <w:adjustRightInd w:val="0"/>
              <w:snapToGrid w:val="0"/>
              <w:spacing w:before="0" w:beforeAutospacing="0" w:after="0" w:afterAutospacing="0"/>
              <w:jc w:val="both"/>
              <w:textAlignment w:val="baseline"/>
              <w:rPr>
                <w:rFonts w:asciiTheme="minorHAnsi" w:hAnsiTheme="minorHAnsi" w:cs="Times New Roman Regular"/>
              </w:rPr>
            </w:pPr>
            <w:r w:rsidRPr="00512849">
              <w:rPr>
                <w:rFonts w:asciiTheme="minorHAnsi" w:eastAsia="Inter" w:hAnsiTheme="minorHAnsi" w:cs="Times New Roman Regular"/>
                <w:color w:val="2B2B2B"/>
              </w:rPr>
              <w:lastRenderedPageBreak/>
              <w:t xml:space="preserve">– </w:t>
            </w:r>
            <w:r w:rsidRPr="00512849">
              <w:rPr>
                <w:rFonts w:asciiTheme="minorHAnsi" w:hAnsiTheme="minorHAnsi"/>
                <w:color w:val="2B2B2B"/>
              </w:rPr>
              <w:t>对其他金融科技用户推荐的严重依赖阻碍了该寻源采购过程。</w:t>
            </w:r>
          </w:p>
          <w:p w:rsidR="00512849" w:rsidRPr="00512849" w:rsidRDefault="00512849" w:rsidP="00926F80">
            <w:pPr>
              <w:pStyle w:val="NormalWeb"/>
              <w:adjustRightInd w:val="0"/>
              <w:snapToGrid w:val="0"/>
              <w:spacing w:before="0" w:beforeAutospacing="0" w:after="0" w:afterAutospacing="0"/>
              <w:jc w:val="both"/>
              <w:textAlignment w:val="baseline"/>
              <w:rPr>
                <w:rFonts w:asciiTheme="minorHAnsi" w:hAnsiTheme="minorHAnsi" w:cs="Times New Roman Regular"/>
              </w:rPr>
            </w:pPr>
            <w:r w:rsidRPr="00512849">
              <w:rPr>
                <w:rFonts w:asciiTheme="minorHAnsi" w:eastAsia="Inter" w:hAnsiTheme="minorHAnsi" w:cs="Times New Roman Regular"/>
                <w:color w:val="2B2B2B"/>
              </w:rPr>
              <w:t xml:space="preserve">– </w:t>
            </w:r>
            <w:r w:rsidRPr="00512849">
              <w:rPr>
                <w:rFonts w:asciiTheme="minorHAnsi" w:hAnsiTheme="minorHAnsi"/>
                <w:color w:val="2B2B2B"/>
              </w:rPr>
              <w:t>他们了解市场上可用的金融科技</w:t>
            </w:r>
            <w:r w:rsidRPr="00512849">
              <w:rPr>
                <w:rFonts w:asciiTheme="minorHAnsi" w:hAnsiTheme="minorHAnsi"/>
                <w:color w:val="2B2B2B"/>
              </w:rPr>
              <w:lastRenderedPageBreak/>
              <w:t>解决方案的手段有限。</w:t>
            </w:r>
          </w:p>
          <w:p w:rsidR="00512849" w:rsidRPr="00512849" w:rsidRDefault="00512849" w:rsidP="00926F80">
            <w:pPr>
              <w:pStyle w:val="NormalWeb"/>
              <w:adjustRightInd w:val="0"/>
              <w:snapToGrid w:val="0"/>
              <w:spacing w:before="0" w:beforeAutospacing="0" w:after="0" w:afterAutospacing="0"/>
              <w:jc w:val="both"/>
              <w:textAlignment w:val="baseline"/>
              <w:rPr>
                <w:rFonts w:asciiTheme="minorHAnsi" w:eastAsia="Inter" w:hAnsiTheme="minorHAnsi" w:cs="Times New Roman Regular"/>
                <w:color w:val="2B2B2B"/>
              </w:rPr>
            </w:pPr>
            <w:r w:rsidRPr="00512849">
              <w:rPr>
                <w:rFonts w:asciiTheme="minorHAnsi" w:eastAsia="Inter" w:hAnsiTheme="minorHAnsi" w:cs="Times New Roman Regular"/>
                <w:color w:val="2B2B2B"/>
              </w:rPr>
              <w:t xml:space="preserve">– </w:t>
            </w:r>
            <w:r w:rsidRPr="00512849">
              <w:rPr>
                <w:rFonts w:asciiTheme="minorHAnsi" w:hAnsiTheme="minorHAnsi"/>
                <w:color w:val="2B2B2B"/>
              </w:rPr>
              <w:t>缺乏政府主导的本地金融科技产品评估以及全面的交叉比较网站。</w:t>
            </w:r>
          </w:p>
        </w:tc>
      </w:tr>
      <w:tr w:rsidR="00512849" w:rsidTr="004A40D9">
        <w:tc>
          <w:tcPr>
            <w:tcW w:w="1864" w:type="dxa"/>
            <w:vMerge/>
          </w:tcPr>
          <w:p w:rsidR="00512849" w:rsidRPr="00512849" w:rsidRDefault="00512849" w:rsidP="00926F80">
            <w:pPr>
              <w:pStyle w:val="NormalWeb"/>
              <w:adjustRightInd w:val="0"/>
              <w:snapToGrid w:val="0"/>
              <w:spacing w:before="0" w:beforeAutospacing="0" w:after="0" w:afterAutospacing="0"/>
              <w:jc w:val="both"/>
              <w:textAlignment w:val="baseline"/>
              <w:rPr>
                <w:rFonts w:asciiTheme="minorHAnsi" w:eastAsia="Inter" w:hAnsiTheme="minorHAnsi" w:cs="Times New Roman Regular"/>
                <w:color w:val="2B2B2B"/>
              </w:rPr>
            </w:pPr>
          </w:p>
        </w:tc>
        <w:tc>
          <w:tcPr>
            <w:tcW w:w="8530" w:type="dxa"/>
            <w:gridSpan w:val="3"/>
          </w:tcPr>
          <w:p w:rsidR="00512849" w:rsidRPr="00512849" w:rsidRDefault="00512849" w:rsidP="00926F80">
            <w:pPr>
              <w:pStyle w:val="NormalWeb"/>
              <w:adjustRightInd w:val="0"/>
              <w:snapToGrid w:val="0"/>
              <w:spacing w:before="0" w:beforeAutospacing="0" w:after="0" w:afterAutospacing="0"/>
              <w:jc w:val="both"/>
              <w:textAlignment w:val="baseline"/>
              <w:rPr>
                <w:rFonts w:asciiTheme="minorHAnsi" w:hAnsiTheme="minorHAnsi" w:cs="Times New Roman Regular"/>
              </w:rPr>
            </w:pPr>
            <w:r w:rsidRPr="00512849">
              <w:rPr>
                <w:rFonts w:asciiTheme="minorHAnsi" w:eastAsia="Inter" w:hAnsiTheme="minorHAnsi" w:cs="Times New Roman Regular"/>
                <w:color w:val="2B2B2B"/>
              </w:rPr>
              <w:t xml:space="preserve">– </w:t>
            </w:r>
            <w:r w:rsidRPr="00512849">
              <w:rPr>
                <w:rFonts w:asciiTheme="minorHAnsi" w:hAnsiTheme="minorHAnsi"/>
                <w:color w:val="2B2B2B"/>
              </w:rPr>
              <w:t>桌面研究限制了互动，从而降低了其在寻源采购过程中的建设性。</w:t>
            </w:r>
          </w:p>
          <w:p w:rsidR="00512849" w:rsidRPr="00512849" w:rsidRDefault="00512849" w:rsidP="00926F80">
            <w:pPr>
              <w:pStyle w:val="NormalWeb"/>
              <w:adjustRightInd w:val="0"/>
              <w:snapToGrid w:val="0"/>
              <w:spacing w:before="0" w:beforeAutospacing="0" w:after="0" w:afterAutospacing="0"/>
              <w:jc w:val="both"/>
              <w:textAlignment w:val="baseline"/>
              <w:rPr>
                <w:rFonts w:asciiTheme="minorHAnsi" w:hAnsiTheme="minorHAnsi" w:cs="Times New Roman Regular"/>
              </w:rPr>
            </w:pPr>
            <w:r w:rsidRPr="00512849">
              <w:rPr>
                <w:rFonts w:asciiTheme="minorHAnsi" w:eastAsia="Inter" w:hAnsiTheme="minorHAnsi" w:cs="Times New Roman Regular"/>
                <w:color w:val="2B2B2B"/>
              </w:rPr>
              <w:t xml:space="preserve">– </w:t>
            </w:r>
            <w:r w:rsidRPr="00512849">
              <w:rPr>
                <w:rFonts w:asciiTheme="minorHAnsi" w:hAnsiTheme="minorHAnsi"/>
                <w:color w:val="2B2B2B"/>
              </w:rPr>
              <w:t>金融科技展示活动的有效性在很大程度上取决于这些活动的频率。</w:t>
            </w:r>
          </w:p>
          <w:p w:rsidR="00512849" w:rsidRPr="00512849" w:rsidRDefault="00512849" w:rsidP="00926F80">
            <w:pPr>
              <w:pStyle w:val="NormalWeb"/>
              <w:adjustRightInd w:val="0"/>
              <w:snapToGrid w:val="0"/>
              <w:spacing w:before="0" w:beforeAutospacing="0" w:after="0" w:afterAutospacing="0"/>
              <w:jc w:val="both"/>
              <w:textAlignment w:val="baseline"/>
              <w:rPr>
                <w:rFonts w:asciiTheme="minorHAnsi" w:eastAsia="Inter" w:hAnsiTheme="minorHAnsi" w:cs="Times New Roman Regular"/>
                <w:color w:val="2B2B2B"/>
              </w:rPr>
            </w:pPr>
            <w:r w:rsidRPr="00512849">
              <w:rPr>
                <w:rFonts w:asciiTheme="minorHAnsi" w:eastAsia="Inter" w:hAnsiTheme="minorHAnsi" w:cs="Times New Roman Regular"/>
                <w:color w:val="2B2B2B"/>
              </w:rPr>
              <w:t xml:space="preserve">– </w:t>
            </w:r>
            <w:r w:rsidRPr="00512849">
              <w:rPr>
                <w:rFonts w:asciiTheme="minorHAnsi" w:hAnsiTheme="minorHAnsi"/>
                <w:color w:val="2B2B2B"/>
              </w:rPr>
              <w:t>缺乏人力及资源来进行采购，因为普遍倾向于高参与度的采购过程。</w:t>
            </w:r>
            <w:r w:rsidRPr="00512849">
              <w:rPr>
                <w:rFonts w:asciiTheme="minorHAnsi" w:eastAsia="Inter" w:hAnsiTheme="minorHAnsi" w:cs="Times New Roman Regular"/>
                <w:color w:val="2B2B2B"/>
              </w:rPr>
              <w:t> </w:t>
            </w:r>
          </w:p>
        </w:tc>
      </w:tr>
      <w:tr w:rsidR="00512849" w:rsidTr="004A40D9">
        <w:tc>
          <w:tcPr>
            <w:tcW w:w="1864" w:type="dxa"/>
            <w:vMerge w:val="restart"/>
          </w:tcPr>
          <w:p w:rsidR="00512849" w:rsidRDefault="00512849" w:rsidP="00926F80">
            <w:pPr>
              <w:pStyle w:val="NormalWeb"/>
              <w:adjustRightInd w:val="0"/>
              <w:snapToGrid w:val="0"/>
              <w:spacing w:before="0" w:beforeAutospacing="0" w:after="0" w:afterAutospacing="0"/>
              <w:jc w:val="both"/>
              <w:textAlignment w:val="baseline"/>
              <w:rPr>
                <w:rFonts w:asciiTheme="minorHAnsi" w:eastAsia="Inter" w:hAnsiTheme="minorHAnsi" w:cs="Times New Roman Regular"/>
                <w:b/>
                <w:bCs/>
                <w:color w:val="2B2B2B"/>
              </w:rPr>
            </w:pPr>
            <w:r w:rsidRPr="00512849">
              <w:rPr>
                <w:rStyle w:val="Strong"/>
                <w:rFonts w:asciiTheme="minorHAnsi" w:hAnsiTheme="minorHAnsi"/>
                <w:color w:val="2B2B2B"/>
              </w:rPr>
              <w:t>约因</w:t>
            </w:r>
            <w:r w:rsidRPr="00512849">
              <w:rPr>
                <w:rFonts w:asciiTheme="minorHAnsi" w:eastAsia="Inter" w:hAnsiTheme="minorHAnsi" w:cs="Times New Roman Regular"/>
                <w:b/>
                <w:bCs/>
                <w:color w:val="2B2B2B"/>
              </w:rPr>
              <w:t> </w:t>
            </w:r>
          </w:p>
          <w:p w:rsidR="00A5252B" w:rsidRPr="00512849" w:rsidRDefault="00A5252B" w:rsidP="00926F80">
            <w:pPr>
              <w:pStyle w:val="NormalWeb"/>
              <w:adjustRightInd w:val="0"/>
              <w:snapToGrid w:val="0"/>
              <w:spacing w:before="0" w:beforeAutospacing="0" w:after="0" w:afterAutospacing="0"/>
              <w:jc w:val="both"/>
              <w:textAlignment w:val="baseline"/>
              <w:rPr>
                <w:rFonts w:asciiTheme="minorHAnsi" w:hAnsiTheme="minorHAnsi" w:cs="Times New Roman Regular"/>
              </w:rPr>
            </w:pPr>
          </w:p>
          <w:p w:rsidR="00512849" w:rsidRPr="00512849" w:rsidRDefault="00512849" w:rsidP="00926F80">
            <w:pPr>
              <w:pStyle w:val="NormalWeb"/>
              <w:adjustRightInd w:val="0"/>
              <w:snapToGrid w:val="0"/>
              <w:spacing w:before="0" w:beforeAutospacing="0" w:after="0" w:afterAutospacing="0"/>
              <w:jc w:val="both"/>
              <w:textAlignment w:val="baseline"/>
              <w:rPr>
                <w:rFonts w:asciiTheme="minorHAnsi" w:eastAsia="Inter" w:hAnsiTheme="minorHAnsi" w:cs="Times New Roman Regular"/>
                <w:color w:val="2B2B2B"/>
              </w:rPr>
            </w:pPr>
            <w:r w:rsidRPr="00512849">
              <w:rPr>
                <w:rFonts w:asciiTheme="minorHAnsi" w:hAnsiTheme="minorHAnsi"/>
                <w:color w:val="2B2B2B"/>
              </w:rPr>
              <w:t>诸如产品供应、供应商声誉、治理及实地实施支持等因素都会被考虑在内。</w:t>
            </w:r>
          </w:p>
        </w:tc>
        <w:tc>
          <w:tcPr>
            <w:tcW w:w="4765" w:type="dxa"/>
          </w:tcPr>
          <w:p w:rsidR="00512849" w:rsidRPr="00512849" w:rsidRDefault="00512849" w:rsidP="00926F80">
            <w:pPr>
              <w:pStyle w:val="NormalWeb"/>
              <w:adjustRightInd w:val="0"/>
              <w:snapToGrid w:val="0"/>
              <w:spacing w:before="0" w:beforeAutospacing="0" w:after="0" w:afterAutospacing="0"/>
              <w:jc w:val="both"/>
              <w:textAlignment w:val="baseline"/>
              <w:rPr>
                <w:rFonts w:asciiTheme="minorHAnsi" w:hAnsiTheme="minorHAnsi" w:cs="Times New Roman Regular"/>
              </w:rPr>
            </w:pPr>
            <w:r w:rsidRPr="00512849">
              <w:rPr>
                <w:rFonts w:asciiTheme="minorHAnsi" w:eastAsia="Inter" w:hAnsiTheme="minorHAnsi" w:cs="Times New Roman Regular"/>
                <w:color w:val="2B2B2B"/>
              </w:rPr>
              <w:t xml:space="preserve">– </w:t>
            </w:r>
            <w:r w:rsidRPr="00512849">
              <w:rPr>
                <w:rFonts w:asciiTheme="minorHAnsi" w:hAnsiTheme="minorHAnsi"/>
                <w:color w:val="2B2B2B"/>
              </w:rPr>
              <w:t>提供商主要专注于提高其解决方案的质素，公司的声誉及管理团队的实力，但这与金融科技用户的主要考虑因素不相一致。</w:t>
            </w:r>
          </w:p>
          <w:p w:rsidR="00512849" w:rsidRPr="00512849" w:rsidRDefault="00512849" w:rsidP="00926F80">
            <w:pPr>
              <w:pStyle w:val="NormalWeb"/>
              <w:adjustRightInd w:val="0"/>
              <w:snapToGrid w:val="0"/>
              <w:spacing w:before="0" w:beforeAutospacing="0" w:after="0" w:afterAutospacing="0"/>
              <w:jc w:val="both"/>
              <w:textAlignment w:val="baseline"/>
              <w:rPr>
                <w:rFonts w:asciiTheme="minorHAnsi" w:eastAsia="Inter" w:hAnsiTheme="minorHAnsi" w:cs="Times New Roman Regular"/>
                <w:color w:val="2B2B2B"/>
              </w:rPr>
            </w:pPr>
            <w:r w:rsidRPr="00512849">
              <w:rPr>
                <w:rFonts w:asciiTheme="minorHAnsi" w:eastAsia="Inter" w:hAnsiTheme="minorHAnsi" w:cs="Times New Roman Regular"/>
                <w:color w:val="2B2B2B"/>
              </w:rPr>
              <w:t xml:space="preserve">– </w:t>
            </w:r>
            <w:r w:rsidRPr="00512849">
              <w:rPr>
                <w:rFonts w:asciiTheme="minorHAnsi" w:hAnsiTheme="minorHAnsi"/>
                <w:color w:val="2B2B2B"/>
              </w:rPr>
              <w:t>产品功能不足，无法满足金融科技用户的需求。</w:t>
            </w:r>
            <w:r w:rsidRPr="00512849">
              <w:rPr>
                <w:rFonts w:asciiTheme="minorHAnsi" w:eastAsia="Inter" w:hAnsiTheme="minorHAnsi" w:cs="Times New Roman Regular"/>
                <w:color w:val="2B2B2B"/>
              </w:rPr>
              <w:t> </w:t>
            </w:r>
          </w:p>
        </w:tc>
        <w:tc>
          <w:tcPr>
            <w:tcW w:w="3765" w:type="dxa"/>
            <w:gridSpan w:val="2"/>
          </w:tcPr>
          <w:p w:rsidR="00512849" w:rsidRPr="00512849" w:rsidRDefault="00512849" w:rsidP="00926F80">
            <w:pPr>
              <w:pStyle w:val="NormalWeb"/>
              <w:adjustRightInd w:val="0"/>
              <w:snapToGrid w:val="0"/>
              <w:spacing w:before="0" w:beforeAutospacing="0" w:after="0" w:afterAutospacing="0"/>
              <w:jc w:val="both"/>
              <w:textAlignment w:val="baseline"/>
              <w:rPr>
                <w:rFonts w:asciiTheme="minorHAnsi" w:hAnsiTheme="minorHAnsi" w:cs="Times New Roman Regular"/>
              </w:rPr>
            </w:pPr>
            <w:r w:rsidRPr="00512849">
              <w:rPr>
                <w:rFonts w:asciiTheme="minorHAnsi" w:eastAsia="Inter" w:hAnsiTheme="minorHAnsi" w:cs="Times New Roman Regular"/>
                <w:color w:val="2B2B2B"/>
              </w:rPr>
              <w:t xml:space="preserve">– </w:t>
            </w:r>
            <w:r w:rsidRPr="00512849">
              <w:rPr>
                <w:rFonts w:asciiTheme="minorHAnsi" w:hAnsiTheme="minorHAnsi"/>
                <w:color w:val="2B2B2B"/>
              </w:rPr>
              <w:t>网络安全、实施方面的考虑及实施后的支持都很重要，但这些往往被金融科技解决方案提供商所忽视。</w:t>
            </w:r>
          </w:p>
          <w:p w:rsidR="00512849" w:rsidRPr="00512849" w:rsidRDefault="00512849" w:rsidP="00926F80">
            <w:pPr>
              <w:pStyle w:val="NormalWeb"/>
              <w:adjustRightInd w:val="0"/>
              <w:snapToGrid w:val="0"/>
              <w:spacing w:before="0" w:beforeAutospacing="0" w:after="0" w:afterAutospacing="0"/>
              <w:jc w:val="both"/>
              <w:textAlignment w:val="baseline"/>
              <w:rPr>
                <w:rFonts w:asciiTheme="minorHAnsi" w:eastAsia="Inter" w:hAnsiTheme="minorHAnsi" w:cs="Times New Roman Regular"/>
                <w:color w:val="2B2B2B"/>
              </w:rPr>
            </w:pPr>
            <w:r w:rsidRPr="00512849">
              <w:rPr>
                <w:rFonts w:asciiTheme="minorHAnsi" w:eastAsia="Inter" w:hAnsiTheme="minorHAnsi" w:cs="Times New Roman Regular"/>
                <w:color w:val="2B2B2B"/>
              </w:rPr>
              <w:t xml:space="preserve">– </w:t>
            </w:r>
            <w:r w:rsidRPr="00512849">
              <w:rPr>
                <w:rFonts w:asciiTheme="minorHAnsi" w:hAnsiTheme="minorHAnsi"/>
                <w:color w:val="2B2B2B"/>
              </w:rPr>
              <w:t>证明金融科技解决方案的商业效益需要花费大量时间及金钱，导致难以证明金融科技解决方案的投资回报。</w:t>
            </w:r>
          </w:p>
        </w:tc>
      </w:tr>
      <w:tr w:rsidR="00512849" w:rsidTr="004A40D9">
        <w:tc>
          <w:tcPr>
            <w:tcW w:w="1864" w:type="dxa"/>
            <w:vMerge/>
          </w:tcPr>
          <w:p w:rsidR="00512849" w:rsidRPr="00512849" w:rsidRDefault="00512849" w:rsidP="00926F80">
            <w:pPr>
              <w:pStyle w:val="NormalWeb"/>
              <w:adjustRightInd w:val="0"/>
              <w:snapToGrid w:val="0"/>
              <w:spacing w:before="0" w:beforeAutospacing="0" w:after="0" w:afterAutospacing="0"/>
              <w:jc w:val="both"/>
              <w:textAlignment w:val="baseline"/>
              <w:rPr>
                <w:rFonts w:asciiTheme="minorHAnsi" w:eastAsia="Inter" w:hAnsiTheme="minorHAnsi" w:cs="Times New Roman Regular"/>
                <w:color w:val="2B2B2B"/>
              </w:rPr>
            </w:pPr>
          </w:p>
        </w:tc>
        <w:tc>
          <w:tcPr>
            <w:tcW w:w="8530" w:type="dxa"/>
            <w:gridSpan w:val="3"/>
          </w:tcPr>
          <w:p w:rsidR="00512849" w:rsidRPr="00512849" w:rsidRDefault="00512849" w:rsidP="00926F80">
            <w:pPr>
              <w:pStyle w:val="NormalWeb"/>
              <w:adjustRightInd w:val="0"/>
              <w:snapToGrid w:val="0"/>
              <w:spacing w:before="0" w:beforeAutospacing="0" w:after="0" w:afterAutospacing="0"/>
              <w:jc w:val="both"/>
              <w:textAlignment w:val="baseline"/>
              <w:rPr>
                <w:rFonts w:asciiTheme="minorHAnsi" w:eastAsia="Inter" w:hAnsiTheme="minorHAnsi" w:cs="Times New Roman Regular"/>
                <w:color w:val="2B2B2B"/>
              </w:rPr>
            </w:pPr>
            <w:r w:rsidRPr="00512849">
              <w:rPr>
                <w:rFonts w:asciiTheme="minorHAnsi" w:eastAsia="Inter" w:hAnsiTheme="minorHAnsi" w:cs="Times New Roman Regular"/>
                <w:color w:val="2B2B2B"/>
              </w:rPr>
              <w:t xml:space="preserve">– </w:t>
            </w:r>
            <w:r w:rsidRPr="00512849">
              <w:rPr>
                <w:rFonts w:asciiTheme="minorHAnsi" w:hAnsiTheme="minorHAnsi"/>
                <w:color w:val="2B2B2B"/>
              </w:rPr>
              <w:t>缺乏相互理解及缺乏资源来全面满足所有考虑因素，导致双方的期望不一致。</w:t>
            </w:r>
          </w:p>
          <w:p w:rsidR="00512849" w:rsidRPr="00512849" w:rsidRDefault="00512849" w:rsidP="00926F80">
            <w:pPr>
              <w:pStyle w:val="NormalWeb"/>
              <w:adjustRightInd w:val="0"/>
              <w:snapToGrid w:val="0"/>
              <w:spacing w:before="0" w:beforeAutospacing="0" w:after="0" w:afterAutospacing="0"/>
              <w:jc w:val="both"/>
              <w:textAlignment w:val="baseline"/>
              <w:rPr>
                <w:rFonts w:asciiTheme="minorHAnsi" w:eastAsia="Inter" w:hAnsiTheme="minorHAnsi" w:cs="Times New Roman Regular"/>
                <w:color w:val="2B2B2B"/>
              </w:rPr>
            </w:pPr>
            <w:r w:rsidRPr="00512849">
              <w:rPr>
                <w:rFonts w:asciiTheme="minorHAnsi" w:eastAsia="Inter" w:hAnsiTheme="minorHAnsi" w:cs="Times New Roman Regular"/>
                <w:color w:val="2B2B2B"/>
              </w:rPr>
              <w:t xml:space="preserve">– </w:t>
            </w:r>
            <w:r w:rsidRPr="00512849">
              <w:rPr>
                <w:rFonts w:asciiTheme="minorHAnsi" w:hAnsiTheme="minorHAnsi"/>
                <w:color w:val="2B2B2B"/>
              </w:rPr>
              <w:t>冗长的部署时间以及不同步的时间表导致测试及实施金融科技解决方案严重困难。</w:t>
            </w:r>
            <w:r w:rsidRPr="00512849">
              <w:rPr>
                <w:rFonts w:asciiTheme="minorHAnsi" w:eastAsia="Inter" w:hAnsiTheme="minorHAnsi" w:cs="Times New Roman Regular"/>
                <w:color w:val="2B2B2B"/>
              </w:rPr>
              <w:t>  </w:t>
            </w:r>
          </w:p>
        </w:tc>
      </w:tr>
      <w:tr w:rsidR="00512849" w:rsidTr="004A40D9">
        <w:tc>
          <w:tcPr>
            <w:tcW w:w="1864" w:type="dxa"/>
            <w:vMerge w:val="restart"/>
          </w:tcPr>
          <w:p w:rsidR="00512849" w:rsidRDefault="00512849" w:rsidP="00926F80">
            <w:pPr>
              <w:pStyle w:val="NormalWeb"/>
              <w:adjustRightInd w:val="0"/>
              <w:snapToGrid w:val="0"/>
              <w:spacing w:before="0" w:beforeAutospacing="0" w:after="0" w:afterAutospacing="0"/>
              <w:jc w:val="both"/>
              <w:textAlignment w:val="baseline"/>
              <w:rPr>
                <w:rFonts w:asciiTheme="minorHAnsi" w:eastAsia="Inter" w:hAnsiTheme="minorHAnsi" w:cs="Times New Roman Regular"/>
                <w:b/>
                <w:bCs/>
                <w:color w:val="2B2B2B"/>
              </w:rPr>
            </w:pPr>
            <w:r w:rsidRPr="00512849">
              <w:rPr>
                <w:rStyle w:val="Strong"/>
                <w:rFonts w:asciiTheme="minorHAnsi" w:hAnsiTheme="minorHAnsi"/>
                <w:color w:val="2B2B2B"/>
              </w:rPr>
              <w:t>谈判</w:t>
            </w:r>
            <w:r w:rsidRPr="00512849">
              <w:rPr>
                <w:rFonts w:asciiTheme="minorHAnsi" w:eastAsia="Inter" w:hAnsiTheme="minorHAnsi" w:cs="Times New Roman Regular"/>
                <w:b/>
                <w:bCs/>
                <w:color w:val="2B2B2B"/>
              </w:rPr>
              <w:t> </w:t>
            </w:r>
          </w:p>
          <w:p w:rsidR="00A5252B" w:rsidRPr="00512849" w:rsidRDefault="00A5252B" w:rsidP="00926F80">
            <w:pPr>
              <w:pStyle w:val="NormalWeb"/>
              <w:adjustRightInd w:val="0"/>
              <w:snapToGrid w:val="0"/>
              <w:spacing w:before="0" w:beforeAutospacing="0" w:after="0" w:afterAutospacing="0"/>
              <w:jc w:val="both"/>
              <w:textAlignment w:val="baseline"/>
              <w:rPr>
                <w:rFonts w:asciiTheme="minorHAnsi" w:hAnsiTheme="minorHAnsi" w:cs="Times New Roman Regular"/>
              </w:rPr>
            </w:pPr>
          </w:p>
          <w:p w:rsidR="00512849" w:rsidRPr="00512849" w:rsidRDefault="00512849" w:rsidP="00926F80">
            <w:pPr>
              <w:pStyle w:val="NormalWeb"/>
              <w:adjustRightInd w:val="0"/>
              <w:snapToGrid w:val="0"/>
              <w:spacing w:before="0" w:beforeAutospacing="0" w:after="0" w:afterAutospacing="0"/>
              <w:jc w:val="both"/>
              <w:textAlignment w:val="baseline"/>
              <w:rPr>
                <w:rFonts w:asciiTheme="minorHAnsi" w:eastAsia="Inter" w:hAnsiTheme="minorHAnsi" w:cs="Times New Roman Regular"/>
                <w:color w:val="2B2B2B"/>
              </w:rPr>
            </w:pPr>
            <w:r w:rsidRPr="00512849">
              <w:rPr>
                <w:rFonts w:asciiTheme="minorHAnsi" w:hAnsiTheme="minorHAnsi"/>
                <w:color w:val="2B2B2B"/>
              </w:rPr>
              <w:t>用于界定服务范围，常用条款的可协商及不可协商的合约因素包括赔偿</w:t>
            </w:r>
            <w:r w:rsidRPr="00512849">
              <w:rPr>
                <w:rFonts w:asciiTheme="minorHAnsi" w:eastAsia="Inter" w:hAnsiTheme="minorHAnsi" w:cs="Times New Roman Regular"/>
                <w:color w:val="2B2B2B"/>
              </w:rPr>
              <w:t>/</w:t>
            </w:r>
            <w:r w:rsidRPr="00512849">
              <w:rPr>
                <w:rFonts w:asciiTheme="minorHAnsi" w:hAnsiTheme="minorHAnsi"/>
                <w:color w:val="2B2B2B"/>
              </w:rPr>
              <w:t>责任条款、知识产权条款、终止条款以及数据权利条款。</w:t>
            </w:r>
            <w:r w:rsidRPr="00512849">
              <w:rPr>
                <w:rFonts w:asciiTheme="minorHAnsi" w:eastAsia="Inter" w:hAnsiTheme="minorHAnsi" w:cs="Times New Roman Regular"/>
                <w:color w:val="2B2B2B"/>
              </w:rPr>
              <w:t> </w:t>
            </w:r>
          </w:p>
        </w:tc>
        <w:tc>
          <w:tcPr>
            <w:tcW w:w="4765" w:type="dxa"/>
          </w:tcPr>
          <w:p w:rsidR="00512849" w:rsidRPr="00512849" w:rsidRDefault="00512849" w:rsidP="00926F80">
            <w:pPr>
              <w:pStyle w:val="NormalWeb"/>
              <w:adjustRightInd w:val="0"/>
              <w:snapToGrid w:val="0"/>
              <w:spacing w:before="0" w:beforeAutospacing="0" w:after="0" w:afterAutospacing="0"/>
              <w:jc w:val="both"/>
              <w:textAlignment w:val="baseline"/>
              <w:rPr>
                <w:rFonts w:asciiTheme="minorHAnsi" w:eastAsia="Inter" w:hAnsiTheme="minorHAnsi" w:cs="Times New Roman Regular"/>
                <w:color w:val="2B2B2B"/>
              </w:rPr>
            </w:pPr>
            <w:r w:rsidRPr="00512849">
              <w:rPr>
                <w:rFonts w:asciiTheme="minorHAnsi" w:eastAsia="Inter" w:hAnsiTheme="minorHAnsi" w:cs="Times New Roman Regular"/>
                <w:color w:val="2B2B2B"/>
              </w:rPr>
              <w:t xml:space="preserve">– </w:t>
            </w:r>
            <w:r w:rsidRPr="00512849">
              <w:rPr>
                <w:rFonts w:asciiTheme="minorHAnsi" w:hAnsiTheme="minorHAnsi"/>
                <w:color w:val="2B2B2B"/>
              </w:rPr>
              <w:t>赔偿和责任条款的谈判困难，赔偿和责任条款的金额往往是合约金额的数倍。</w:t>
            </w:r>
          </w:p>
          <w:p w:rsidR="00512849" w:rsidRPr="00512849" w:rsidRDefault="00512849" w:rsidP="00926F80">
            <w:pPr>
              <w:pStyle w:val="NormalWeb"/>
              <w:adjustRightInd w:val="0"/>
              <w:snapToGrid w:val="0"/>
              <w:spacing w:before="0" w:beforeAutospacing="0" w:after="0" w:afterAutospacing="0"/>
              <w:jc w:val="both"/>
              <w:textAlignment w:val="baseline"/>
              <w:rPr>
                <w:rFonts w:asciiTheme="minorHAnsi" w:eastAsia="Inter" w:hAnsiTheme="minorHAnsi" w:cs="Times New Roman Regular"/>
                <w:color w:val="2B2B2B"/>
              </w:rPr>
            </w:pPr>
            <w:r w:rsidRPr="00512849">
              <w:rPr>
                <w:rFonts w:asciiTheme="minorHAnsi" w:eastAsia="Inter" w:hAnsiTheme="minorHAnsi" w:cs="Times New Roman Regular"/>
                <w:color w:val="2B2B2B"/>
              </w:rPr>
              <w:t xml:space="preserve">– </w:t>
            </w:r>
            <w:r w:rsidRPr="00512849">
              <w:rPr>
                <w:rFonts w:asciiTheme="minorHAnsi" w:hAnsiTheme="minorHAnsi"/>
                <w:color w:val="2B2B2B"/>
              </w:rPr>
              <w:t>维持商业议价能力困难，同时金融科技解决方案提供商通常被迫妥协以确保商业合同。</w:t>
            </w:r>
            <w:r w:rsidRPr="00512849">
              <w:rPr>
                <w:rFonts w:asciiTheme="minorHAnsi" w:eastAsia="Inter" w:hAnsiTheme="minorHAnsi" w:cs="Times New Roman Regular"/>
                <w:color w:val="2B2B2B"/>
              </w:rPr>
              <w:t> </w:t>
            </w:r>
          </w:p>
          <w:p w:rsidR="00512849" w:rsidRPr="00512849" w:rsidRDefault="00512849" w:rsidP="00926F80">
            <w:pPr>
              <w:pStyle w:val="NormalWeb"/>
              <w:adjustRightInd w:val="0"/>
              <w:snapToGrid w:val="0"/>
              <w:spacing w:before="0" w:beforeAutospacing="0" w:after="0" w:afterAutospacing="0"/>
              <w:jc w:val="both"/>
              <w:textAlignment w:val="baseline"/>
              <w:rPr>
                <w:rFonts w:asciiTheme="minorHAnsi" w:eastAsia="Inter" w:hAnsiTheme="minorHAnsi" w:cs="Times New Roman Regular"/>
                <w:color w:val="2B2B2B"/>
              </w:rPr>
            </w:pPr>
            <w:r w:rsidRPr="00512849">
              <w:rPr>
                <w:rFonts w:asciiTheme="minorHAnsi" w:eastAsia="Inter" w:hAnsiTheme="minorHAnsi" w:cs="Times New Roman Regular"/>
                <w:color w:val="2B2B2B"/>
              </w:rPr>
              <w:t xml:space="preserve">– </w:t>
            </w:r>
            <w:r w:rsidRPr="00512849">
              <w:rPr>
                <w:rFonts w:asciiTheme="minorHAnsi" w:hAnsiTheme="minorHAnsi"/>
                <w:color w:val="2B2B2B"/>
              </w:rPr>
              <w:t>就收费结构而言，议价能力低，导致盈利能力低。</w:t>
            </w:r>
          </w:p>
        </w:tc>
        <w:tc>
          <w:tcPr>
            <w:tcW w:w="3765" w:type="dxa"/>
            <w:gridSpan w:val="2"/>
          </w:tcPr>
          <w:p w:rsidR="00512849" w:rsidRPr="00512849" w:rsidRDefault="00512849" w:rsidP="00926F80">
            <w:pPr>
              <w:pStyle w:val="NormalWeb"/>
              <w:adjustRightInd w:val="0"/>
              <w:snapToGrid w:val="0"/>
              <w:spacing w:before="0" w:beforeAutospacing="0" w:after="0" w:afterAutospacing="0"/>
              <w:jc w:val="both"/>
              <w:textAlignment w:val="baseline"/>
              <w:rPr>
                <w:rFonts w:asciiTheme="minorHAnsi" w:eastAsia="Inter" w:hAnsiTheme="minorHAnsi" w:cs="Times New Roman Regular"/>
                <w:color w:val="2B2B2B"/>
              </w:rPr>
            </w:pPr>
            <w:r w:rsidRPr="00512849">
              <w:rPr>
                <w:rFonts w:asciiTheme="minorHAnsi" w:eastAsia="Inter" w:hAnsiTheme="minorHAnsi" w:cs="Times New Roman Regular"/>
                <w:color w:val="2B2B2B"/>
              </w:rPr>
              <w:t xml:space="preserve">– </w:t>
            </w:r>
            <w:r w:rsidRPr="00512849">
              <w:rPr>
                <w:rFonts w:asciiTheme="minorHAnsi" w:hAnsiTheme="minorHAnsi"/>
                <w:color w:val="2B2B2B"/>
              </w:rPr>
              <w:t>谈判要求赔偿或责任条款困难。由于风险管理协议，金融科技用户不允许破坏该等条款。</w:t>
            </w:r>
          </w:p>
        </w:tc>
      </w:tr>
      <w:tr w:rsidR="00512849" w:rsidTr="004A40D9">
        <w:tc>
          <w:tcPr>
            <w:tcW w:w="1864" w:type="dxa"/>
            <w:vMerge/>
          </w:tcPr>
          <w:p w:rsidR="00512849" w:rsidRPr="00512849" w:rsidRDefault="00512849" w:rsidP="00926F80">
            <w:pPr>
              <w:pStyle w:val="NormalWeb"/>
              <w:adjustRightInd w:val="0"/>
              <w:snapToGrid w:val="0"/>
              <w:spacing w:before="0" w:beforeAutospacing="0" w:after="0" w:afterAutospacing="0"/>
              <w:jc w:val="both"/>
              <w:textAlignment w:val="baseline"/>
              <w:rPr>
                <w:rFonts w:asciiTheme="minorHAnsi" w:eastAsia="Inter" w:hAnsiTheme="minorHAnsi" w:cs="Times New Roman Regular"/>
                <w:color w:val="2B2B2B"/>
              </w:rPr>
            </w:pPr>
          </w:p>
        </w:tc>
        <w:tc>
          <w:tcPr>
            <w:tcW w:w="8530" w:type="dxa"/>
            <w:gridSpan w:val="3"/>
          </w:tcPr>
          <w:p w:rsidR="00512849" w:rsidRPr="00512849" w:rsidRDefault="00512849" w:rsidP="00926F80">
            <w:pPr>
              <w:pStyle w:val="NormalWeb"/>
              <w:adjustRightInd w:val="0"/>
              <w:snapToGrid w:val="0"/>
              <w:spacing w:before="0" w:beforeAutospacing="0" w:after="0" w:afterAutospacing="0"/>
              <w:jc w:val="both"/>
              <w:textAlignment w:val="baseline"/>
              <w:rPr>
                <w:rFonts w:asciiTheme="minorHAnsi" w:hAnsiTheme="minorHAnsi" w:cs="Times New Roman Regular"/>
              </w:rPr>
            </w:pPr>
            <w:r w:rsidRPr="00512849">
              <w:rPr>
                <w:rFonts w:asciiTheme="minorHAnsi" w:eastAsia="Inter" w:hAnsiTheme="minorHAnsi" w:cs="Times New Roman Regular"/>
                <w:color w:val="2B2B2B"/>
              </w:rPr>
              <w:t xml:space="preserve">– </w:t>
            </w:r>
            <w:r w:rsidRPr="00512849">
              <w:rPr>
                <w:rFonts w:asciiTheme="minorHAnsi" w:hAnsiTheme="minorHAnsi"/>
                <w:color w:val="2B2B2B"/>
              </w:rPr>
              <w:t>常见的不可协商条款导致金融科技解决方案提供商及用户之间难以达成协议。</w:t>
            </w:r>
          </w:p>
          <w:p w:rsidR="00512849" w:rsidRPr="00512849" w:rsidRDefault="00512849" w:rsidP="00926F80">
            <w:pPr>
              <w:pStyle w:val="NormalWeb"/>
              <w:adjustRightInd w:val="0"/>
              <w:snapToGrid w:val="0"/>
              <w:spacing w:before="0" w:beforeAutospacing="0" w:after="0" w:afterAutospacing="0"/>
              <w:jc w:val="both"/>
              <w:textAlignment w:val="baseline"/>
              <w:rPr>
                <w:rFonts w:asciiTheme="minorHAnsi" w:eastAsia="Inter" w:hAnsiTheme="minorHAnsi" w:cs="Times New Roman Regular"/>
                <w:color w:val="2B2B2B"/>
              </w:rPr>
            </w:pPr>
            <w:r w:rsidRPr="00512849">
              <w:rPr>
                <w:rFonts w:asciiTheme="minorHAnsi" w:eastAsia="Inter" w:hAnsiTheme="minorHAnsi" w:cs="Times New Roman Regular"/>
                <w:color w:val="2B2B2B"/>
              </w:rPr>
              <w:t xml:space="preserve">– </w:t>
            </w:r>
            <w:r w:rsidRPr="00512849">
              <w:rPr>
                <w:rFonts w:asciiTheme="minorHAnsi" w:hAnsiTheme="minorHAnsi"/>
                <w:color w:val="2B2B2B"/>
              </w:rPr>
              <w:t>在数据权利方面的冲突立场，诸如所有权访问、隐私以及保留。金融科技用户更喜欢保留对用户数据的控制，而金融科技解决方案提供商则需要这些数据来保证其产品的功能正常及加以改进。</w:t>
            </w:r>
          </w:p>
        </w:tc>
      </w:tr>
      <w:tr w:rsidR="00512849" w:rsidTr="004A40D9">
        <w:tc>
          <w:tcPr>
            <w:tcW w:w="1864" w:type="dxa"/>
          </w:tcPr>
          <w:p w:rsidR="00512849" w:rsidRDefault="00512849" w:rsidP="00926F80">
            <w:pPr>
              <w:pStyle w:val="NormalWeb"/>
              <w:adjustRightInd w:val="0"/>
              <w:snapToGrid w:val="0"/>
              <w:spacing w:before="0" w:beforeAutospacing="0" w:after="0" w:afterAutospacing="0"/>
              <w:jc w:val="both"/>
              <w:textAlignment w:val="baseline"/>
              <w:rPr>
                <w:rStyle w:val="Strong"/>
                <w:rFonts w:asciiTheme="minorHAnsi" w:hAnsiTheme="minorHAnsi"/>
                <w:color w:val="2B2B2B"/>
              </w:rPr>
            </w:pPr>
            <w:r w:rsidRPr="00512849">
              <w:rPr>
                <w:rStyle w:val="Strong"/>
                <w:rFonts w:asciiTheme="minorHAnsi" w:hAnsiTheme="minorHAnsi"/>
                <w:color w:val="2B2B2B"/>
              </w:rPr>
              <w:t>进入流程管理</w:t>
            </w:r>
          </w:p>
          <w:p w:rsidR="00A5252B" w:rsidRPr="00512849" w:rsidRDefault="00A5252B" w:rsidP="00926F80">
            <w:pPr>
              <w:pStyle w:val="NormalWeb"/>
              <w:adjustRightInd w:val="0"/>
              <w:snapToGrid w:val="0"/>
              <w:spacing w:before="0" w:beforeAutospacing="0" w:after="0" w:afterAutospacing="0"/>
              <w:jc w:val="both"/>
              <w:textAlignment w:val="baseline"/>
              <w:rPr>
                <w:rFonts w:asciiTheme="minorHAnsi" w:eastAsia="Inter" w:hAnsiTheme="minorHAnsi" w:cs="Times New Roman Regular" w:hint="eastAsia"/>
              </w:rPr>
            </w:pPr>
          </w:p>
          <w:p w:rsidR="00512849" w:rsidRPr="00512849" w:rsidRDefault="00512849" w:rsidP="00926F80">
            <w:pPr>
              <w:pStyle w:val="NormalWeb"/>
              <w:adjustRightInd w:val="0"/>
              <w:snapToGrid w:val="0"/>
              <w:spacing w:before="0" w:beforeAutospacing="0" w:after="0" w:afterAutospacing="0"/>
              <w:jc w:val="both"/>
              <w:textAlignment w:val="baseline"/>
              <w:rPr>
                <w:rFonts w:asciiTheme="minorHAnsi" w:eastAsia="Inter" w:hAnsiTheme="minorHAnsi" w:cs="Times New Roman Regular"/>
                <w:color w:val="2B2B2B"/>
              </w:rPr>
            </w:pPr>
            <w:r w:rsidRPr="00512849">
              <w:rPr>
                <w:rFonts w:asciiTheme="minorHAnsi" w:hAnsiTheme="minorHAnsi"/>
                <w:color w:val="2B2B2B"/>
              </w:rPr>
              <w:t>金融科技解决方案提供商提交的文件及资料，如业务、产品、客户及合规性或财务信息。</w:t>
            </w:r>
          </w:p>
        </w:tc>
        <w:tc>
          <w:tcPr>
            <w:tcW w:w="4765" w:type="dxa"/>
          </w:tcPr>
          <w:p w:rsidR="00512849" w:rsidRPr="00512849" w:rsidRDefault="00512849" w:rsidP="00926F80">
            <w:pPr>
              <w:pStyle w:val="NormalWeb"/>
              <w:adjustRightInd w:val="0"/>
              <w:snapToGrid w:val="0"/>
              <w:spacing w:before="0" w:beforeAutospacing="0" w:after="0" w:afterAutospacing="0"/>
              <w:jc w:val="both"/>
              <w:textAlignment w:val="baseline"/>
              <w:rPr>
                <w:rFonts w:asciiTheme="minorHAnsi" w:eastAsia="Inter" w:hAnsiTheme="minorHAnsi" w:cs="Times New Roman Regular"/>
                <w:color w:val="2B2B2B"/>
              </w:rPr>
            </w:pPr>
            <w:r w:rsidRPr="00512849">
              <w:rPr>
                <w:rFonts w:asciiTheme="minorHAnsi" w:eastAsia="Inter" w:hAnsiTheme="minorHAnsi" w:cs="Times New Roman Regular"/>
                <w:color w:val="2B2B2B"/>
              </w:rPr>
              <w:t xml:space="preserve">– </w:t>
            </w:r>
            <w:r w:rsidRPr="00512849">
              <w:rPr>
                <w:rFonts w:asciiTheme="minorHAnsi" w:hAnsiTheme="minorHAnsi"/>
                <w:color w:val="2B2B2B"/>
              </w:rPr>
              <w:t>在满足金融机构严格的文件要求方面存在障碍，特别是对于资源有限的金融科技初创企业。</w:t>
            </w:r>
            <w:r w:rsidRPr="00512849">
              <w:rPr>
                <w:rFonts w:asciiTheme="minorHAnsi" w:eastAsia="Inter" w:hAnsiTheme="minorHAnsi" w:cs="Times New Roman Regular"/>
                <w:color w:val="2B2B2B"/>
              </w:rPr>
              <w:t> </w:t>
            </w:r>
          </w:p>
          <w:p w:rsidR="00512849" w:rsidRPr="00512849" w:rsidRDefault="00512849" w:rsidP="00926F80">
            <w:pPr>
              <w:pStyle w:val="NormalWeb"/>
              <w:adjustRightInd w:val="0"/>
              <w:snapToGrid w:val="0"/>
              <w:spacing w:before="0" w:beforeAutospacing="0" w:after="0" w:afterAutospacing="0"/>
              <w:jc w:val="both"/>
              <w:textAlignment w:val="baseline"/>
              <w:rPr>
                <w:rFonts w:asciiTheme="minorHAnsi" w:eastAsia="Inter" w:hAnsiTheme="minorHAnsi" w:cs="Times New Roman Regular"/>
                <w:color w:val="2B2B2B"/>
              </w:rPr>
            </w:pPr>
            <w:r w:rsidRPr="00512849">
              <w:rPr>
                <w:rFonts w:asciiTheme="minorHAnsi" w:eastAsia="Inter" w:hAnsiTheme="minorHAnsi" w:cs="Times New Roman Regular"/>
                <w:color w:val="2B2B2B"/>
              </w:rPr>
              <w:t xml:space="preserve">– </w:t>
            </w:r>
            <w:r w:rsidRPr="00512849">
              <w:rPr>
                <w:rFonts w:asciiTheme="minorHAnsi" w:hAnsiTheme="minorHAnsi"/>
                <w:color w:val="2B2B2B"/>
              </w:rPr>
              <w:t>提交商业登记证、管理信息、内部政策文件、安全证书及收入证明有困难。</w:t>
            </w:r>
          </w:p>
          <w:p w:rsidR="00512849" w:rsidRPr="00512849" w:rsidRDefault="00512849" w:rsidP="00926F80">
            <w:pPr>
              <w:pStyle w:val="NormalWeb"/>
              <w:adjustRightInd w:val="0"/>
              <w:snapToGrid w:val="0"/>
              <w:spacing w:before="0" w:beforeAutospacing="0" w:after="0" w:afterAutospacing="0"/>
              <w:jc w:val="both"/>
              <w:textAlignment w:val="baseline"/>
              <w:rPr>
                <w:rFonts w:asciiTheme="minorHAnsi" w:eastAsia="Inter" w:hAnsiTheme="minorHAnsi" w:cs="Times New Roman Regular"/>
                <w:color w:val="2B2B2B"/>
              </w:rPr>
            </w:pPr>
            <w:r w:rsidRPr="00512849">
              <w:rPr>
                <w:rFonts w:asciiTheme="minorHAnsi" w:eastAsia="Inter" w:hAnsiTheme="minorHAnsi" w:cs="Times New Roman Regular"/>
                <w:color w:val="2B2B2B"/>
              </w:rPr>
              <w:t xml:space="preserve">– </w:t>
            </w:r>
            <w:r w:rsidRPr="00512849">
              <w:rPr>
                <w:rFonts w:asciiTheme="minorHAnsi" w:hAnsiTheme="minorHAnsi"/>
                <w:color w:val="2B2B2B"/>
              </w:rPr>
              <w:t>由于冗长而复杂的网络安全及渗透测试而导致的进入流程管理的时间延迟。</w:t>
            </w:r>
          </w:p>
          <w:p w:rsidR="00512849" w:rsidRPr="00512849" w:rsidRDefault="00512849" w:rsidP="00926F80">
            <w:pPr>
              <w:pStyle w:val="NormalWeb"/>
              <w:adjustRightInd w:val="0"/>
              <w:snapToGrid w:val="0"/>
              <w:spacing w:before="0" w:beforeAutospacing="0" w:after="0" w:afterAutospacing="0"/>
              <w:jc w:val="both"/>
              <w:textAlignment w:val="baseline"/>
              <w:rPr>
                <w:rFonts w:asciiTheme="minorHAnsi" w:eastAsia="Inter" w:hAnsiTheme="minorHAnsi" w:cs="Times New Roman Regular"/>
                <w:color w:val="2B2B2B"/>
              </w:rPr>
            </w:pPr>
            <w:r w:rsidRPr="00512849">
              <w:rPr>
                <w:rFonts w:asciiTheme="minorHAnsi" w:eastAsia="Inter" w:hAnsiTheme="minorHAnsi" w:cs="Times New Roman Regular"/>
                <w:color w:val="2B2B2B"/>
              </w:rPr>
              <w:t xml:space="preserve">– </w:t>
            </w:r>
            <w:r w:rsidRPr="00512849">
              <w:rPr>
                <w:rFonts w:asciiTheme="minorHAnsi" w:hAnsiTheme="minorHAnsi"/>
                <w:color w:val="2B2B2B"/>
              </w:rPr>
              <w:t>金融科技初创企业无法提供客户推介及盈利证明。</w:t>
            </w:r>
          </w:p>
          <w:p w:rsidR="00512849" w:rsidRPr="00512849" w:rsidRDefault="00512849" w:rsidP="00926F80">
            <w:pPr>
              <w:pStyle w:val="NormalWeb"/>
              <w:adjustRightInd w:val="0"/>
              <w:snapToGrid w:val="0"/>
              <w:spacing w:before="0" w:beforeAutospacing="0" w:after="0" w:afterAutospacing="0"/>
              <w:jc w:val="both"/>
              <w:textAlignment w:val="baseline"/>
              <w:rPr>
                <w:rFonts w:asciiTheme="minorHAnsi" w:eastAsia="Inter" w:hAnsiTheme="minorHAnsi" w:cs="Times New Roman Regular"/>
                <w:color w:val="2B2B2B"/>
              </w:rPr>
            </w:pPr>
            <w:r w:rsidRPr="00512849">
              <w:rPr>
                <w:rFonts w:asciiTheme="minorHAnsi" w:eastAsia="Inter" w:hAnsiTheme="minorHAnsi" w:cs="Times New Roman Regular"/>
                <w:color w:val="2B2B2B"/>
              </w:rPr>
              <w:t xml:space="preserve">– </w:t>
            </w:r>
            <w:r w:rsidRPr="00512849">
              <w:rPr>
                <w:rFonts w:asciiTheme="minorHAnsi" w:hAnsiTheme="minorHAnsi"/>
                <w:color w:val="2B2B2B"/>
              </w:rPr>
              <w:t>监管沙箱及「拍住上」资助计划的无效导致进入流程管理过程更加耗时及昂贵。</w:t>
            </w:r>
          </w:p>
        </w:tc>
        <w:tc>
          <w:tcPr>
            <w:tcW w:w="3765" w:type="dxa"/>
            <w:gridSpan w:val="2"/>
          </w:tcPr>
          <w:p w:rsidR="00512849" w:rsidRPr="00512849" w:rsidRDefault="00512849" w:rsidP="00926F80">
            <w:pPr>
              <w:pStyle w:val="NormalWeb"/>
              <w:adjustRightInd w:val="0"/>
              <w:snapToGrid w:val="0"/>
              <w:spacing w:before="0" w:beforeAutospacing="0" w:after="0" w:afterAutospacing="0"/>
              <w:jc w:val="both"/>
              <w:textAlignment w:val="baseline"/>
              <w:rPr>
                <w:rFonts w:asciiTheme="minorHAnsi" w:eastAsia="Inter" w:hAnsiTheme="minorHAnsi" w:cs="Times New Roman Regular"/>
                <w:color w:val="2B2B2B"/>
              </w:rPr>
            </w:pPr>
            <w:r w:rsidRPr="00512849">
              <w:rPr>
                <w:rFonts w:asciiTheme="minorHAnsi" w:eastAsia="Inter" w:hAnsiTheme="minorHAnsi" w:cs="Times New Roman Regular"/>
                <w:color w:val="2B2B2B"/>
              </w:rPr>
              <w:t xml:space="preserve">– </w:t>
            </w:r>
            <w:r w:rsidRPr="00512849">
              <w:rPr>
                <w:rFonts w:asciiTheme="minorHAnsi" w:hAnsiTheme="minorHAnsi"/>
                <w:color w:val="2B2B2B"/>
              </w:rPr>
              <w:t>由于金融科技解决方案提供商无法满足金融科技用户的内部协议要求，导致进入流程管理时间延迟。</w:t>
            </w:r>
          </w:p>
        </w:tc>
      </w:tr>
      <w:tr w:rsidR="00512849" w:rsidTr="00A5252B">
        <w:trPr>
          <w:gridAfter w:val="1"/>
          <w:wAfter w:w="80" w:type="dxa"/>
        </w:trPr>
        <w:tc>
          <w:tcPr>
            <w:tcW w:w="1864" w:type="dxa"/>
          </w:tcPr>
          <w:p w:rsidR="00512849" w:rsidRDefault="00512849" w:rsidP="00926F80">
            <w:pPr>
              <w:pStyle w:val="NormalWeb"/>
              <w:adjustRightInd w:val="0"/>
              <w:snapToGrid w:val="0"/>
              <w:spacing w:before="0" w:beforeAutospacing="0" w:after="0" w:afterAutospacing="0"/>
              <w:jc w:val="both"/>
              <w:textAlignment w:val="baseline"/>
              <w:rPr>
                <w:rStyle w:val="Strong"/>
                <w:rFonts w:asciiTheme="minorHAnsi" w:hAnsiTheme="minorHAnsi"/>
                <w:color w:val="2B2B2B"/>
              </w:rPr>
            </w:pPr>
            <w:r w:rsidRPr="00512849">
              <w:rPr>
                <w:rStyle w:val="Strong"/>
                <w:rFonts w:asciiTheme="minorHAnsi" w:hAnsiTheme="minorHAnsi"/>
                <w:color w:val="2B2B2B"/>
              </w:rPr>
              <w:t>激活</w:t>
            </w:r>
          </w:p>
          <w:p w:rsidR="00A5252B" w:rsidRPr="00512849" w:rsidRDefault="00A5252B" w:rsidP="00926F80">
            <w:pPr>
              <w:pStyle w:val="NormalWeb"/>
              <w:adjustRightInd w:val="0"/>
              <w:snapToGrid w:val="0"/>
              <w:spacing w:before="0" w:beforeAutospacing="0" w:after="0" w:afterAutospacing="0"/>
              <w:jc w:val="both"/>
              <w:textAlignment w:val="baseline"/>
              <w:rPr>
                <w:rFonts w:asciiTheme="minorHAnsi" w:hAnsiTheme="minorHAnsi" w:cs="Times New Roman Regular" w:hint="eastAsia"/>
              </w:rPr>
            </w:pPr>
          </w:p>
          <w:p w:rsidR="00512849" w:rsidRPr="00512849" w:rsidRDefault="00512849" w:rsidP="00926F80">
            <w:pPr>
              <w:pStyle w:val="NormalWeb"/>
              <w:adjustRightInd w:val="0"/>
              <w:snapToGrid w:val="0"/>
              <w:spacing w:before="0" w:beforeAutospacing="0" w:after="0" w:afterAutospacing="0"/>
              <w:jc w:val="both"/>
              <w:textAlignment w:val="baseline"/>
              <w:rPr>
                <w:rFonts w:asciiTheme="minorHAnsi" w:eastAsia="Inter" w:hAnsiTheme="minorHAnsi" w:cs="Times New Roman Regular"/>
                <w:color w:val="2B2B2B"/>
              </w:rPr>
            </w:pPr>
            <w:r w:rsidRPr="00512849">
              <w:rPr>
                <w:rFonts w:asciiTheme="minorHAnsi" w:hAnsiTheme="minorHAnsi"/>
                <w:color w:val="2B2B2B"/>
              </w:rPr>
              <w:t>金融科技解决方案通常在员工培训、内部</w:t>
            </w:r>
            <w:r w:rsidRPr="00512849">
              <w:rPr>
                <w:rFonts w:asciiTheme="minorHAnsi" w:hAnsiTheme="minorHAnsi"/>
                <w:color w:val="2B2B2B"/>
              </w:rPr>
              <w:lastRenderedPageBreak/>
              <w:t>沟通、直接供应商支持以及与金融科技解决方案使用相关的激励措施或关键绩效指标的帮助下使用。</w:t>
            </w:r>
            <w:r w:rsidRPr="00512849">
              <w:rPr>
                <w:rFonts w:asciiTheme="minorHAnsi" w:eastAsia="Inter" w:hAnsiTheme="minorHAnsi" w:cs="Times New Roman Regular"/>
                <w:color w:val="2B2B2B"/>
              </w:rPr>
              <w:t> </w:t>
            </w:r>
          </w:p>
        </w:tc>
        <w:tc>
          <w:tcPr>
            <w:tcW w:w="4765" w:type="dxa"/>
          </w:tcPr>
          <w:p w:rsidR="00512849" w:rsidRPr="00512849" w:rsidRDefault="00512849" w:rsidP="00926F80">
            <w:pPr>
              <w:pStyle w:val="NormalWeb"/>
              <w:adjustRightInd w:val="0"/>
              <w:snapToGrid w:val="0"/>
              <w:spacing w:before="0" w:beforeAutospacing="0" w:after="0" w:afterAutospacing="0"/>
              <w:jc w:val="both"/>
              <w:textAlignment w:val="baseline"/>
              <w:rPr>
                <w:rFonts w:asciiTheme="minorHAnsi" w:hAnsiTheme="minorHAnsi" w:cs="Times New Roman Regular"/>
              </w:rPr>
            </w:pPr>
            <w:r w:rsidRPr="00512849">
              <w:rPr>
                <w:rFonts w:asciiTheme="minorHAnsi" w:eastAsia="Inter" w:hAnsiTheme="minorHAnsi" w:cs="Times New Roman Regular"/>
                <w:color w:val="2B2B2B"/>
              </w:rPr>
              <w:lastRenderedPageBreak/>
              <w:t xml:space="preserve">– </w:t>
            </w:r>
            <w:r w:rsidRPr="00512849">
              <w:rPr>
                <w:rFonts w:asciiTheme="minorHAnsi" w:hAnsiTheme="minorHAnsi"/>
                <w:color w:val="2B2B2B"/>
              </w:rPr>
              <w:t>双向反馈回路不足导致对用户偏好的表面理解，造成实施挑战，实施后支持无效，以及资源浪费。</w:t>
            </w:r>
          </w:p>
          <w:p w:rsidR="00512849" w:rsidRPr="00512849" w:rsidRDefault="00512849" w:rsidP="00926F80">
            <w:pPr>
              <w:pStyle w:val="NormalWeb"/>
              <w:adjustRightInd w:val="0"/>
              <w:snapToGrid w:val="0"/>
              <w:spacing w:before="0" w:beforeAutospacing="0" w:after="0" w:afterAutospacing="0"/>
              <w:jc w:val="both"/>
              <w:textAlignment w:val="baseline"/>
              <w:rPr>
                <w:rFonts w:asciiTheme="minorHAnsi" w:eastAsia="Inter" w:hAnsiTheme="minorHAnsi" w:cs="Times New Roman Regular"/>
                <w:color w:val="2B2B2B"/>
              </w:rPr>
            </w:pPr>
            <w:r w:rsidRPr="00512849">
              <w:rPr>
                <w:rFonts w:asciiTheme="minorHAnsi" w:eastAsia="Inter" w:hAnsiTheme="minorHAnsi" w:cs="Times New Roman Regular"/>
                <w:color w:val="2B2B2B"/>
              </w:rPr>
              <w:t xml:space="preserve">– </w:t>
            </w:r>
            <w:r w:rsidRPr="00512849">
              <w:rPr>
                <w:rFonts w:asciiTheme="minorHAnsi" w:hAnsiTheme="minorHAnsi"/>
                <w:color w:val="2B2B2B"/>
              </w:rPr>
              <w:t>用户对金融科技解决方案的功能缺乏了解，导致难以顺利激活。</w:t>
            </w:r>
          </w:p>
        </w:tc>
        <w:tc>
          <w:tcPr>
            <w:tcW w:w="3685" w:type="dxa"/>
          </w:tcPr>
          <w:p w:rsidR="00512849" w:rsidRPr="00512849" w:rsidRDefault="00512849" w:rsidP="00926F80">
            <w:pPr>
              <w:pStyle w:val="NormalWeb"/>
              <w:adjustRightInd w:val="0"/>
              <w:snapToGrid w:val="0"/>
              <w:spacing w:before="0" w:beforeAutospacing="0" w:after="0" w:afterAutospacing="0"/>
              <w:jc w:val="both"/>
              <w:textAlignment w:val="baseline"/>
              <w:rPr>
                <w:rFonts w:asciiTheme="minorHAnsi" w:hAnsiTheme="minorHAnsi" w:cs="Times New Roman Regular"/>
              </w:rPr>
            </w:pPr>
            <w:r w:rsidRPr="00512849">
              <w:rPr>
                <w:rFonts w:asciiTheme="minorHAnsi" w:eastAsia="Inter" w:hAnsiTheme="minorHAnsi" w:cs="Times New Roman Regular"/>
                <w:color w:val="2B2B2B"/>
              </w:rPr>
              <w:t xml:space="preserve">– </w:t>
            </w:r>
            <w:r w:rsidRPr="00512849">
              <w:rPr>
                <w:rFonts w:asciiTheme="minorHAnsi" w:hAnsiTheme="minorHAnsi"/>
                <w:color w:val="2B2B2B"/>
              </w:rPr>
              <w:t>缺乏实践培训课程以及实施后咨询服务，导致金融科技用户无法解决使用过程中出现的问题。</w:t>
            </w:r>
          </w:p>
          <w:p w:rsidR="00512849" w:rsidRPr="00512849" w:rsidRDefault="00512849" w:rsidP="00926F80">
            <w:pPr>
              <w:pStyle w:val="NormalWeb"/>
              <w:adjustRightInd w:val="0"/>
              <w:snapToGrid w:val="0"/>
              <w:spacing w:before="0" w:beforeAutospacing="0" w:after="0" w:afterAutospacing="0"/>
              <w:jc w:val="both"/>
              <w:textAlignment w:val="baseline"/>
              <w:rPr>
                <w:rFonts w:asciiTheme="minorHAnsi" w:hAnsiTheme="minorHAnsi" w:cs="Times New Roman Regular"/>
              </w:rPr>
            </w:pPr>
            <w:r w:rsidRPr="00512849">
              <w:rPr>
                <w:rFonts w:asciiTheme="minorHAnsi" w:eastAsia="Inter" w:hAnsiTheme="minorHAnsi" w:cs="Times New Roman Regular"/>
                <w:color w:val="2B2B2B"/>
              </w:rPr>
              <w:t xml:space="preserve">– </w:t>
            </w:r>
            <w:r w:rsidRPr="00512849">
              <w:rPr>
                <w:rFonts w:asciiTheme="minorHAnsi" w:hAnsiTheme="minorHAnsi"/>
                <w:color w:val="2B2B2B"/>
              </w:rPr>
              <w:t>对安全性、可靠性以及对既定程序的剧烈变化的担忧阻碍了金</w:t>
            </w:r>
            <w:r w:rsidRPr="00512849">
              <w:rPr>
                <w:rFonts w:asciiTheme="minorHAnsi" w:hAnsiTheme="minorHAnsi"/>
                <w:color w:val="2B2B2B"/>
              </w:rPr>
              <w:lastRenderedPageBreak/>
              <w:t>融科技解决方案的全面实施。</w:t>
            </w:r>
            <w:r w:rsidRPr="00512849">
              <w:rPr>
                <w:rFonts w:asciiTheme="minorHAnsi" w:eastAsia="Inter" w:hAnsiTheme="minorHAnsi" w:cs="Times New Roman Regular"/>
                <w:color w:val="2B2B2B"/>
              </w:rPr>
              <w:t> </w:t>
            </w:r>
          </w:p>
          <w:p w:rsidR="00512849" w:rsidRPr="00512849" w:rsidRDefault="00512849" w:rsidP="00926F80">
            <w:pPr>
              <w:pStyle w:val="NormalWeb"/>
              <w:adjustRightInd w:val="0"/>
              <w:snapToGrid w:val="0"/>
              <w:spacing w:before="0" w:beforeAutospacing="0" w:after="0" w:afterAutospacing="0"/>
              <w:jc w:val="both"/>
              <w:textAlignment w:val="baseline"/>
              <w:rPr>
                <w:rFonts w:asciiTheme="minorHAnsi" w:hAnsiTheme="minorHAnsi" w:cs="Times New Roman Regular"/>
              </w:rPr>
            </w:pPr>
            <w:r w:rsidRPr="00512849">
              <w:rPr>
                <w:rFonts w:asciiTheme="minorHAnsi" w:eastAsia="Inter" w:hAnsiTheme="minorHAnsi" w:cs="Times New Roman Regular"/>
                <w:color w:val="2B2B2B"/>
              </w:rPr>
              <w:t xml:space="preserve">– </w:t>
            </w:r>
            <w:r w:rsidRPr="00512849">
              <w:rPr>
                <w:rFonts w:asciiTheme="minorHAnsi" w:hAnsiTheme="minorHAnsi"/>
                <w:color w:val="2B2B2B"/>
              </w:rPr>
              <w:t>对金融科技解决方案的潜力和好处缺乏认识，阻碍了实施。</w:t>
            </w:r>
          </w:p>
          <w:p w:rsidR="00512849" w:rsidRPr="00512849" w:rsidRDefault="00512849" w:rsidP="00926F80">
            <w:pPr>
              <w:pStyle w:val="NormalWeb"/>
              <w:adjustRightInd w:val="0"/>
              <w:snapToGrid w:val="0"/>
              <w:spacing w:before="0" w:beforeAutospacing="0" w:after="0" w:afterAutospacing="0"/>
              <w:jc w:val="both"/>
              <w:textAlignment w:val="baseline"/>
              <w:rPr>
                <w:rFonts w:asciiTheme="minorHAnsi" w:hAnsiTheme="minorHAnsi" w:cs="Times New Roman Regular"/>
              </w:rPr>
            </w:pPr>
            <w:r w:rsidRPr="00512849">
              <w:rPr>
                <w:rFonts w:asciiTheme="minorHAnsi" w:eastAsia="Inter" w:hAnsiTheme="minorHAnsi" w:cs="Times New Roman Regular"/>
                <w:color w:val="2B2B2B"/>
              </w:rPr>
              <w:t xml:space="preserve">– </w:t>
            </w:r>
            <w:r w:rsidRPr="00512849">
              <w:rPr>
                <w:rFonts w:asciiTheme="minorHAnsi" w:hAnsiTheme="minorHAnsi"/>
                <w:color w:val="2B2B2B"/>
              </w:rPr>
              <w:t>将金融科技解决方案与现有业务（如数据迁移）相结合所需的时间及资源增加，特别是当编程语言不同时。</w:t>
            </w:r>
          </w:p>
          <w:p w:rsidR="00512849" w:rsidRPr="00512849" w:rsidRDefault="00512849" w:rsidP="00926F80">
            <w:pPr>
              <w:pStyle w:val="NormalWeb"/>
              <w:adjustRightInd w:val="0"/>
              <w:snapToGrid w:val="0"/>
              <w:spacing w:before="0" w:beforeAutospacing="0" w:after="0" w:afterAutospacing="0"/>
              <w:jc w:val="both"/>
              <w:textAlignment w:val="baseline"/>
              <w:rPr>
                <w:rFonts w:asciiTheme="minorHAnsi" w:eastAsia="Inter" w:hAnsiTheme="minorHAnsi" w:cs="Times New Roman Regular"/>
                <w:color w:val="2B2B2B"/>
              </w:rPr>
            </w:pPr>
            <w:r w:rsidRPr="00512849">
              <w:rPr>
                <w:rFonts w:asciiTheme="minorHAnsi" w:eastAsia="Inter" w:hAnsiTheme="minorHAnsi" w:cs="Times New Roman Regular"/>
                <w:color w:val="2B2B2B"/>
              </w:rPr>
              <w:t xml:space="preserve">– </w:t>
            </w:r>
            <w:r w:rsidRPr="00512849">
              <w:rPr>
                <w:rFonts w:asciiTheme="minorHAnsi" w:hAnsiTheme="minorHAnsi"/>
                <w:color w:val="2B2B2B"/>
              </w:rPr>
              <w:t>缺乏实地金融科技专业知识来支持金融科技解决方案的运用。</w:t>
            </w:r>
          </w:p>
        </w:tc>
      </w:tr>
    </w:tbl>
    <w:p w:rsidR="009A3788" w:rsidRDefault="00A5252B">
      <w:pPr>
        <w:pStyle w:val="FirstParagraph"/>
        <w:rPr>
          <w:lang w:eastAsia="zh-CN"/>
        </w:rPr>
      </w:pPr>
      <w:r>
        <w:rPr>
          <w:lang w:eastAsia="zh-CN"/>
        </w:rPr>
        <w:lastRenderedPageBreak/>
        <w:t>*</w:t>
      </w:r>
      <w:r>
        <w:rPr>
          <w:lang w:eastAsia="zh-CN"/>
        </w:rPr>
        <w:t>有关采购渠道偏好的详细数字，请参阅该计划。</w:t>
      </w:r>
    </w:p>
    <w:p w:rsidR="009A3788" w:rsidRPr="00A5252B" w:rsidRDefault="00A5252B">
      <w:pPr>
        <w:pStyle w:val="BodyText"/>
        <w:rPr>
          <w:b/>
          <w:lang w:eastAsia="zh-CN"/>
        </w:rPr>
      </w:pPr>
      <w:r w:rsidRPr="00A5252B">
        <w:rPr>
          <w:b/>
          <w:lang w:eastAsia="zh-CN"/>
        </w:rPr>
        <w:t>确认的挑战</w:t>
      </w:r>
    </w:p>
    <w:p w:rsidR="009A3788" w:rsidRDefault="00A5252B">
      <w:pPr>
        <w:pStyle w:val="BodyText"/>
        <w:rPr>
          <w:lang w:eastAsia="zh-CN"/>
        </w:rPr>
      </w:pPr>
      <w:r>
        <w:rPr>
          <w:lang w:eastAsia="zh-CN"/>
        </w:rPr>
        <w:t>该项评估的结论是，在提供各种金融服务方面，需要付出更多的努力来推进及整合人工智能和分布式账本技术解决方案。分布式账本技术在</w:t>
      </w:r>
      <w:r>
        <w:rPr>
          <w:lang w:eastAsia="zh-CN"/>
        </w:rPr>
        <w:t>CBSCs</w:t>
      </w:r>
      <w:r>
        <w:rPr>
          <w:lang w:eastAsia="zh-CN"/>
        </w:rPr>
        <w:t>、清算及结算、信用评分、金融资产代</w:t>
      </w:r>
      <w:r>
        <w:rPr>
          <w:lang w:eastAsia="zh-CN"/>
        </w:rPr>
        <w:t>币化以及贸易融资方面的实施预期将于</w:t>
      </w:r>
      <w:r>
        <w:rPr>
          <w:lang w:eastAsia="zh-CN"/>
        </w:rPr>
        <w:t>2025</w:t>
      </w:r>
      <w:r>
        <w:rPr>
          <w:lang w:eastAsia="zh-CN"/>
        </w:rPr>
        <w:t>年或之前成熟。该等目标被认为对维持香港在全球金融环境中的竞争力至关重要。一般来说，需要教育来拓展金融服务行业对分布式账本技术能力的理解。监管机构亦负责澄清分布式账本技术的监管制度，以增加对分布式账本技术产品的确定性及信心。对人工智能实施的担忧亦需要解决，尤其是应该输入算法的专有信息的数量，以平衡数据安全性，同时确保操作可行性。</w:t>
      </w:r>
    </w:p>
    <w:p w:rsidR="009A3788" w:rsidRDefault="00A5252B">
      <w:pPr>
        <w:pStyle w:val="BodyText"/>
        <w:rPr>
          <w:lang w:eastAsia="zh-CN"/>
        </w:rPr>
      </w:pPr>
      <w:r>
        <w:rPr>
          <w:lang w:eastAsia="zh-CN"/>
        </w:rPr>
        <w:t>在业务挑战方面，高成本及合理的投资回报是两个主要障碍。诸如人工智能及分布式账本技术之类的新技术并不常见，部署成本也很高。此外，金融科技用户的数据隐私问题尚未得到解决。在与技术相关的挑战方面，金融科技用户工作人员有限的技术专业知识进一步阻碍了人工智能及分布式账本技术的有效应用。</w:t>
      </w:r>
    </w:p>
    <w:p w:rsidR="009A3788" w:rsidRPr="00A5252B" w:rsidRDefault="00A5252B">
      <w:pPr>
        <w:pStyle w:val="BodyText"/>
        <w:rPr>
          <w:b/>
          <w:color w:val="C00000"/>
          <w:lang w:eastAsia="zh-CN"/>
        </w:rPr>
      </w:pPr>
      <w:r w:rsidRPr="00A5252B">
        <w:rPr>
          <w:b/>
          <w:color w:val="C00000"/>
          <w:lang w:eastAsia="zh-CN"/>
        </w:rPr>
        <w:t>金融科技推广计划</w:t>
      </w:r>
    </w:p>
    <w:p w:rsidR="009A3788" w:rsidRDefault="00A5252B">
      <w:pPr>
        <w:pStyle w:val="BodyText"/>
        <w:rPr>
          <w:lang w:eastAsia="zh-CN"/>
        </w:rPr>
      </w:pPr>
      <w:r>
        <w:rPr>
          <w:lang w:eastAsia="zh-CN"/>
        </w:rPr>
        <w:t>鉴于该项研究发现金融科技在整个应用生命周期中所面临的挑战，金管局公布了推广计划，以填补现有措施中的空白以及解决不足之处。《金融科技推广计划》显示金管局决心达致将香港发展为以金融科技为核心的金融枢纽的最终目标。</w:t>
      </w:r>
    </w:p>
    <w:p w:rsidR="009A3788" w:rsidRPr="00A5252B" w:rsidRDefault="00A5252B">
      <w:pPr>
        <w:pStyle w:val="BodyText"/>
        <w:rPr>
          <w:b/>
          <w:lang w:eastAsia="zh-CN"/>
        </w:rPr>
      </w:pPr>
      <w:r w:rsidRPr="00A5252B">
        <w:rPr>
          <w:b/>
          <w:lang w:eastAsia="zh-CN"/>
        </w:rPr>
        <w:t>结论及</w:t>
      </w:r>
      <w:r w:rsidRPr="00A5252B">
        <w:rPr>
          <w:b/>
          <w:lang w:eastAsia="zh-CN"/>
        </w:rPr>
        <w:t>见解</w:t>
      </w:r>
    </w:p>
    <w:p w:rsidR="009A3788" w:rsidRDefault="00A5252B">
      <w:pPr>
        <w:pStyle w:val="BodyText"/>
        <w:rPr>
          <w:lang w:eastAsia="zh-CN"/>
        </w:rPr>
      </w:pPr>
      <w:r>
        <w:rPr>
          <w:lang w:eastAsia="zh-CN"/>
        </w:rPr>
        <w:t>金管局已就金融科技应用的每个阶段提出见解，作为制定该计划措施的起点。为了提高采购阶段的效率，金管局推出了一个配对平台，让金融科技用户与提供商轻松联接。金管局亦会继续举办更多联谊活动，以培育关系及伙伴关系。在考虑阶段，当务之急是填补金融科技解决方案提供商的能力与金融科技用户的期望之间的差距。为此，金管局计划举办网络研讨会、研讨会和知识交流会，促进各持份者之间的交流及讨论。谈判及订立和约阶段的挑战将透过在金融科技提供商与用户之间更好地分配责任及义务提供指引来解决。此外，还将提供论坛，鼓励各方妥协并结成商业</w:t>
      </w:r>
      <w:r>
        <w:rPr>
          <w:lang w:eastAsia="zh-CN"/>
        </w:rPr>
        <w:t>伙伴关系。为了解决程序管理问题，金管局将向金融科技解决方案提供商发出指引，旨在就一套惯常做法达成一致，以满足监管机构及金融科技用户的尽职调查程序要求。最后，将通过为金融科技用户提供培训课程来改善激活阶段，从而提高对金融科技解决方案能力的认识。金管局亦会致力发展方法，以更有效地解决应用时遇到的困难，并鼓励更多人使用。</w:t>
      </w:r>
    </w:p>
    <w:p w:rsidR="009A3788" w:rsidRPr="00A5252B" w:rsidRDefault="00A5252B">
      <w:pPr>
        <w:pStyle w:val="BodyText"/>
        <w:rPr>
          <w:b/>
          <w:lang w:eastAsia="zh-CN"/>
        </w:rPr>
      </w:pPr>
      <w:r w:rsidRPr="00A5252B">
        <w:rPr>
          <w:b/>
          <w:lang w:eastAsia="zh-CN"/>
        </w:rPr>
        <w:t>计划采取的措施</w:t>
      </w:r>
    </w:p>
    <w:p w:rsidR="009A3788" w:rsidRDefault="00A5252B">
      <w:pPr>
        <w:pStyle w:val="BodyText"/>
      </w:pPr>
      <w:r>
        <w:rPr>
          <w:lang w:eastAsia="zh-CN"/>
        </w:rPr>
        <w:t>金管局认可监管科技知识中心以及监管科技研究论文等现有措施的成效。该等措施将继续实施，同时将实施新的举措，以应对该项研究发现的主要挑战。</w:t>
      </w:r>
      <w:r>
        <w:t>下表显示了现有措施及计划措施之间的比较。</w:t>
      </w:r>
    </w:p>
    <w:tbl>
      <w:tblPr>
        <w:tblStyle w:val="TableGrid"/>
        <w:tblW w:w="5000" w:type="pct"/>
        <w:tblLook w:val="07C0" w:firstRow="0" w:lastRow="1" w:firstColumn="1" w:lastColumn="1" w:noHBand="1" w:noVBand="1"/>
      </w:tblPr>
      <w:tblGrid>
        <w:gridCol w:w="1044"/>
        <w:gridCol w:w="2883"/>
        <w:gridCol w:w="6467"/>
      </w:tblGrid>
      <w:tr w:rsidR="009A3788" w:rsidTr="00A5252B">
        <w:tc>
          <w:tcPr>
            <w:tcW w:w="0" w:type="auto"/>
          </w:tcPr>
          <w:p w:rsidR="009A3788" w:rsidRPr="00A5252B" w:rsidRDefault="00A5252B">
            <w:pPr>
              <w:rPr>
                <w:color w:val="C00000"/>
              </w:rPr>
            </w:pPr>
            <w:r w:rsidRPr="00A5252B">
              <w:rPr>
                <w:rFonts w:ascii="SimSun" w:eastAsia="SimSun" w:hAnsi="SimSun" w:cs="SimSun" w:hint="eastAsia"/>
                <w:b/>
                <w:color w:val="C00000"/>
              </w:rPr>
              <w:lastRenderedPageBreak/>
              <w:t>措</w:t>
            </w:r>
            <w:r w:rsidRPr="00A5252B">
              <w:rPr>
                <w:rFonts w:ascii="SimSun" w:eastAsia="SimSun" w:hAnsi="SimSun" w:cs="SimSun" w:hint="eastAsia"/>
                <w:b/>
                <w:color w:val="C00000"/>
              </w:rPr>
              <w:t>施</w:t>
            </w:r>
          </w:p>
        </w:tc>
        <w:tc>
          <w:tcPr>
            <w:tcW w:w="0" w:type="auto"/>
          </w:tcPr>
          <w:p w:rsidR="009A3788" w:rsidRPr="00A5252B" w:rsidRDefault="00A5252B">
            <w:pPr>
              <w:rPr>
                <w:color w:val="C00000"/>
                <w:lang w:eastAsia="zh-CN"/>
              </w:rPr>
            </w:pPr>
            <w:r w:rsidRPr="00A5252B">
              <w:rPr>
                <w:rFonts w:ascii="SimSun" w:eastAsia="SimSun" w:hAnsi="SimSun" w:cs="SimSun" w:hint="eastAsia"/>
                <w:b/>
                <w:color w:val="C00000"/>
                <w:lang w:eastAsia="zh-CN"/>
              </w:rPr>
              <w:t>目前阶段（监管科技）</w:t>
            </w:r>
          </w:p>
        </w:tc>
        <w:tc>
          <w:tcPr>
            <w:tcW w:w="0" w:type="auto"/>
          </w:tcPr>
          <w:p w:rsidR="009A3788" w:rsidRPr="00A5252B" w:rsidRDefault="00A5252B">
            <w:pPr>
              <w:rPr>
                <w:color w:val="C00000"/>
                <w:lang w:eastAsia="zh-CN"/>
              </w:rPr>
            </w:pPr>
            <w:r w:rsidRPr="00A5252B">
              <w:rPr>
                <w:rFonts w:ascii="SimSun" w:eastAsia="SimSun" w:hAnsi="SimSun" w:cs="SimSun" w:hint="eastAsia"/>
                <w:b/>
                <w:color w:val="C00000"/>
                <w:lang w:eastAsia="zh-CN"/>
              </w:rPr>
              <w:t>计划建议（金融科技）</w:t>
            </w:r>
          </w:p>
        </w:tc>
      </w:tr>
      <w:tr w:rsidR="009A3788" w:rsidTr="00A5252B">
        <w:tc>
          <w:tcPr>
            <w:tcW w:w="0" w:type="auto"/>
          </w:tcPr>
          <w:p w:rsidR="009A3788" w:rsidRPr="00A5252B" w:rsidRDefault="00A5252B">
            <w:pPr>
              <w:rPr>
                <w:color w:val="C00000"/>
              </w:rPr>
            </w:pPr>
            <w:r w:rsidRPr="00A5252B">
              <w:rPr>
                <w:rFonts w:ascii="SimSun" w:eastAsia="SimSun" w:hAnsi="SimSun" w:cs="SimSun" w:hint="eastAsia"/>
                <w:b/>
                <w:color w:val="C00000"/>
              </w:rPr>
              <w:t>知识中心</w:t>
            </w:r>
          </w:p>
        </w:tc>
        <w:tc>
          <w:tcPr>
            <w:tcW w:w="0" w:type="auto"/>
          </w:tcPr>
          <w:p w:rsidR="009A3788" w:rsidRDefault="00A5252B">
            <w:r>
              <w:rPr>
                <w:rFonts w:ascii="SimSun" w:eastAsia="SimSun" w:hAnsi="SimSun" w:cs="SimSun" w:hint="eastAsia"/>
                <w:b/>
              </w:rPr>
              <w:t>监管科技知识中心</w:t>
            </w:r>
          </w:p>
          <w:p w:rsidR="009A3788" w:rsidRDefault="00A5252B">
            <w:pPr>
              <w:pStyle w:val="Compact"/>
              <w:numPr>
                <w:ilvl w:val="0"/>
                <w:numId w:val="18"/>
              </w:numPr>
              <w:jc w:val="left"/>
              <w:rPr>
                <w:lang w:eastAsia="zh-CN"/>
              </w:rPr>
            </w:pPr>
            <w:r>
              <w:rPr>
                <w:lang w:eastAsia="zh-CN"/>
              </w:rPr>
              <w:t>提高市场更新意识的信息平台。</w:t>
            </w:r>
          </w:p>
          <w:p w:rsidR="009A3788" w:rsidRDefault="00A5252B">
            <w:pPr>
              <w:pStyle w:val="Compact"/>
              <w:numPr>
                <w:ilvl w:val="0"/>
                <w:numId w:val="18"/>
              </w:numPr>
              <w:jc w:val="left"/>
            </w:pPr>
            <w:r>
              <w:t>关注教育方面。</w:t>
            </w:r>
          </w:p>
          <w:p w:rsidR="009A3788" w:rsidRDefault="00A5252B">
            <w:pPr>
              <w:pStyle w:val="Compact"/>
              <w:numPr>
                <w:ilvl w:val="0"/>
                <w:numId w:val="18"/>
              </w:numPr>
              <w:jc w:val="left"/>
              <w:rPr>
                <w:lang w:eastAsia="zh-CN"/>
              </w:rPr>
            </w:pPr>
            <w:r>
              <w:rPr>
                <w:lang w:eastAsia="zh-CN"/>
              </w:rPr>
              <w:t>仅限于监管技术（风险管理及合规）。</w:t>
            </w:r>
          </w:p>
          <w:p w:rsidR="009A3788" w:rsidRDefault="00A5252B">
            <w:pPr>
              <w:pStyle w:val="Compact"/>
              <w:numPr>
                <w:ilvl w:val="0"/>
                <w:numId w:val="18"/>
              </w:numPr>
              <w:jc w:val="left"/>
              <w:rPr>
                <w:lang w:eastAsia="zh-CN"/>
              </w:rPr>
            </w:pPr>
            <w:r>
              <w:rPr>
                <w:lang w:eastAsia="zh-CN"/>
              </w:rPr>
              <w:t>金融科技用户的单方面使用。</w:t>
            </w:r>
          </w:p>
          <w:p w:rsidR="009A3788" w:rsidRDefault="00A5252B">
            <w:pPr>
              <w:pStyle w:val="Compact"/>
              <w:numPr>
                <w:ilvl w:val="0"/>
                <w:numId w:val="18"/>
              </w:numPr>
              <w:jc w:val="left"/>
              <w:rPr>
                <w:lang w:eastAsia="zh-CN"/>
              </w:rPr>
            </w:pPr>
            <w:r>
              <w:rPr>
                <w:lang w:eastAsia="zh-CN"/>
              </w:rPr>
              <w:t>由金管局公布的独家内容。</w:t>
            </w:r>
          </w:p>
        </w:tc>
        <w:tc>
          <w:tcPr>
            <w:tcW w:w="0" w:type="auto"/>
          </w:tcPr>
          <w:p w:rsidR="009A3788" w:rsidRDefault="00A5252B">
            <w:r>
              <w:rPr>
                <w:rFonts w:ascii="SimSun" w:eastAsia="SimSun" w:hAnsi="SimSun" w:cs="SimSun" w:hint="eastAsia"/>
                <w:b/>
              </w:rPr>
              <w:t>金融科技知识中心</w:t>
            </w:r>
          </w:p>
          <w:p w:rsidR="009A3788" w:rsidRDefault="00A5252B">
            <w:pPr>
              <w:pStyle w:val="Compact"/>
              <w:numPr>
                <w:ilvl w:val="0"/>
                <w:numId w:val="19"/>
              </w:numPr>
              <w:jc w:val="left"/>
              <w:rPr>
                <w:lang w:eastAsia="zh-CN"/>
              </w:rPr>
            </w:pPr>
            <w:r>
              <w:rPr>
                <w:lang w:eastAsia="zh-CN"/>
              </w:rPr>
              <w:t>将现有的监管科技知识中心转变为金融科技知识中心。</w:t>
            </w:r>
          </w:p>
          <w:p w:rsidR="009A3788" w:rsidRDefault="00A5252B">
            <w:pPr>
              <w:pStyle w:val="Compact"/>
              <w:numPr>
                <w:ilvl w:val="0"/>
                <w:numId w:val="19"/>
              </w:numPr>
              <w:jc w:val="left"/>
              <w:rPr>
                <w:lang w:eastAsia="zh-CN"/>
              </w:rPr>
            </w:pPr>
            <w:r>
              <w:rPr>
                <w:lang w:eastAsia="zh-CN"/>
              </w:rPr>
              <w:t>一站式金融科技信息综合协作交流平台。</w:t>
            </w:r>
          </w:p>
          <w:p w:rsidR="009A3788" w:rsidRDefault="00A5252B">
            <w:pPr>
              <w:pStyle w:val="Compact"/>
              <w:numPr>
                <w:ilvl w:val="0"/>
                <w:numId w:val="19"/>
              </w:numPr>
              <w:jc w:val="left"/>
              <w:rPr>
                <w:lang w:eastAsia="zh-CN"/>
              </w:rPr>
            </w:pPr>
            <w:r>
              <w:rPr>
                <w:lang w:eastAsia="zh-CN"/>
              </w:rPr>
              <w:t>注重实践环节，诸如解决金融科技激活挑战及提供培训的名录及金融科技学院。</w:t>
            </w:r>
          </w:p>
          <w:p w:rsidR="009A3788" w:rsidRDefault="00A5252B">
            <w:pPr>
              <w:pStyle w:val="Compact"/>
              <w:numPr>
                <w:ilvl w:val="0"/>
                <w:numId w:val="19"/>
              </w:numPr>
              <w:jc w:val="left"/>
              <w:rPr>
                <w:lang w:eastAsia="zh-CN"/>
              </w:rPr>
            </w:pPr>
            <w:r>
              <w:rPr>
                <w:lang w:eastAsia="zh-CN"/>
              </w:rPr>
              <w:t>涵盖五大金融科技重点领域的综合性跨行业平台。</w:t>
            </w:r>
          </w:p>
          <w:p w:rsidR="009A3788" w:rsidRDefault="00A5252B">
            <w:pPr>
              <w:pStyle w:val="Compact"/>
              <w:numPr>
                <w:ilvl w:val="0"/>
                <w:numId w:val="19"/>
              </w:numPr>
              <w:jc w:val="left"/>
              <w:rPr>
                <w:lang w:eastAsia="zh-CN"/>
              </w:rPr>
            </w:pPr>
            <w:r>
              <w:rPr>
                <w:lang w:eastAsia="zh-CN"/>
              </w:rPr>
              <w:t>金融科技用户及金融科技解决方案提供商用以连接及解决采购挑战的双边平台。</w:t>
            </w:r>
          </w:p>
          <w:p w:rsidR="009A3788" w:rsidRDefault="00A5252B">
            <w:pPr>
              <w:pStyle w:val="Compact"/>
              <w:numPr>
                <w:ilvl w:val="0"/>
                <w:numId w:val="19"/>
              </w:numPr>
              <w:jc w:val="left"/>
              <w:rPr>
                <w:lang w:eastAsia="zh-CN"/>
              </w:rPr>
            </w:pPr>
            <w:r>
              <w:rPr>
                <w:lang w:eastAsia="zh-CN"/>
              </w:rPr>
              <w:t>提供数码港、香港科技园及香港贸发会的金融科技活动及资讯的共享平台。</w:t>
            </w:r>
          </w:p>
        </w:tc>
      </w:tr>
      <w:tr w:rsidR="009A3788" w:rsidTr="00A5252B">
        <w:tc>
          <w:tcPr>
            <w:tcW w:w="0" w:type="auto"/>
          </w:tcPr>
          <w:p w:rsidR="009A3788" w:rsidRPr="00A5252B" w:rsidRDefault="00A5252B">
            <w:pPr>
              <w:rPr>
                <w:color w:val="C00000"/>
              </w:rPr>
            </w:pPr>
            <w:r w:rsidRPr="00A5252B">
              <w:rPr>
                <w:rFonts w:ascii="SimSun" w:eastAsia="SimSun" w:hAnsi="SimSun" w:cs="SimSun" w:hint="eastAsia"/>
                <w:b/>
                <w:color w:val="C00000"/>
              </w:rPr>
              <w:t>聚焦宣传片</w:t>
            </w:r>
          </w:p>
        </w:tc>
        <w:tc>
          <w:tcPr>
            <w:tcW w:w="0" w:type="auto"/>
          </w:tcPr>
          <w:p w:rsidR="009A3788" w:rsidRDefault="00A5252B">
            <w:r>
              <w:rPr>
                <w:rFonts w:ascii="SimSun" w:eastAsia="SimSun" w:hAnsi="SimSun" w:cs="SimSun" w:hint="eastAsia"/>
                <w:b/>
              </w:rPr>
              <w:t>监管科技宣传片</w:t>
            </w:r>
          </w:p>
          <w:p w:rsidR="009A3788" w:rsidRDefault="00A5252B">
            <w:pPr>
              <w:pStyle w:val="Compact"/>
              <w:numPr>
                <w:ilvl w:val="0"/>
                <w:numId w:val="20"/>
              </w:numPr>
              <w:jc w:val="left"/>
              <w:rPr>
                <w:lang w:eastAsia="zh-CN"/>
              </w:rPr>
            </w:pPr>
            <w:r>
              <w:rPr>
                <w:lang w:eastAsia="zh-CN"/>
              </w:rPr>
              <w:t>提高并加强对金融科技解决方案的认识及理解。</w:t>
            </w:r>
          </w:p>
          <w:p w:rsidR="009A3788" w:rsidRDefault="00A5252B">
            <w:pPr>
              <w:pStyle w:val="Compact"/>
              <w:numPr>
                <w:ilvl w:val="0"/>
                <w:numId w:val="20"/>
              </w:numPr>
              <w:jc w:val="left"/>
              <w:rPr>
                <w:lang w:eastAsia="zh-CN"/>
              </w:rPr>
            </w:pPr>
            <w:r>
              <w:rPr>
                <w:lang w:eastAsia="zh-CN"/>
              </w:rPr>
              <w:t>信息性质，包括创业过程，常规观察及潜在利益的信息。</w:t>
            </w:r>
          </w:p>
          <w:p w:rsidR="009A3788" w:rsidRDefault="00A5252B">
            <w:pPr>
              <w:pStyle w:val="Compact"/>
              <w:numPr>
                <w:ilvl w:val="0"/>
                <w:numId w:val="20"/>
              </w:numPr>
              <w:jc w:val="left"/>
              <w:rPr>
                <w:lang w:eastAsia="zh-CN"/>
              </w:rPr>
            </w:pPr>
            <w:r>
              <w:rPr>
                <w:lang w:eastAsia="zh-CN"/>
              </w:rPr>
              <w:t>仅限于监管技术（风险管理及合规）。</w:t>
            </w:r>
          </w:p>
          <w:p w:rsidR="009A3788" w:rsidRDefault="00A5252B">
            <w:pPr>
              <w:pStyle w:val="Compact"/>
              <w:numPr>
                <w:ilvl w:val="0"/>
                <w:numId w:val="20"/>
              </w:numPr>
              <w:jc w:val="left"/>
              <w:rPr>
                <w:lang w:eastAsia="zh-CN"/>
              </w:rPr>
            </w:pPr>
            <w:r>
              <w:rPr>
                <w:lang w:eastAsia="zh-CN"/>
              </w:rPr>
              <w:t>金融科技用户的单方面使用。</w:t>
            </w:r>
          </w:p>
        </w:tc>
        <w:tc>
          <w:tcPr>
            <w:tcW w:w="0" w:type="auto"/>
          </w:tcPr>
          <w:p w:rsidR="009A3788" w:rsidRDefault="00A5252B">
            <w:r>
              <w:rPr>
                <w:rFonts w:ascii="SimSun" w:eastAsia="SimSun" w:hAnsi="SimSun" w:cs="SimSun" w:hint="eastAsia"/>
                <w:b/>
              </w:rPr>
              <w:t>金融科技聚焦宣传片</w:t>
            </w:r>
          </w:p>
          <w:p w:rsidR="009A3788" w:rsidRDefault="00A5252B">
            <w:pPr>
              <w:pStyle w:val="Compact"/>
              <w:numPr>
                <w:ilvl w:val="0"/>
                <w:numId w:val="21"/>
              </w:numPr>
              <w:jc w:val="left"/>
              <w:rPr>
                <w:lang w:eastAsia="zh-CN"/>
              </w:rPr>
            </w:pPr>
            <w:r>
              <w:rPr>
                <w:lang w:eastAsia="zh-CN"/>
              </w:rPr>
              <w:t>新的宣传片系列邀请金融科技用户以及解决方案提供商分享他们成功应用金融科技的经验，旨在增强对金融科技解决方案的信心，并增加金融科技解决方案的应用。</w:t>
            </w:r>
          </w:p>
          <w:p w:rsidR="009A3788" w:rsidRDefault="00A5252B">
            <w:pPr>
              <w:pStyle w:val="Compact"/>
              <w:numPr>
                <w:ilvl w:val="0"/>
                <w:numId w:val="21"/>
              </w:numPr>
              <w:jc w:val="left"/>
              <w:rPr>
                <w:lang w:eastAsia="zh-CN"/>
              </w:rPr>
            </w:pPr>
            <w:r>
              <w:rPr>
                <w:lang w:eastAsia="zh-CN"/>
              </w:rPr>
              <w:t>涵盖五大金融科技重点领域以及不同金融部门的金融科技解决方案的实施情况。</w:t>
            </w:r>
          </w:p>
          <w:p w:rsidR="009A3788" w:rsidRDefault="00A5252B">
            <w:pPr>
              <w:pStyle w:val="Compact"/>
              <w:numPr>
                <w:ilvl w:val="0"/>
                <w:numId w:val="21"/>
              </w:numPr>
              <w:jc w:val="left"/>
              <w:rPr>
                <w:lang w:eastAsia="zh-CN"/>
              </w:rPr>
            </w:pPr>
            <w:r>
              <w:rPr>
                <w:lang w:eastAsia="zh-CN"/>
              </w:rPr>
              <w:t>切合实际，涵盖不同金融部门应用挑战、各自的解决方案、考虑因素及建议的运作模式的内容。</w:t>
            </w:r>
          </w:p>
          <w:p w:rsidR="009A3788" w:rsidRDefault="00A5252B">
            <w:pPr>
              <w:pStyle w:val="Compact"/>
              <w:numPr>
                <w:ilvl w:val="0"/>
                <w:numId w:val="21"/>
              </w:numPr>
              <w:jc w:val="left"/>
              <w:rPr>
                <w:lang w:eastAsia="zh-CN"/>
              </w:rPr>
            </w:pPr>
            <w:r>
              <w:rPr>
                <w:lang w:eastAsia="zh-CN"/>
              </w:rPr>
              <w:t>金融科技用户以及金融科技解决方案提供商的双边平台。</w:t>
            </w:r>
          </w:p>
        </w:tc>
      </w:tr>
      <w:tr w:rsidR="009A3788" w:rsidTr="00A5252B">
        <w:tc>
          <w:tcPr>
            <w:tcW w:w="0" w:type="auto"/>
          </w:tcPr>
          <w:p w:rsidR="009A3788" w:rsidRPr="00A5252B" w:rsidRDefault="00A5252B">
            <w:pPr>
              <w:rPr>
                <w:color w:val="C00000"/>
              </w:rPr>
            </w:pPr>
            <w:r w:rsidRPr="00A5252B">
              <w:rPr>
                <w:rFonts w:ascii="SimSun" w:eastAsia="SimSun" w:hAnsi="SimSun" w:cs="SimSun" w:hint="eastAsia"/>
                <w:b/>
                <w:color w:val="C00000"/>
              </w:rPr>
              <w:t>活动</w:t>
            </w:r>
          </w:p>
        </w:tc>
        <w:tc>
          <w:tcPr>
            <w:tcW w:w="0" w:type="auto"/>
          </w:tcPr>
          <w:p w:rsidR="009A3788" w:rsidRDefault="00A5252B">
            <w:r>
              <w:rPr>
                <w:rFonts w:ascii="SimSun" w:eastAsia="SimSun" w:hAnsi="SimSun" w:cs="SimSun" w:hint="eastAsia"/>
                <w:b/>
              </w:rPr>
              <w:t>监管科技活动</w:t>
            </w:r>
          </w:p>
          <w:p w:rsidR="009A3788" w:rsidRDefault="00A5252B">
            <w:pPr>
              <w:pStyle w:val="Compact"/>
              <w:numPr>
                <w:ilvl w:val="0"/>
                <w:numId w:val="22"/>
              </w:numPr>
              <w:jc w:val="left"/>
              <w:rPr>
                <w:lang w:eastAsia="zh-CN"/>
              </w:rPr>
            </w:pPr>
            <w:r>
              <w:rPr>
                <w:lang w:eastAsia="zh-CN"/>
              </w:rPr>
              <w:t>提高对金融科技解决方案的认识，推广解决方案提供商。</w:t>
            </w:r>
          </w:p>
          <w:p w:rsidR="009A3788" w:rsidRDefault="00A5252B">
            <w:pPr>
              <w:pStyle w:val="Compact"/>
              <w:numPr>
                <w:ilvl w:val="0"/>
                <w:numId w:val="22"/>
              </w:numPr>
              <w:jc w:val="left"/>
              <w:rPr>
                <w:lang w:eastAsia="zh-CN"/>
              </w:rPr>
            </w:pPr>
            <w:r>
              <w:rPr>
                <w:lang w:eastAsia="zh-CN"/>
              </w:rPr>
              <w:t>以演示、小册子及传单的形式提供信息。</w:t>
            </w:r>
          </w:p>
          <w:p w:rsidR="009A3788" w:rsidRDefault="00A5252B">
            <w:pPr>
              <w:pStyle w:val="Compact"/>
              <w:numPr>
                <w:ilvl w:val="0"/>
                <w:numId w:val="22"/>
              </w:numPr>
              <w:jc w:val="left"/>
              <w:rPr>
                <w:lang w:eastAsia="zh-CN"/>
              </w:rPr>
            </w:pPr>
            <w:r>
              <w:rPr>
                <w:lang w:eastAsia="zh-CN"/>
              </w:rPr>
              <w:t>仅限于监管技术（风险管理和合规）。</w:t>
            </w:r>
          </w:p>
        </w:tc>
        <w:tc>
          <w:tcPr>
            <w:tcW w:w="0" w:type="auto"/>
          </w:tcPr>
          <w:p w:rsidR="009A3788" w:rsidRDefault="00A5252B">
            <w:r>
              <w:rPr>
                <w:rFonts w:ascii="SimSun" w:eastAsia="SimSun" w:hAnsi="SimSun" w:cs="SimSun" w:hint="eastAsia"/>
                <w:b/>
              </w:rPr>
              <w:t>金融科技展示柜及圆桌</w:t>
            </w:r>
          </w:p>
          <w:p w:rsidR="009A3788" w:rsidRDefault="00A5252B">
            <w:pPr>
              <w:pStyle w:val="Compact"/>
              <w:numPr>
                <w:ilvl w:val="0"/>
                <w:numId w:val="23"/>
              </w:numPr>
              <w:jc w:val="left"/>
              <w:rPr>
                <w:lang w:eastAsia="zh-CN"/>
              </w:rPr>
            </w:pPr>
            <w:r>
              <w:rPr>
                <w:lang w:eastAsia="zh-CN"/>
              </w:rPr>
              <w:t>每季度举办若干活动，在金融科技用户与金融科技解决方案提供商之间建立长期联系，以促进应用。</w:t>
            </w:r>
          </w:p>
          <w:p w:rsidR="009A3788" w:rsidRDefault="00A5252B">
            <w:pPr>
              <w:pStyle w:val="Compact"/>
              <w:numPr>
                <w:ilvl w:val="0"/>
                <w:numId w:val="23"/>
              </w:numPr>
              <w:jc w:val="left"/>
              <w:rPr>
                <w:lang w:eastAsia="zh-CN"/>
              </w:rPr>
            </w:pPr>
            <w:r>
              <w:rPr>
                <w:lang w:eastAsia="zh-CN"/>
              </w:rPr>
              <w:t>切合实际，举办有针对性的配对会议，公开沟通双方的需求及期望。</w:t>
            </w:r>
          </w:p>
        </w:tc>
      </w:tr>
      <w:tr w:rsidR="009A3788" w:rsidTr="00A5252B">
        <w:tc>
          <w:tcPr>
            <w:tcW w:w="0" w:type="auto"/>
          </w:tcPr>
          <w:p w:rsidR="009A3788" w:rsidRPr="00A5252B" w:rsidRDefault="00A5252B">
            <w:pPr>
              <w:rPr>
                <w:color w:val="C00000"/>
              </w:rPr>
            </w:pPr>
            <w:r w:rsidRPr="00A5252B">
              <w:rPr>
                <w:rFonts w:ascii="SimSun" w:eastAsia="SimSun" w:hAnsi="SimSun" w:cs="SimSun" w:hint="eastAsia"/>
                <w:b/>
                <w:color w:val="C00000"/>
              </w:rPr>
              <w:t>实践指南</w:t>
            </w:r>
          </w:p>
        </w:tc>
        <w:tc>
          <w:tcPr>
            <w:tcW w:w="0" w:type="auto"/>
          </w:tcPr>
          <w:p w:rsidR="009A3788" w:rsidRDefault="00A5252B">
            <w:r>
              <w:rPr>
                <w:rFonts w:ascii="SimSun" w:eastAsia="SimSun" w:hAnsi="SimSun" w:cs="SimSun" w:hint="eastAsia"/>
                <w:b/>
              </w:rPr>
              <w:t>监管科技应用实践指南</w:t>
            </w:r>
          </w:p>
          <w:p w:rsidR="009A3788" w:rsidRDefault="00A5252B">
            <w:pPr>
              <w:pStyle w:val="Compact"/>
              <w:numPr>
                <w:ilvl w:val="0"/>
                <w:numId w:val="24"/>
              </w:numPr>
              <w:jc w:val="left"/>
              <w:rPr>
                <w:lang w:eastAsia="zh-CN"/>
              </w:rPr>
            </w:pPr>
            <w:r>
              <w:rPr>
                <w:lang w:eastAsia="zh-CN"/>
              </w:rPr>
              <w:t>重点概述监管科技在不同风险及监管领域的应用。</w:t>
            </w:r>
          </w:p>
          <w:p w:rsidR="009A3788" w:rsidRDefault="00A5252B">
            <w:pPr>
              <w:pStyle w:val="Compact"/>
              <w:numPr>
                <w:ilvl w:val="0"/>
                <w:numId w:val="24"/>
              </w:numPr>
              <w:jc w:val="left"/>
              <w:rPr>
                <w:lang w:eastAsia="zh-CN"/>
              </w:rPr>
            </w:pPr>
            <w:r>
              <w:rPr>
                <w:lang w:eastAsia="zh-CN"/>
              </w:rPr>
              <w:t>仅限于监管技术（风险管理和合规）。</w:t>
            </w:r>
          </w:p>
          <w:p w:rsidR="009A3788" w:rsidRDefault="00A5252B">
            <w:pPr>
              <w:pStyle w:val="Compact"/>
              <w:numPr>
                <w:ilvl w:val="0"/>
                <w:numId w:val="24"/>
              </w:numPr>
              <w:jc w:val="left"/>
              <w:rPr>
                <w:lang w:eastAsia="zh-CN"/>
              </w:rPr>
            </w:pPr>
            <w:r>
              <w:rPr>
                <w:lang w:eastAsia="zh-CN"/>
              </w:rPr>
              <w:t>金融科技用户的单方面使用。</w:t>
            </w:r>
          </w:p>
        </w:tc>
        <w:tc>
          <w:tcPr>
            <w:tcW w:w="0" w:type="auto"/>
          </w:tcPr>
          <w:p w:rsidR="009A3788" w:rsidRDefault="00A5252B">
            <w:r>
              <w:rPr>
                <w:rFonts w:ascii="SimSun" w:eastAsia="SimSun" w:hAnsi="SimSun" w:cs="SimSun" w:hint="eastAsia"/>
                <w:b/>
              </w:rPr>
              <w:t>最佳实践指南</w:t>
            </w:r>
          </w:p>
          <w:p w:rsidR="009A3788" w:rsidRDefault="00A5252B">
            <w:pPr>
              <w:pStyle w:val="Compact"/>
              <w:numPr>
                <w:ilvl w:val="0"/>
                <w:numId w:val="25"/>
              </w:numPr>
              <w:jc w:val="left"/>
              <w:rPr>
                <w:lang w:eastAsia="zh-CN"/>
              </w:rPr>
            </w:pPr>
            <w:r>
              <w:rPr>
                <w:lang w:eastAsia="zh-CN"/>
              </w:rPr>
              <w:t>指引解决常见问题，诸如网络安全、文档要求等。</w:t>
            </w:r>
          </w:p>
          <w:p w:rsidR="009A3788" w:rsidRDefault="00A5252B">
            <w:pPr>
              <w:pStyle w:val="Compact"/>
              <w:numPr>
                <w:ilvl w:val="0"/>
                <w:numId w:val="25"/>
              </w:numPr>
              <w:jc w:val="left"/>
              <w:rPr>
                <w:lang w:eastAsia="zh-CN"/>
              </w:rPr>
            </w:pPr>
            <w:r>
              <w:rPr>
                <w:lang w:eastAsia="zh-CN"/>
              </w:rPr>
              <w:t>详细以及量身定制，涵盖合约要求以及流程管理实践。</w:t>
            </w:r>
          </w:p>
          <w:p w:rsidR="009A3788" w:rsidRDefault="00A5252B">
            <w:pPr>
              <w:pStyle w:val="Compact"/>
              <w:numPr>
                <w:ilvl w:val="0"/>
                <w:numId w:val="25"/>
              </w:numPr>
              <w:jc w:val="left"/>
              <w:rPr>
                <w:lang w:eastAsia="zh-CN"/>
              </w:rPr>
            </w:pPr>
            <w:r>
              <w:rPr>
                <w:lang w:eastAsia="zh-CN"/>
              </w:rPr>
              <w:t>面向金融科技用户以及金融科技解决方案提供商的双边指南。</w:t>
            </w:r>
          </w:p>
        </w:tc>
      </w:tr>
      <w:tr w:rsidR="009A3788" w:rsidTr="00A5252B">
        <w:tc>
          <w:tcPr>
            <w:tcW w:w="0" w:type="auto"/>
          </w:tcPr>
          <w:p w:rsidR="009A3788" w:rsidRPr="00A5252B" w:rsidRDefault="00A5252B">
            <w:pPr>
              <w:rPr>
                <w:color w:val="C00000"/>
              </w:rPr>
            </w:pPr>
            <w:r w:rsidRPr="00A5252B">
              <w:rPr>
                <w:rFonts w:ascii="SimSun" w:eastAsia="SimSun" w:hAnsi="SimSun" w:cs="SimSun" w:hint="eastAsia"/>
                <w:b/>
                <w:color w:val="C00000"/>
              </w:rPr>
              <w:t>研究项目</w:t>
            </w:r>
          </w:p>
        </w:tc>
        <w:tc>
          <w:tcPr>
            <w:tcW w:w="0" w:type="auto"/>
          </w:tcPr>
          <w:p w:rsidR="009A3788" w:rsidRDefault="00A5252B">
            <w:r>
              <w:rPr>
                <w:rFonts w:ascii="SimSun" w:eastAsia="SimSun" w:hAnsi="SimSun" w:cs="SimSun" w:hint="eastAsia"/>
                <w:b/>
              </w:rPr>
              <w:t>研究项目</w:t>
            </w:r>
          </w:p>
          <w:p w:rsidR="009A3788" w:rsidRDefault="00A5252B">
            <w:pPr>
              <w:pStyle w:val="Compact"/>
              <w:numPr>
                <w:ilvl w:val="0"/>
                <w:numId w:val="26"/>
              </w:numPr>
              <w:jc w:val="left"/>
              <w:rPr>
                <w:lang w:eastAsia="zh-CN"/>
              </w:rPr>
            </w:pPr>
            <w:r>
              <w:rPr>
                <w:lang w:eastAsia="zh-CN"/>
              </w:rPr>
              <w:t>提高意识，引入核心技术及管治概念。</w:t>
            </w:r>
          </w:p>
          <w:p w:rsidR="009A3788" w:rsidRDefault="00A5252B">
            <w:pPr>
              <w:pStyle w:val="Compact"/>
              <w:numPr>
                <w:ilvl w:val="0"/>
                <w:numId w:val="26"/>
              </w:numPr>
              <w:jc w:val="left"/>
              <w:rPr>
                <w:lang w:eastAsia="zh-CN"/>
              </w:rPr>
            </w:pPr>
            <w:r>
              <w:rPr>
                <w:lang w:eastAsia="zh-CN"/>
              </w:rPr>
              <w:t>教育性质，包括有关</w:t>
            </w:r>
            <w:r>
              <w:rPr>
                <w:lang w:eastAsia="zh-CN"/>
              </w:rPr>
              <w:lastRenderedPageBreak/>
              <w:t>管治、法律影响以及管控原则的指引。</w:t>
            </w:r>
          </w:p>
          <w:p w:rsidR="009A3788" w:rsidRDefault="00A5252B">
            <w:pPr>
              <w:pStyle w:val="Compact"/>
              <w:numPr>
                <w:ilvl w:val="0"/>
                <w:numId w:val="26"/>
              </w:numPr>
              <w:jc w:val="left"/>
              <w:rPr>
                <w:lang w:eastAsia="zh-CN"/>
              </w:rPr>
            </w:pPr>
            <w:r>
              <w:rPr>
                <w:lang w:eastAsia="zh-CN"/>
              </w:rPr>
              <w:t>金融科技用户的单方面使用。</w:t>
            </w:r>
          </w:p>
        </w:tc>
        <w:tc>
          <w:tcPr>
            <w:tcW w:w="0" w:type="auto"/>
          </w:tcPr>
          <w:p w:rsidR="009A3788" w:rsidRDefault="00A5252B">
            <w:r>
              <w:rPr>
                <w:rFonts w:ascii="SimSun" w:eastAsia="SimSun" w:hAnsi="SimSun" w:cs="SimSun" w:hint="eastAsia"/>
                <w:b/>
              </w:rPr>
              <w:lastRenderedPageBreak/>
              <w:t>研究项目</w:t>
            </w:r>
          </w:p>
          <w:p w:rsidR="009A3788" w:rsidRDefault="00A5252B">
            <w:pPr>
              <w:pStyle w:val="Compact"/>
              <w:numPr>
                <w:ilvl w:val="0"/>
                <w:numId w:val="27"/>
              </w:numPr>
              <w:jc w:val="left"/>
              <w:rPr>
                <w:lang w:eastAsia="zh-CN"/>
              </w:rPr>
            </w:pPr>
            <w:r>
              <w:rPr>
                <w:lang w:eastAsia="zh-CN"/>
              </w:rPr>
              <w:t>研究人工智能、分布式账本技术、去中心化金融、开放平台、云、服务个性化、运营自动化等关键新兴技术。</w:t>
            </w:r>
          </w:p>
          <w:p w:rsidR="009A3788" w:rsidRDefault="00A5252B">
            <w:pPr>
              <w:pStyle w:val="Compact"/>
              <w:numPr>
                <w:ilvl w:val="0"/>
                <w:numId w:val="27"/>
              </w:numPr>
              <w:jc w:val="left"/>
              <w:rPr>
                <w:lang w:eastAsia="zh-CN"/>
              </w:rPr>
            </w:pPr>
            <w:r>
              <w:rPr>
                <w:lang w:eastAsia="zh-CN"/>
              </w:rPr>
              <w:t>具有实用性，报告涵盖近期市场趋势、关键技术进步、</w:t>
            </w:r>
            <w:r>
              <w:rPr>
                <w:lang w:eastAsia="zh-CN"/>
              </w:rPr>
              <w:lastRenderedPageBreak/>
              <w:t>值得注意的用例、应用挑战以及实施考虑因素。</w:t>
            </w:r>
          </w:p>
          <w:p w:rsidR="009A3788" w:rsidRDefault="00A5252B">
            <w:pPr>
              <w:pStyle w:val="Compact"/>
              <w:numPr>
                <w:ilvl w:val="0"/>
                <w:numId w:val="27"/>
              </w:numPr>
              <w:jc w:val="left"/>
              <w:rPr>
                <w:lang w:eastAsia="zh-CN"/>
              </w:rPr>
            </w:pPr>
            <w:r>
              <w:rPr>
                <w:lang w:eastAsia="zh-CN"/>
              </w:rPr>
              <w:t>旨在让金融科技用户了解金融科技行业，并做出更为明智的决策。</w:t>
            </w:r>
          </w:p>
          <w:p w:rsidR="009A3788" w:rsidRDefault="00A5252B">
            <w:pPr>
              <w:pStyle w:val="Compact"/>
              <w:numPr>
                <w:ilvl w:val="0"/>
                <w:numId w:val="27"/>
              </w:numPr>
              <w:jc w:val="left"/>
              <w:rPr>
                <w:lang w:eastAsia="zh-CN"/>
              </w:rPr>
            </w:pPr>
            <w:r>
              <w:rPr>
                <w:lang w:eastAsia="zh-CN"/>
              </w:rPr>
              <w:t>准许金融科技解决方案提供商了解激活阶段面临的共同挑战。</w:t>
            </w:r>
          </w:p>
        </w:tc>
      </w:tr>
      <w:tr w:rsidR="009A3788" w:rsidTr="00A5252B">
        <w:tc>
          <w:tcPr>
            <w:tcW w:w="0" w:type="auto"/>
          </w:tcPr>
          <w:p w:rsidR="009A3788" w:rsidRPr="00A5252B" w:rsidRDefault="00A5252B">
            <w:pPr>
              <w:rPr>
                <w:color w:val="C00000"/>
              </w:rPr>
            </w:pPr>
            <w:r w:rsidRPr="00A5252B">
              <w:rPr>
                <w:rFonts w:ascii="SimSun" w:eastAsia="SimSun" w:hAnsi="SimSun" w:cs="SimSun" w:hint="eastAsia"/>
                <w:b/>
                <w:color w:val="C00000"/>
              </w:rPr>
              <w:lastRenderedPageBreak/>
              <w:t>在线研讨会</w:t>
            </w:r>
            <w:r w:rsidRPr="00A5252B">
              <w:rPr>
                <w:b/>
                <w:color w:val="C00000"/>
              </w:rPr>
              <w:t>/</w:t>
            </w:r>
            <w:r w:rsidRPr="00A5252B">
              <w:rPr>
                <w:rFonts w:ascii="SimSun" w:eastAsia="SimSun" w:hAnsi="SimSun" w:cs="SimSun" w:hint="eastAsia"/>
                <w:b/>
                <w:color w:val="C00000"/>
              </w:rPr>
              <w:t>研究班</w:t>
            </w:r>
          </w:p>
        </w:tc>
        <w:tc>
          <w:tcPr>
            <w:tcW w:w="0" w:type="auto"/>
          </w:tcPr>
          <w:p w:rsidR="009A3788" w:rsidRDefault="00A5252B">
            <w:r>
              <w:rPr>
                <w:rFonts w:ascii="SimSun" w:eastAsia="SimSun" w:hAnsi="SimSun" w:cs="SimSun" w:hint="eastAsia"/>
                <w:b/>
              </w:rPr>
              <w:t>在线研讨会</w:t>
            </w:r>
            <w:r>
              <w:rPr>
                <w:b/>
              </w:rPr>
              <w:t>/</w:t>
            </w:r>
            <w:r>
              <w:rPr>
                <w:rFonts w:ascii="SimSun" w:eastAsia="SimSun" w:hAnsi="SimSun" w:cs="SimSun" w:hint="eastAsia"/>
                <w:b/>
              </w:rPr>
              <w:t>研究班</w:t>
            </w:r>
          </w:p>
          <w:p w:rsidR="009A3788" w:rsidRDefault="00A5252B">
            <w:pPr>
              <w:pStyle w:val="Compact"/>
              <w:numPr>
                <w:ilvl w:val="0"/>
                <w:numId w:val="28"/>
              </w:numPr>
              <w:jc w:val="left"/>
              <w:rPr>
                <w:lang w:eastAsia="zh-CN"/>
              </w:rPr>
            </w:pPr>
            <w:r>
              <w:rPr>
                <w:lang w:eastAsia="zh-CN"/>
              </w:rPr>
              <w:t>教育性质，主要包括嘉宾的知识分享。</w:t>
            </w:r>
          </w:p>
          <w:p w:rsidR="009A3788" w:rsidRDefault="00A5252B">
            <w:pPr>
              <w:pStyle w:val="Compact"/>
              <w:numPr>
                <w:ilvl w:val="0"/>
                <w:numId w:val="28"/>
              </w:numPr>
              <w:jc w:val="left"/>
              <w:rPr>
                <w:lang w:eastAsia="zh-CN"/>
              </w:rPr>
            </w:pPr>
            <w:r>
              <w:rPr>
                <w:lang w:eastAsia="zh-CN"/>
              </w:rPr>
              <w:t>仅限于监管技术（风险管理及合规）。</w:t>
            </w:r>
          </w:p>
          <w:p w:rsidR="009A3788" w:rsidRDefault="00A5252B">
            <w:pPr>
              <w:pStyle w:val="Compact"/>
              <w:numPr>
                <w:ilvl w:val="0"/>
                <w:numId w:val="28"/>
              </w:numPr>
              <w:jc w:val="left"/>
              <w:rPr>
                <w:lang w:eastAsia="zh-CN"/>
              </w:rPr>
            </w:pPr>
            <w:r>
              <w:rPr>
                <w:lang w:eastAsia="zh-CN"/>
              </w:rPr>
              <w:t>金融科技用户的单方面使用。</w:t>
            </w:r>
          </w:p>
        </w:tc>
        <w:tc>
          <w:tcPr>
            <w:tcW w:w="0" w:type="auto"/>
          </w:tcPr>
          <w:p w:rsidR="009A3788" w:rsidRDefault="00A5252B">
            <w:r>
              <w:rPr>
                <w:rFonts w:ascii="SimSun" w:eastAsia="SimSun" w:hAnsi="SimSun" w:cs="SimSun" w:hint="eastAsia"/>
                <w:b/>
              </w:rPr>
              <w:t>在线研讨会</w:t>
            </w:r>
            <w:r>
              <w:rPr>
                <w:b/>
              </w:rPr>
              <w:t>/</w:t>
            </w:r>
            <w:r>
              <w:rPr>
                <w:rFonts w:ascii="SimSun" w:eastAsia="SimSun" w:hAnsi="SimSun" w:cs="SimSun" w:hint="eastAsia"/>
                <w:b/>
              </w:rPr>
              <w:t>研究班</w:t>
            </w:r>
          </w:p>
          <w:p w:rsidR="009A3788" w:rsidRDefault="00A5252B">
            <w:pPr>
              <w:pStyle w:val="Compact"/>
              <w:numPr>
                <w:ilvl w:val="0"/>
                <w:numId w:val="29"/>
              </w:numPr>
              <w:jc w:val="left"/>
              <w:rPr>
                <w:lang w:eastAsia="zh-CN"/>
              </w:rPr>
            </w:pPr>
            <w:r>
              <w:rPr>
                <w:lang w:eastAsia="zh-CN"/>
              </w:rPr>
              <w:t>本质上是实践性的，会议涵盖了实际的业务案例、</w:t>
            </w:r>
            <w:r>
              <w:rPr>
                <w:lang w:eastAsia="zh-CN"/>
              </w:rPr>
              <w:t>过程变更、切实的利益以及实现过程。</w:t>
            </w:r>
          </w:p>
          <w:p w:rsidR="009A3788" w:rsidRDefault="00A5252B">
            <w:pPr>
              <w:pStyle w:val="Compact"/>
              <w:numPr>
                <w:ilvl w:val="0"/>
                <w:numId w:val="29"/>
              </w:numPr>
              <w:jc w:val="left"/>
              <w:rPr>
                <w:lang w:eastAsia="zh-CN"/>
              </w:rPr>
            </w:pPr>
            <w:r>
              <w:rPr>
                <w:lang w:eastAsia="zh-CN"/>
              </w:rPr>
              <w:t>全面覆盖五大金融科技重点领域以及端到端流程。</w:t>
            </w:r>
          </w:p>
          <w:p w:rsidR="009A3788" w:rsidRDefault="00A5252B">
            <w:pPr>
              <w:pStyle w:val="Compact"/>
              <w:numPr>
                <w:ilvl w:val="0"/>
                <w:numId w:val="29"/>
              </w:numPr>
              <w:jc w:val="left"/>
              <w:rPr>
                <w:lang w:eastAsia="zh-CN"/>
              </w:rPr>
            </w:pPr>
            <w:r>
              <w:rPr>
                <w:lang w:eastAsia="zh-CN"/>
              </w:rPr>
              <w:t>讨论及交流最新金融科技发展趋势的场所。</w:t>
            </w:r>
          </w:p>
          <w:p w:rsidR="009A3788" w:rsidRDefault="00A5252B">
            <w:pPr>
              <w:pStyle w:val="Compact"/>
              <w:numPr>
                <w:ilvl w:val="0"/>
                <w:numId w:val="29"/>
              </w:numPr>
              <w:jc w:val="left"/>
              <w:rPr>
                <w:lang w:eastAsia="zh-CN"/>
              </w:rPr>
            </w:pPr>
            <w:r>
              <w:rPr>
                <w:lang w:eastAsia="zh-CN"/>
              </w:rPr>
              <w:t>面向金融科技用户及金融科技解决方案提供商的双边平台，旨在推动金融科技融入其日常运营。</w:t>
            </w:r>
          </w:p>
        </w:tc>
      </w:tr>
      <w:tr w:rsidR="009A3788" w:rsidTr="00A5252B">
        <w:tc>
          <w:tcPr>
            <w:tcW w:w="0" w:type="auto"/>
          </w:tcPr>
          <w:p w:rsidR="009A3788" w:rsidRPr="00A5252B" w:rsidRDefault="00A5252B">
            <w:pPr>
              <w:rPr>
                <w:color w:val="C00000"/>
              </w:rPr>
            </w:pPr>
            <w:r w:rsidRPr="00A5252B">
              <w:rPr>
                <w:rFonts w:ascii="SimSun" w:eastAsia="SimSun" w:hAnsi="SimSun" w:cs="SimSun" w:hint="eastAsia"/>
                <w:b/>
                <w:color w:val="C00000"/>
              </w:rPr>
              <w:t>培训项目</w:t>
            </w:r>
          </w:p>
        </w:tc>
        <w:tc>
          <w:tcPr>
            <w:tcW w:w="0" w:type="auto"/>
          </w:tcPr>
          <w:p w:rsidR="009A3788" w:rsidRDefault="00A5252B">
            <w:r>
              <w:rPr>
                <w:rFonts w:ascii="SimSun" w:eastAsia="SimSun" w:hAnsi="SimSun" w:cs="SimSun" w:hint="eastAsia"/>
                <w:b/>
              </w:rPr>
              <w:t>金融科技培训项目</w:t>
            </w:r>
          </w:p>
          <w:p w:rsidR="009A3788" w:rsidRDefault="00A5252B">
            <w:pPr>
              <w:pStyle w:val="Compact"/>
              <w:numPr>
                <w:ilvl w:val="0"/>
                <w:numId w:val="30"/>
              </w:numPr>
              <w:jc w:val="left"/>
              <w:rPr>
                <w:lang w:eastAsia="zh-CN"/>
              </w:rPr>
            </w:pPr>
            <w:r>
              <w:rPr>
                <w:lang w:eastAsia="zh-CN"/>
              </w:rPr>
              <w:t>增进金融从业人员对金融科技的了解。</w:t>
            </w:r>
          </w:p>
          <w:p w:rsidR="009A3788" w:rsidRDefault="00A5252B">
            <w:pPr>
              <w:pStyle w:val="Compact"/>
              <w:numPr>
                <w:ilvl w:val="0"/>
                <w:numId w:val="30"/>
              </w:numPr>
              <w:jc w:val="left"/>
              <w:rPr>
                <w:lang w:eastAsia="zh-CN"/>
              </w:rPr>
            </w:pPr>
            <w:r>
              <w:rPr>
                <w:lang w:eastAsia="zh-CN"/>
              </w:rPr>
              <w:t>教育性质，介绍金融科技。</w:t>
            </w:r>
          </w:p>
        </w:tc>
        <w:tc>
          <w:tcPr>
            <w:tcW w:w="0" w:type="auto"/>
          </w:tcPr>
          <w:p w:rsidR="009A3788" w:rsidRDefault="00A5252B">
            <w:r>
              <w:rPr>
                <w:rFonts w:ascii="SimSun" w:eastAsia="SimSun" w:hAnsi="SimSun" w:cs="SimSun" w:hint="eastAsia"/>
                <w:b/>
              </w:rPr>
              <w:t>培训会议</w:t>
            </w:r>
          </w:p>
          <w:p w:rsidR="009A3788" w:rsidRDefault="00A5252B">
            <w:pPr>
              <w:pStyle w:val="Compact"/>
              <w:numPr>
                <w:ilvl w:val="0"/>
                <w:numId w:val="31"/>
              </w:numPr>
              <w:jc w:val="left"/>
              <w:rPr>
                <w:lang w:eastAsia="zh-CN"/>
              </w:rPr>
            </w:pPr>
            <w:r>
              <w:rPr>
                <w:lang w:eastAsia="zh-CN"/>
              </w:rPr>
              <w:t>有针对性的培训会议，为金融科技用户提供金融科技技能，以更好地利用金融科技解决方案。</w:t>
            </w:r>
          </w:p>
          <w:p w:rsidR="009A3788" w:rsidRDefault="00A5252B">
            <w:pPr>
              <w:pStyle w:val="Compact"/>
              <w:numPr>
                <w:ilvl w:val="0"/>
                <w:numId w:val="31"/>
              </w:numPr>
              <w:jc w:val="left"/>
              <w:rPr>
                <w:lang w:eastAsia="zh-CN"/>
              </w:rPr>
            </w:pPr>
            <w:r>
              <w:rPr>
                <w:lang w:eastAsia="zh-CN"/>
              </w:rPr>
              <w:t>由专家指导的实践会议，提供解决执行障碍的第一手经验以及实际办法。</w:t>
            </w:r>
          </w:p>
          <w:p w:rsidR="009A3788" w:rsidRDefault="00A5252B">
            <w:pPr>
              <w:pStyle w:val="Compact"/>
              <w:numPr>
                <w:ilvl w:val="0"/>
                <w:numId w:val="31"/>
              </w:numPr>
              <w:jc w:val="left"/>
              <w:rPr>
                <w:lang w:eastAsia="zh-CN"/>
              </w:rPr>
            </w:pPr>
            <w:r>
              <w:rPr>
                <w:lang w:eastAsia="zh-CN"/>
              </w:rPr>
              <w:t>新金融科技解决方案的演示会议，如生成式人工智能，以准许金融科技用户体验到该等解决方案的益处。</w:t>
            </w:r>
          </w:p>
        </w:tc>
      </w:tr>
    </w:tbl>
    <w:p w:rsidR="009A3788" w:rsidRPr="00A5252B" w:rsidRDefault="00A5252B">
      <w:pPr>
        <w:pStyle w:val="FirstParagraph"/>
        <w:rPr>
          <w:color w:val="C00000"/>
          <w:lang w:eastAsia="zh-CN"/>
        </w:rPr>
      </w:pPr>
      <w:r w:rsidRPr="00A5252B">
        <w:rPr>
          <w:b/>
          <w:color w:val="C00000"/>
          <w:lang w:eastAsia="zh-CN"/>
        </w:rPr>
        <w:t>金管局结论</w:t>
      </w:r>
    </w:p>
    <w:p w:rsidR="009A3788" w:rsidRDefault="00A5252B">
      <w:pPr>
        <w:pStyle w:val="BodyText"/>
        <w:rPr>
          <w:lang w:eastAsia="zh-CN"/>
        </w:rPr>
      </w:pPr>
      <w:r>
        <w:rPr>
          <w:lang w:eastAsia="zh-CN"/>
        </w:rPr>
        <w:t>金管局指出，目前的一些措施正显示出有前景的成果。虽然由于监管限制以及复杂的用户政策，谈判以及流程管理阶段仍然是主要障碍，但金管局正考虑该项研究中参与者提出的建议，制定更佳的解决方案。金管局、证监会及保监局已承诺会合作推广金融科技应用于各项金融服务，并提升香港在亚太区金融科技领域的竞争力。</w:t>
      </w:r>
    </w:p>
    <w:p w:rsidR="009A3788" w:rsidRDefault="00A5252B">
      <w:pPr>
        <w:pStyle w:val="DisclaimerBold"/>
        <w:rPr>
          <w:lang w:eastAsia="zh-CN"/>
        </w:rPr>
      </w:pPr>
      <w:r>
        <w:rPr>
          <w:lang w:eastAsia="zh-CN"/>
        </w:rPr>
        <w:t>此法讯仅为提供相关资料信息之用，其内容并</w:t>
      </w:r>
    </w:p>
    <w:p w:rsidR="009A3788" w:rsidRDefault="00A5252B">
      <w:pPr>
        <w:pStyle w:val="Disclaimer"/>
        <w:rPr>
          <w:lang w:eastAsia="zh-CN"/>
        </w:rPr>
      </w:pPr>
      <w:r>
        <w:rPr>
          <w:lang w:eastAsia="zh-CN"/>
        </w:rPr>
        <w:t>不构成法律建议及个案的法律分析。</w:t>
      </w:r>
    </w:p>
    <w:p w:rsidR="009A3788" w:rsidRDefault="00A5252B">
      <w:pPr>
        <w:pStyle w:val="Disclaimer"/>
        <w:rPr>
          <w:lang w:eastAsia="zh-CN"/>
        </w:rPr>
      </w:pPr>
      <w:r>
        <w:rPr>
          <w:lang w:eastAsia="zh-CN"/>
        </w:rPr>
        <w:t>此法讯的发送并不是为了在易周律师行与用</w:t>
      </w:r>
      <w:r>
        <w:rPr>
          <w:lang w:eastAsia="zh-CN"/>
        </w:rPr>
        <w:t>户或浏览者之间建立一种律师与客户之关系。</w:t>
      </w:r>
    </w:p>
    <w:p w:rsidR="009A3788" w:rsidRDefault="00A5252B">
      <w:pPr>
        <w:pStyle w:val="Disclaimer"/>
        <w:rPr>
          <w:lang w:eastAsia="zh-CN"/>
        </w:rPr>
      </w:pPr>
      <w:r>
        <w:rPr>
          <w:lang w:eastAsia="zh-CN"/>
        </w:rPr>
        <w:t>易周律师行并不对可从互联网获得的任何第三方内容负责。</w:t>
      </w:r>
    </w:p>
    <w:p w:rsidR="009A3788" w:rsidRDefault="00A5252B">
      <w:pPr>
        <w:pStyle w:val="Disclaimer"/>
        <w:rPr>
          <w:lang w:eastAsia="zh-CN"/>
        </w:rPr>
      </w:pPr>
      <w:r>
        <w:rPr>
          <w:lang w:eastAsia="zh-CN"/>
        </w:rPr>
        <w:t>如你不希望再收到易周法讯，请发送电邮至</w:t>
      </w:r>
      <w:r>
        <w:rPr>
          <w:lang w:eastAsia="zh-CN"/>
        </w:rPr>
        <w:t xml:space="preserve">  </w:t>
      </w:r>
      <w:hyperlink r:id="rId11">
        <w:r>
          <w:rPr>
            <w:lang w:eastAsia="zh-CN"/>
          </w:rPr>
          <w:t>unsubscribe@charltonslaw.com</w:t>
        </w:r>
      </w:hyperlink>
    </w:p>
    <w:p w:rsidR="009A3788" w:rsidRDefault="00A5252B">
      <w:pPr>
        <w:pStyle w:val="BlackStrips"/>
      </w:pPr>
      <w:bookmarkStart w:id="0" w:name="_GoBack"/>
      <w:bookmarkEnd w:id="0"/>
      <w:r>
        <w:t xml:space="preserve">Charltons - </w:t>
      </w:r>
      <w:r>
        <w:t>香港法律</w:t>
      </w:r>
      <w:r>
        <w:t xml:space="preserve"> - 2025</w:t>
      </w:r>
      <w:r>
        <w:t>年</w:t>
      </w:r>
      <w:r>
        <w:t>1</w:t>
      </w:r>
      <w:r>
        <w:t>月</w:t>
      </w:r>
      <w:r>
        <w:t>10</w:t>
      </w:r>
      <w:r>
        <w:t>日</w:t>
      </w:r>
    </w:p>
    <w:sectPr w:rsidR="009A3788">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5252B">
      <w:pPr>
        <w:spacing w:after="0"/>
      </w:pPr>
      <w:r>
        <w:separator/>
      </w:r>
    </w:p>
  </w:endnote>
  <w:endnote w:type="continuationSeparator" w:id="0">
    <w:p w:rsidR="00000000" w:rsidRDefault="00A525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 w:name="Segoe UI">
    <w:altName w:val="苹方-简"/>
    <w:panose1 w:val="020B0502040204020203"/>
    <w:charset w:val="00"/>
    <w:family w:val="swiss"/>
    <w:pitch w:val="variable"/>
    <w:sig w:usb0="E4002EFF" w:usb1="C000E47F" w:usb2="00000009" w:usb3="00000000" w:csb0="000001FF" w:csb1="00000000"/>
  </w:font>
  <w:font w:name="Inter">
    <w:altName w:val="Times New Roman"/>
    <w:charset w:val="00"/>
    <w:family w:val="auto"/>
    <w:pitch w:val="default"/>
  </w:font>
  <w:font w:name="Times New Roman Regular">
    <w:altName w:val="Times New Roman"/>
    <w:charset w:val="00"/>
    <w:family w:val="auto"/>
    <w:pitch w:val="default"/>
    <w:sig w:usb0="00000000" w:usb1="C0007841" w:usb2="00000009" w:usb3="00000000" w:csb0="400001FF" w:csb1="FFFF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788" w:rsidRDefault="00A5252B">
      <w:r>
        <w:separator/>
      </w:r>
    </w:p>
  </w:footnote>
  <w:footnote w:type="continuationSeparator" w:id="0">
    <w:p w:rsidR="009A3788" w:rsidRDefault="00A525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55C28B24"/>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170CD2DE"/>
    <w:multiLevelType w:val="multilevel"/>
    <w:tmpl w:val="D84C697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5C964D3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90D07"/>
    <w:rsid w:val="00011C8B"/>
    <w:rsid w:val="004A40D9"/>
    <w:rsid w:val="004E29B3"/>
    <w:rsid w:val="00512849"/>
    <w:rsid w:val="00590D07"/>
    <w:rsid w:val="00784D58"/>
    <w:rsid w:val="008D6863"/>
    <w:rsid w:val="009A3788"/>
    <w:rsid w:val="00A5252B"/>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F0119"/>
  <w15:docId w15:val="{7646584F-3B6A-4831-A5F6-EAEC1568A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rFonts w:eastAsiaTheme="minorHAnsi"/>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rFonts w:eastAsiaTheme="minorHAnsi"/>
      <w:color w:val="00000A"/>
      <w:sz w:val="24"/>
    </w:rPr>
  </w:style>
  <w:style w:type="paragraph" w:styleId="Date">
    <w:name w:val="Date"/>
    <w:qFormat/>
    <w:pPr>
      <w:keepNext/>
      <w:keepLines/>
      <w:jc w:val="center"/>
    </w:pPr>
    <w:rPr>
      <w:rFonts w:eastAsiaTheme="minorHAnsi"/>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BalloonText">
    <w:name w:val="Balloon Text"/>
    <w:basedOn w:val="Normal"/>
    <w:link w:val="BalloonTextChar"/>
    <w:semiHidden/>
    <w:unhideWhenUsed/>
    <w:rsid w:val="00512849"/>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12849"/>
    <w:rPr>
      <w:rFonts w:ascii="Segoe UI" w:hAnsi="Segoe UI" w:cs="Segoe UI"/>
      <w:color w:val="00000A"/>
      <w:sz w:val="18"/>
      <w:szCs w:val="18"/>
    </w:rPr>
  </w:style>
  <w:style w:type="table" w:styleId="TableGrid">
    <w:name w:val="Table Grid"/>
    <w:basedOn w:val="TableNormal"/>
    <w:uiPriority w:val="39"/>
    <w:rsid w:val="005128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12849"/>
    <w:pPr>
      <w:spacing w:before="100" w:beforeAutospacing="1" w:after="100" w:afterAutospacing="1"/>
    </w:pPr>
    <w:rPr>
      <w:rFonts w:ascii="SimSun" w:eastAsia="SimSun" w:hAnsi="SimSun" w:cs="SimSun"/>
      <w:color w:val="auto"/>
      <w:lang w:eastAsia="zh-CN"/>
    </w:rPr>
  </w:style>
  <w:style w:type="character" w:styleId="Strong">
    <w:name w:val="Strong"/>
    <w:basedOn w:val="DefaultParagraphFont"/>
    <w:uiPriority w:val="22"/>
    <w:qFormat/>
    <w:rsid w:val="00512849"/>
    <w:rPr>
      <w:b/>
      <w:bCs/>
    </w:rPr>
  </w:style>
  <w:style w:type="table" w:styleId="TableGridLight">
    <w:name w:val="Grid Table Light"/>
    <w:basedOn w:val="TableNormal"/>
    <w:rsid w:val="00A5252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arltonslaw.com.cn/xiang-gang-jin-rong-guan-li-ju-gong-bu-liao-2023nian-xiang-gang-jin-rong-ke-ji-tui-yan-ji-hu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nsubscribe@charltonslaw.com?subject=unsubscribe%20-Hong%20Kong%20Law-" TargetMode="External"/><Relationship Id="rId5" Type="http://schemas.openxmlformats.org/officeDocument/2006/relationships/webSettings" Target="webSettings.xml"/><Relationship Id="rId10" Type="http://schemas.openxmlformats.org/officeDocument/2006/relationships/hyperlink" Target="https://www.hkma.gov.hk/media/eng/doc/key-information/guidelines-and-circular/2022/20220623e1a1.pdf" TargetMode="External"/><Relationship Id="rId4" Type="http://schemas.openxmlformats.org/officeDocument/2006/relationships/settings" Target="settings.xml"/><Relationship Id="rId9" Type="http://schemas.openxmlformats.org/officeDocument/2006/relationships/hyperlink" Target="https://www.hkma.gov.hk/media/eng/doc/key-information/guidelines-and-circular/2023/20230825e1a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D9E51-5FA6-403A-8D5D-E08D37C99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8</Pages>
  <Words>1542</Words>
  <Characters>8795</Characters>
  <Application>Microsoft Office Word</Application>
  <DocSecurity>0</DocSecurity>
  <Lines>73</Lines>
  <Paragraphs>20</Paragraphs>
  <ScaleCrop>false</ScaleCrop>
  <Company>Charltons</Company>
  <LinksUpToDate>false</LinksUpToDate>
  <CharactersWithSpaces>10317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Tails Kun Yin Xiang</cp:lastModifiedBy>
  <cp:revision>5</cp:revision>
  <dcterms:created xsi:type="dcterms:W3CDTF">2025-01-10T08:01:00Z</dcterms:created>
  <dcterms:modified xsi:type="dcterms:W3CDTF">2025-01-10T09:03:00Z</dcterms:modified>
</cp:coreProperties>
</file>