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3B9" w:rsidRDefault="00116F44">
      <w:pPr>
        <w:pStyle w:val="BlackStrips"/>
      </w:pPr>
      <w:r>
        <w:t xml:space="preserve">Charltons - </w:t>
      </w:r>
      <w:r>
        <w:t>香港法律</w:t>
      </w:r>
      <w:r>
        <w:t xml:space="preserve"> - 2025</w:t>
      </w:r>
      <w:r>
        <w:t>年</w:t>
      </w:r>
      <w:r>
        <w:t>4</w:t>
      </w:r>
      <w:r>
        <w:t>月</w:t>
      </w:r>
      <w:r>
        <w:t>25</w:t>
      </w:r>
      <w:r>
        <w:t>日</w:t>
      </w:r>
    </w:p>
    <w:p w:rsidR="00B023B9" w:rsidRDefault="00116F44">
      <w:pPr>
        <w:pStyle w:val="ReadOnline"/>
        <w:rPr>
          <w:lang w:eastAsia="zh-CN"/>
        </w:rPr>
      </w:pPr>
      <w:hyperlink r:id="rId7">
        <w:r>
          <w:rPr>
            <w:lang w:eastAsia="zh-CN"/>
          </w:rPr>
          <w:t>online version</w:t>
        </w:r>
      </w:hyperlink>
    </w:p>
    <w:p w:rsidR="00B023B9" w:rsidRDefault="00116F44">
      <w:pPr>
        <w:pStyle w:val="Title"/>
        <w:rPr>
          <w:lang w:eastAsia="zh-CN"/>
        </w:rPr>
      </w:pPr>
      <w:r>
        <w:rPr>
          <w:lang w:eastAsia="zh-CN"/>
        </w:rPr>
        <w:t>发展香港虚拟资产市场：</w:t>
      </w:r>
      <w:r>
        <w:rPr>
          <w:lang w:eastAsia="zh-CN"/>
        </w:rPr>
        <w:t>2024</w:t>
      </w:r>
      <w:r>
        <w:rPr>
          <w:lang w:eastAsia="zh-CN"/>
        </w:rPr>
        <w:t>年香港金融科技周</w:t>
      </w:r>
    </w:p>
    <w:p w:rsidR="00B023B9" w:rsidRDefault="00116F44" w:rsidP="00632489">
      <w:pPr>
        <w:pStyle w:val="FirstParagraph"/>
        <w:rPr>
          <w:lang w:eastAsia="zh-CN"/>
        </w:rPr>
      </w:pPr>
      <w:r>
        <w:rPr>
          <w:lang w:eastAsia="zh-CN"/>
        </w:rPr>
        <w:t>证监会中介机构部执行董事叶志衡博士在</w:t>
      </w:r>
      <w:r>
        <w:rPr>
          <w:lang w:eastAsia="zh-CN"/>
        </w:rPr>
        <w:t>2024</w:t>
      </w:r>
      <w:r>
        <w:rPr>
          <w:lang w:eastAsia="zh-CN"/>
        </w:rPr>
        <w:t>年</w:t>
      </w:r>
      <w:r>
        <w:rPr>
          <w:lang w:eastAsia="zh-CN"/>
        </w:rPr>
        <w:t>10</w:t>
      </w:r>
      <w:r>
        <w:rPr>
          <w:lang w:eastAsia="zh-CN"/>
        </w:rPr>
        <w:t>月</w:t>
      </w:r>
      <w:r w:rsidR="00632489">
        <w:rPr>
          <w:lang w:eastAsia="zh-CN"/>
        </w:rPr>
        <w:t>28</w:t>
      </w:r>
      <w:r w:rsidR="00632489">
        <w:rPr>
          <w:rFonts w:asciiTheme="minorEastAsia" w:eastAsiaTheme="minorEastAsia" w:hAnsiTheme="minorEastAsia" w:hint="eastAsia"/>
          <w:lang w:eastAsia="zh-CN"/>
        </w:rPr>
        <w:t>—</w:t>
      </w:r>
      <w:r>
        <w:rPr>
          <w:lang w:eastAsia="zh-CN"/>
        </w:rPr>
        <w:t>29</w:t>
      </w:r>
      <w:r>
        <w:rPr>
          <w:lang w:eastAsia="zh-CN"/>
        </w:rPr>
        <w:t>日于香港亚洲国际博览馆举办的</w:t>
      </w:r>
      <w:r>
        <w:rPr>
          <w:lang w:eastAsia="zh-CN"/>
        </w:rPr>
        <w:t>2024</w:t>
      </w:r>
      <w:r>
        <w:rPr>
          <w:lang w:eastAsia="zh-CN"/>
        </w:rPr>
        <w:t>年香港金融科技周发表的开场演讲词</w:t>
      </w:r>
      <w:hyperlink r:id="rId8">
        <w:r w:rsidRPr="00632489">
          <w:rPr>
            <w:color w:val="FF0000"/>
            <w:u w:val="single"/>
            <w:lang w:eastAsia="zh-CN"/>
          </w:rPr>
          <w:t>《为香港虚拟资产市场制定监管路线图》</w:t>
        </w:r>
      </w:hyperlink>
      <w:r>
        <w:rPr>
          <w:lang w:eastAsia="zh-CN"/>
        </w:rPr>
        <w:t>中概述了香港</w:t>
      </w:r>
      <w:r>
        <w:rPr>
          <w:lang w:eastAsia="zh-CN"/>
        </w:rPr>
        <w:t>虚拟资产市场现时的状况以及未来方向。叶志衡博士指出香港虚拟资产交易量录得历来最大的按年增长，并强调需要设立健全的监管框架以保护投资者以及市场参与者，同时鼓励创新以及进一步发展香港虚拟资产市场。如叶志衡博士所描述，证监会的主要措施亦属证监会于</w:t>
      </w:r>
      <w:r>
        <w:rPr>
          <w:lang w:eastAsia="zh-CN"/>
        </w:rPr>
        <w:t>2024</w:t>
      </w:r>
      <w:r>
        <w:rPr>
          <w:lang w:eastAsia="zh-CN"/>
        </w:rPr>
        <w:t>年</w:t>
      </w:r>
      <w:r>
        <w:rPr>
          <w:lang w:eastAsia="zh-CN"/>
        </w:rPr>
        <w:t>10</w:t>
      </w:r>
      <w:r>
        <w:rPr>
          <w:lang w:eastAsia="zh-CN"/>
        </w:rPr>
        <w:t>月</w:t>
      </w:r>
      <w:r>
        <w:rPr>
          <w:lang w:eastAsia="zh-CN"/>
        </w:rPr>
        <w:t>28</w:t>
      </w:r>
      <w:r>
        <w:rPr>
          <w:lang w:eastAsia="zh-CN"/>
        </w:rPr>
        <w:t>日刊发的</w:t>
      </w:r>
      <w:hyperlink r:id="rId9">
        <w:r w:rsidRPr="00632489">
          <w:rPr>
            <w:color w:val="FF0000"/>
            <w:u w:val="single"/>
            <w:lang w:eastAsia="zh-CN"/>
          </w:rPr>
          <w:t>证监会为推动香港金</w:t>
        </w:r>
        <w:r w:rsidRPr="00632489">
          <w:rPr>
            <w:color w:val="FF0000"/>
            <w:u w:val="single"/>
            <w:lang w:eastAsia="zh-CN"/>
          </w:rPr>
          <w:t>融科技生态圈蓬勃发展发表愿景</w:t>
        </w:r>
      </w:hyperlink>
      <w:r>
        <w:rPr>
          <w:lang w:eastAsia="zh-CN"/>
        </w:rPr>
        <w:t>的主题。</w:t>
      </w:r>
    </w:p>
    <w:p w:rsidR="00B023B9" w:rsidRPr="00210009" w:rsidRDefault="00116F44">
      <w:pPr>
        <w:pStyle w:val="BodyText"/>
        <w:rPr>
          <w:b/>
          <w:color w:val="C00000"/>
          <w:lang w:eastAsia="zh-CN"/>
        </w:rPr>
      </w:pPr>
      <w:r w:rsidRPr="00210009">
        <w:rPr>
          <w:b/>
          <w:color w:val="C00000"/>
          <w:lang w:eastAsia="zh-CN"/>
        </w:rPr>
        <w:t>香港虚拟资产交易平台目前的发牌制度</w:t>
      </w:r>
    </w:p>
    <w:p w:rsidR="00B023B9" w:rsidRDefault="00116F44">
      <w:pPr>
        <w:pStyle w:val="BodyText"/>
        <w:rPr>
          <w:lang w:eastAsia="zh-CN"/>
        </w:rPr>
      </w:pPr>
      <w:r>
        <w:rPr>
          <w:lang w:eastAsia="zh-CN"/>
        </w:rPr>
        <w:t>现时，香港有三家获证监会发牌的虚拟资产交易平台以及</w:t>
      </w:r>
      <w:r>
        <w:rPr>
          <w:lang w:eastAsia="zh-CN"/>
        </w:rPr>
        <w:t>14</w:t>
      </w:r>
      <w:r>
        <w:rPr>
          <w:lang w:eastAsia="zh-CN"/>
        </w:rPr>
        <w:t>位牌照申请人正接受审批。目前，证监会主要关注的是</w:t>
      </w:r>
      <w:r>
        <w:rPr>
          <w:lang w:eastAsia="zh-CN"/>
        </w:rPr>
        <w:t>11</w:t>
      </w:r>
      <w:r>
        <w:rPr>
          <w:lang w:eastAsia="zh-CN"/>
        </w:rPr>
        <w:t>家所谓</w:t>
      </w:r>
      <w:r>
        <w:rPr>
          <w:lang w:eastAsia="zh-CN"/>
        </w:rPr>
        <w:t>“</w:t>
      </w:r>
      <w:r>
        <w:rPr>
          <w:lang w:eastAsia="zh-CN"/>
        </w:rPr>
        <w:t>被当作获发牌</w:t>
      </w:r>
      <w:r>
        <w:rPr>
          <w:lang w:eastAsia="zh-CN"/>
        </w:rPr>
        <w:t>”</w:t>
      </w:r>
      <w:r>
        <w:rPr>
          <w:lang w:eastAsia="zh-CN"/>
        </w:rPr>
        <w:t>的申请人。该等虚拟资产交易平台牌照申请人均于</w:t>
      </w:r>
      <w:r>
        <w:rPr>
          <w:lang w:eastAsia="zh-CN"/>
        </w:rPr>
        <w:t>2023</w:t>
      </w:r>
      <w:r>
        <w:rPr>
          <w:lang w:eastAsia="zh-CN"/>
        </w:rPr>
        <w:t>年</w:t>
      </w:r>
      <w:r>
        <w:rPr>
          <w:lang w:eastAsia="zh-CN"/>
        </w:rPr>
        <w:t>6</w:t>
      </w:r>
      <w:r>
        <w:rPr>
          <w:lang w:eastAsia="zh-CN"/>
        </w:rPr>
        <w:t>月虚拟资产交易平台牌照制度实施前在香港运营，其在牌照申请获批准、拒绝或撤回之前，根据该制度的过渡性条文，被当作获发牌。</w:t>
      </w:r>
    </w:p>
    <w:p w:rsidR="00B023B9" w:rsidRDefault="00116F44">
      <w:pPr>
        <w:pStyle w:val="BodyText"/>
        <w:rPr>
          <w:lang w:eastAsia="zh-CN"/>
        </w:rPr>
      </w:pPr>
      <w:r>
        <w:rPr>
          <w:lang w:eastAsia="zh-CN"/>
        </w:rPr>
        <w:t>正如叶博士所强调的，证监会已经变更了其对该等</w:t>
      </w:r>
      <w:r>
        <w:rPr>
          <w:lang w:eastAsia="zh-CN"/>
        </w:rPr>
        <w:t>“</w:t>
      </w:r>
      <w:r>
        <w:rPr>
          <w:lang w:eastAsia="zh-CN"/>
        </w:rPr>
        <w:t>被当作获发牌</w:t>
      </w:r>
      <w:r>
        <w:rPr>
          <w:lang w:eastAsia="zh-CN"/>
        </w:rPr>
        <w:t>”</w:t>
      </w:r>
      <w:r>
        <w:rPr>
          <w:lang w:eastAsia="zh-CN"/>
        </w:rPr>
        <w:t>申请人的审批方法，以基于风险的现场视察取代了基于文件的审批程序，重点关注客</w:t>
      </w:r>
      <w:r>
        <w:rPr>
          <w:lang w:eastAsia="zh-CN"/>
        </w:rPr>
        <w:t>户虚拟资产的安全保管、网络安全以及申请人的反洗钱（</w:t>
      </w:r>
      <w:r>
        <w:rPr>
          <w:lang w:eastAsia="zh-CN"/>
        </w:rPr>
        <w:t>AML</w:t>
      </w:r>
      <w:r>
        <w:rPr>
          <w:lang w:eastAsia="zh-CN"/>
        </w:rPr>
        <w:t>）和了解您的客户（</w:t>
      </w:r>
      <w:r>
        <w:rPr>
          <w:lang w:eastAsia="zh-CN"/>
        </w:rPr>
        <w:t>KYC</w:t>
      </w:r>
      <w:r>
        <w:rPr>
          <w:lang w:eastAsia="zh-CN"/>
        </w:rPr>
        <w:t>）程序等特定领域。香港证监会现已对所有</w:t>
      </w:r>
      <w:r>
        <w:rPr>
          <w:lang w:eastAsia="zh-CN"/>
        </w:rPr>
        <w:t>11</w:t>
      </w:r>
      <w:r>
        <w:rPr>
          <w:lang w:eastAsia="zh-CN"/>
        </w:rPr>
        <w:t>家</w:t>
      </w:r>
      <w:r>
        <w:rPr>
          <w:lang w:eastAsia="zh-CN"/>
        </w:rPr>
        <w:t>“</w:t>
      </w:r>
      <w:r>
        <w:rPr>
          <w:lang w:eastAsia="zh-CN"/>
        </w:rPr>
        <w:t>被当作获发牌</w:t>
      </w:r>
      <w:r>
        <w:rPr>
          <w:lang w:eastAsia="zh-CN"/>
        </w:rPr>
        <w:t>”</w:t>
      </w:r>
      <w:r>
        <w:rPr>
          <w:lang w:eastAsia="zh-CN"/>
        </w:rPr>
        <w:t>的申请人进行了现场视察，并向其提供了反馈。</w:t>
      </w:r>
    </w:p>
    <w:p w:rsidR="00B023B9" w:rsidRDefault="00116F44">
      <w:pPr>
        <w:pStyle w:val="BodyText"/>
        <w:rPr>
          <w:lang w:eastAsia="zh-CN"/>
        </w:rPr>
      </w:pPr>
      <w:r>
        <w:rPr>
          <w:lang w:eastAsia="zh-CN"/>
        </w:rPr>
        <w:t>关于新申请人，证监会将采取的审批程序有三个元素：</w:t>
      </w:r>
    </w:p>
    <w:p w:rsidR="00B023B9" w:rsidRDefault="00116F44">
      <w:pPr>
        <w:pStyle w:val="Compact"/>
        <w:numPr>
          <w:ilvl w:val="0"/>
          <w:numId w:val="3"/>
        </w:numPr>
        <w:rPr>
          <w:lang w:eastAsia="zh-CN"/>
        </w:rPr>
      </w:pPr>
      <w:r>
        <w:rPr>
          <w:lang w:eastAsia="zh-CN"/>
        </w:rPr>
        <w:t>虚拟资产交易平台牌照申请者同意改善证监会在现场视察后发出的反馈中提出的若干问题；</w:t>
      </w:r>
    </w:p>
    <w:p w:rsidR="00B023B9" w:rsidRDefault="00116F44">
      <w:pPr>
        <w:pStyle w:val="Compact"/>
        <w:numPr>
          <w:ilvl w:val="0"/>
          <w:numId w:val="3"/>
        </w:numPr>
        <w:rPr>
          <w:lang w:eastAsia="zh-CN"/>
        </w:rPr>
      </w:pPr>
      <w:r>
        <w:rPr>
          <w:lang w:eastAsia="zh-CN"/>
        </w:rPr>
        <w:t>证监会发出牌照允许该申请者于改善识别的问题后在有限范围内经营业务；以及</w:t>
      </w:r>
    </w:p>
    <w:p w:rsidR="00B023B9" w:rsidRDefault="00116F44">
      <w:pPr>
        <w:pStyle w:val="Compact"/>
        <w:numPr>
          <w:ilvl w:val="0"/>
          <w:numId w:val="3"/>
        </w:numPr>
        <w:rPr>
          <w:lang w:eastAsia="zh-CN"/>
        </w:rPr>
      </w:pPr>
      <w:r>
        <w:rPr>
          <w:lang w:eastAsia="zh-CN"/>
        </w:rPr>
        <w:t>第三方完成评审，然后有关平台的业务限制将得以放开。</w:t>
      </w:r>
    </w:p>
    <w:p w:rsidR="00B023B9" w:rsidRPr="00210009" w:rsidRDefault="00116F44">
      <w:pPr>
        <w:pStyle w:val="FirstParagraph"/>
        <w:rPr>
          <w:b/>
          <w:color w:val="C00000"/>
          <w:lang w:eastAsia="zh-CN"/>
        </w:rPr>
      </w:pPr>
      <w:r w:rsidRPr="00210009">
        <w:rPr>
          <w:b/>
          <w:color w:val="C00000"/>
          <w:lang w:eastAsia="zh-CN"/>
        </w:rPr>
        <w:t>为持牌虚拟资产交易平台成立咨询小组</w:t>
      </w:r>
    </w:p>
    <w:p w:rsidR="00B023B9" w:rsidRDefault="00116F44">
      <w:pPr>
        <w:pStyle w:val="BodyText"/>
        <w:rPr>
          <w:lang w:eastAsia="zh-CN"/>
        </w:rPr>
      </w:pPr>
      <w:r>
        <w:rPr>
          <w:lang w:eastAsia="zh-CN"/>
        </w:rPr>
        <w:t>叶博士亦在演讲辞中指出，证监会计划于</w:t>
      </w:r>
      <w:r>
        <w:rPr>
          <w:lang w:eastAsia="zh-CN"/>
        </w:rPr>
        <w:t>2025</w:t>
      </w:r>
      <w:r>
        <w:rPr>
          <w:lang w:eastAsia="zh-CN"/>
        </w:rPr>
        <w:t>年初为持牌的虚拟资产交易平台成立一个正式的咨询小组。该咨询小组成员均来自所有获证监会发牌的虚拟资产交易平台的高层人员，其观点将在证监会制定政策时被予以考虑。该谘询小组将协助证监会发布一份虚拟资产白皮书，以概述虚拟资产产品和服务的发展蓝图，以及在合规和风险管理方面的潜在改进措施。</w:t>
      </w:r>
    </w:p>
    <w:p w:rsidR="00B023B9" w:rsidRPr="00210009" w:rsidRDefault="00116F44">
      <w:pPr>
        <w:pStyle w:val="BodyText"/>
        <w:rPr>
          <w:b/>
          <w:color w:val="C00000"/>
          <w:lang w:eastAsia="zh-CN"/>
        </w:rPr>
      </w:pPr>
      <w:r w:rsidRPr="00210009">
        <w:rPr>
          <w:b/>
          <w:color w:val="C00000"/>
          <w:lang w:eastAsia="zh-CN"/>
        </w:rPr>
        <w:t>香港的虚拟资产市场发展状况</w:t>
      </w:r>
    </w:p>
    <w:p w:rsidR="00B023B9" w:rsidRDefault="00116F44">
      <w:pPr>
        <w:pStyle w:val="BodyText"/>
        <w:rPr>
          <w:lang w:eastAsia="zh-CN"/>
        </w:rPr>
      </w:pPr>
      <w:r>
        <w:rPr>
          <w:lang w:eastAsia="zh-CN"/>
        </w:rPr>
        <w:t>叶博士指出香港虚拟资产市场快速发展背后的三个主要推动因素，即：</w:t>
      </w:r>
    </w:p>
    <w:p w:rsidR="00B023B9" w:rsidRDefault="00116F44">
      <w:pPr>
        <w:pStyle w:val="Compact"/>
        <w:numPr>
          <w:ilvl w:val="0"/>
          <w:numId w:val="4"/>
        </w:numPr>
        <w:rPr>
          <w:lang w:eastAsia="zh-CN"/>
        </w:rPr>
      </w:pPr>
      <w:r>
        <w:rPr>
          <w:b/>
          <w:lang w:eastAsia="zh-CN"/>
        </w:rPr>
        <w:t>济济人才</w:t>
      </w:r>
      <w:r>
        <w:rPr>
          <w:lang w:eastAsia="zh-CN"/>
        </w:rPr>
        <w:t>：大量的人才及丰富的专业知识推动虚拟资产市场的发展。</w:t>
      </w:r>
    </w:p>
    <w:p w:rsidR="00B023B9" w:rsidRDefault="00116F44">
      <w:pPr>
        <w:pStyle w:val="Compact"/>
        <w:numPr>
          <w:ilvl w:val="0"/>
          <w:numId w:val="4"/>
        </w:numPr>
        <w:rPr>
          <w:lang w:eastAsia="zh-CN"/>
        </w:rPr>
      </w:pPr>
      <w:r>
        <w:rPr>
          <w:b/>
          <w:lang w:eastAsia="zh-CN"/>
        </w:rPr>
        <w:t>经济潜能</w:t>
      </w:r>
      <w:r>
        <w:rPr>
          <w:lang w:eastAsia="zh-CN"/>
        </w:rPr>
        <w:t>：行业高涨的经济潜能。</w:t>
      </w:r>
    </w:p>
    <w:p w:rsidR="00B023B9" w:rsidRDefault="00116F44">
      <w:pPr>
        <w:pStyle w:val="Compact"/>
        <w:numPr>
          <w:ilvl w:val="0"/>
          <w:numId w:val="4"/>
        </w:numPr>
        <w:rPr>
          <w:lang w:eastAsia="zh-CN"/>
        </w:rPr>
      </w:pPr>
      <w:r>
        <w:rPr>
          <w:b/>
          <w:lang w:eastAsia="zh-CN"/>
        </w:rPr>
        <w:t>年轻族群的支持</w:t>
      </w:r>
      <w:r>
        <w:rPr>
          <w:lang w:eastAsia="zh-CN"/>
        </w:rPr>
        <w:t>：研究显示，涉及加密货币</w:t>
      </w:r>
      <w:r>
        <w:rPr>
          <w:lang w:eastAsia="zh-CN"/>
        </w:rPr>
        <w:t>资产交易的市场参与者普遍比传统股票交易的市场参与者年轻，突显投资者人口结构的转变。</w:t>
      </w:r>
    </w:p>
    <w:p w:rsidR="00B023B9" w:rsidRDefault="00116F44">
      <w:pPr>
        <w:pStyle w:val="FirstParagraph"/>
        <w:rPr>
          <w:lang w:eastAsia="zh-CN"/>
        </w:rPr>
      </w:pPr>
      <w:r>
        <w:rPr>
          <w:lang w:eastAsia="zh-CN"/>
        </w:rPr>
        <w:t>证监会亦注意到支持其监管虚拟资产相关活动的两个新兴趋势：（</w:t>
      </w:r>
      <w:r>
        <w:rPr>
          <w:lang w:eastAsia="zh-CN"/>
        </w:rPr>
        <w:t>i</w:t>
      </w:r>
      <w:r>
        <w:rPr>
          <w:lang w:eastAsia="zh-CN"/>
        </w:rPr>
        <w:t>）虚拟资产从业员正面临全球执法机构和监管机构愈来愈多的审查，促使许多市场参与者重新评估其之前不受监管的业务运营；（</w:t>
      </w:r>
      <w:r>
        <w:rPr>
          <w:lang w:eastAsia="zh-CN"/>
        </w:rPr>
        <w:t>ii</w:t>
      </w:r>
      <w:r>
        <w:rPr>
          <w:lang w:eastAsia="zh-CN"/>
        </w:rPr>
        <w:t>）传统金融（</w:t>
      </w:r>
      <w:r>
        <w:rPr>
          <w:lang w:eastAsia="zh-CN"/>
        </w:rPr>
        <w:t>Tradfi</w:t>
      </w:r>
      <w:r>
        <w:rPr>
          <w:lang w:eastAsia="zh-CN"/>
        </w:rPr>
        <w:t>）在虚拟资产市场参与的度不断上升，已引入了不少宝贵的合规概念，例如打击洗钱及利益冲突、客户合适性评估以及确保资产托管安全的措施。</w:t>
      </w:r>
    </w:p>
    <w:p w:rsidR="00B023B9" w:rsidRPr="00116F44" w:rsidRDefault="00116F44">
      <w:pPr>
        <w:pStyle w:val="BodyText"/>
        <w:rPr>
          <w:b/>
          <w:color w:val="C00000"/>
          <w:lang w:eastAsia="zh-CN"/>
        </w:rPr>
      </w:pPr>
      <w:r w:rsidRPr="00116F44">
        <w:rPr>
          <w:b/>
          <w:color w:val="C00000"/>
          <w:lang w:eastAsia="zh-CN"/>
        </w:rPr>
        <w:lastRenderedPageBreak/>
        <w:t>在香港建立健全的虚拟资产监管制度</w:t>
      </w:r>
    </w:p>
    <w:p w:rsidR="00B023B9" w:rsidRDefault="00116F44">
      <w:pPr>
        <w:pStyle w:val="BodyText"/>
        <w:rPr>
          <w:lang w:eastAsia="zh-CN"/>
        </w:rPr>
      </w:pPr>
      <w:r>
        <w:rPr>
          <w:lang w:eastAsia="zh-CN"/>
        </w:rPr>
        <w:t>正如叶志衡博士所指出的，香港证监会正与香港政府及其他监管机构合</w:t>
      </w:r>
      <w:r>
        <w:rPr>
          <w:lang w:eastAsia="zh-CN"/>
        </w:rPr>
        <w:t>作，为虚拟资产交易服务及虚拟资产托管服务制定进一步的监管规定，并将在适当时候就这些活动的新牌照制度进行公众咨询。为此，香港证监会一直与香港的虚拟资产界合作，以了解他们的商业模式和运营程序，确保高效且符合打击洗钱规定的入金和出金运作流程。</w:t>
      </w:r>
    </w:p>
    <w:p w:rsidR="00B023B9" w:rsidRDefault="00116F44">
      <w:pPr>
        <w:pStyle w:val="BodyText"/>
        <w:rPr>
          <w:lang w:eastAsia="zh-CN"/>
        </w:rPr>
      </w:pPr>
      <w:r>
        <w:rPr>
          <w:lang w:eastAsia="zh-CN"/>
        </w:rPr>
        <w:t>更广泛地说，香港证监会和香港政府正寻求为香港的虚拟资产建立一个全面的监管框架，以确保香港作为国际加密货币中心的地位。香港行政长官李家超在</w:t>
      </w:r>
      <w:r>
        <w:rPr>
          <w:lang w:eastAsia="zh-CN"/>
        </w:rPr>
        <w:t>2024</w:t>
      </w:r>
      <w:r>
        <w:rPr>
          <w:lang w:eastAsia="zh-CN"/>
        </w:rPr>
        <w:t>年</w:t>
      </w:r>
      <w:r>
        <w:rPr>
          <w:lang w:eastAsia="zh-CN"/>
        </w:rPr>
        <w:t>10</w:t>
      </w:r>
      <w:r>
        <w:rPr>
          <w:lang w:eastAsia="zh-CN"/>
        </w:rPr>
        <w:t>月</w:t>
      </w:r>
      <w:r>
        <w:rPr>
          <w:lang w:eastAsia="zh-CN"/>
        </w:rPr>
        <w:t>16</w:t>
      </w:r>
      <w:r>
        <w:rPr>
          <w:lang w:eastAsia="zh-CN"/>
        </w:rPr>
        <w:t>日发表的《</w:t>
      </w:r>
      <w:r>
        <w:rPr>
          <w:lang w:eastAsia="zh-CN"/>
        </w:rPr>
        <w:t>2024</w:t>
      </w:r>
      <w:r>
        <w:rPr>
          <w:lang w:eastAsia="zh-CN"/>
        </w:rPr>
        <w:t>年施政报告》中宣布了一系列与虚拟资产相关的举措，包括推动现实世界资产代币化以及发展数字货币生态系统和</w:t>
      </w:r>
      <w:r>
        <w:rPr>
          <w:lang w:eastAsia="zh-CN"/>
        </w:rPr>
        <w:t>数字证券市场。有关行政长官《</w:t>
      </w:r>
      <w:r>
        <w:rPr>
          <w:lang w:eastAsia="zh-CN"/>
        </w:rPr>
        <w:t>2024</w:t>
      </w:r>
      <w:r>
        <w:rPr>
          <w:lang w:eastAsia="zh-CN"/>
        </w:rPr>
        <w:t>年施政报告》的更多详情，请参阅我们</w:t>
      </w:r>
      <w:hyperlink r:id="rId10">
        <w:r w:rsidRPr="00116F44">
          <w:rPr>
            <w:color w:val="C00000"/>
            <w:u w:val="single"/>
            <w:lang w:eastAsia="zh-CN"/>
          </w:rPr>
          <w:t>20</w:t>
        </w:r>
        <w:r w:rsidRPr="00116F44">
          <w:rPr>
            <w:color w:val="C00000"/>
            <w:u w:val="single"/>
            <w:lang w:eastAsia="zh-CN"/>
          </w:rPr>
          <w:t>2</w:t>
        </w:r>
        <w:r w:rsidRPr="00116F44">
          <w:rPr>
            <w:color w:val="C00000"/>
            <w:u w:val="single"/>
            <w:lang w:eastAsia="zh-CN"/>
          </w:rPr>
          <w:t>4</w:t>
        </w:r>
        <w:r w:rsidRPr="00116F44">
          <w:rPr>
            <w:color w:val="C00000"/>
            <w:u w:val="single"/>
            <w:lang w:eastAsia="zh-CN"/>
          </w:rPr>
          <w:t>年</w:t>
        </w:r>
        <w:r w:rsidRPr="00116F44">
          <w:rPr>
            <w:color w:val="C00000"/>
            <w:u w:val="single"/>
            <w:lang w:eastAsia="zh-CN"/>
          </w:rPr>
          <w:t>10</w:t>
        </w:r>
        <w:r w:rsidRPr="00116F44">
          <w:rPr>
            <w:color w:val="C00000"/>
            <w:u w:val="single"/>
            <w:lang w:eastAsia="zh-CN"/>
          </w:rPr>
          <w:t>月的时事通讯</w:t>
        </w:r>
      </w:hyperlink>
      <w:r>
        <w:rPr>
          <w:lang w:eastAsia="zh-CN"/>
        </w:rPr>
        <w:t>。</w:t>
      </w:r>
    </w:p>
    <w:p w:rsidR="00B023B9" w:rsidRDefault="00116F44">
      <w:pPr>
        <w:pStyle w:val="BodyText"/>
        <w:rPr>
          <w:lang w:eastAsia="zh-CN"/>
        </w:rPr>
      </w:pPr>
      <w:r>
        <w:rPr>
          <w:lang w:eastAsia="zh-CN"/>
        </w:rPr>
        <w:t>代币化和</w:t>
      </w:r>
      <w:r>
        <w:rPr>
          <w:lang w:eastAsia="zh-CN"/>
        </w:rPr>
        <w:t>Ensemble</w:t>
      </w:r>
      <w:r>
        <w:rPr>
          <w:lang w:eastAsia="zh-CN"/>
        </w:rPr>
        <w:t>项目及稳定币</w:t>
      </w:r>
    </w:p>
    <w:p w:rsidR="00B023B9" w:rsidRDefault="00116F44">
      <w:pPr>
        <w:pStyle w:val="BodyText"/>
        <w:rPr>
          <w:lang w:eastAsia="zh-CN"/>
        </w:rPr>
      </w:pPr>
      <w:r>
        <w:rPr>
          <w:lang w:eastAsia="zh-CN"/>
        </w:rPr>
        <w:t>香港在实施代币化相关举措方面正取得进展。香港证监会于</w:t>
      </w:r>
      <w:r>
        <w:rPr>
          <w:lang w:eastAsia="zh-CN"/>
        </w:rPr>
        <w:t>2023</w:t>
      </w:r>
      <w:r>
        <w:rPr>
          <w:lang w:eastAsia="zh-CN"/>
        </w:rPr>
        <w:t>年</w:t>
      </w:r>
      <w:r>
        <w:rPr>
          <w:lang w:eastAsia="zh-CN"/>
        </w:rPr>
        <w:t>11</w:t>
      </w:r>
      <w:r>
        <w:rPr>
          <w:lang w:eastAsia="zh-CN"/>
        </w:rPr>
        <w:t>月发布了两份通函</w:t>
      </w:r>
      <w:r>
        <w:rPr>
          <w:lang w:eastAsia="zh-CN"/>
        </w:rPr>
        <w:t>——</w:t>
      </w:r>
      <w:hyperlink r:id="rId11">
        <w:r w:rsidRPr="00116F44">
          <w:rPr>
            <w:color w:val="C00000"/>
            <w:u w:val="single"/>
            <w:lang w:eastAsia="zh-CN"/>
          </w:rPr>
          <w:t>有关代币化证监会认可投资产品的通函</w:t>
        </w:r>
      </w:hyperlink>
      <w:r>
        <w:rPr>
          <w:lang w:eastAsia="zh-CN"/>
        </w:rPr>
        <w:t>及</w:t>
      </w:r>
      <w:hyperlink r:id="rId12">
        <w:r w:rsidRPr="00116F44">
          <w:rPr>
            <w:color w:val="C00000"/>
            <w:u w:val="single"/>
            <w:lang w:eastAsia="zh-CN"/>
          </w:rPr>
          <w:t>有关从事代币化证券相关活动的中介人的通函</w:t>
        </w:r>
      </w:hyperlink>
      <w:r>
        <w:rPr>
          <w:lang w:eastAsia="zh-CN"/>
        </w:rPr>
        <w:t>，并且正与香港金融管理局（</w:t>
      </w:r>
      <w:r>
        <w:rPr>
          <w:b/>
          <w:lang w:eastAsia="zh-CN"/>
        </w:rPr>
        <w:t>金管局</w:t>
      </w:r>
      <w:r>
        <w:rPr>
          <w:lang w:eastAsia="zh-CN"/>
        </w:rPr>
        <w:t>）通过</w:t>
      </w:r>
      <w:r>
        <w:rPr>
          <w:lang w:eastAsia="zh-CN"/>
        </w:rPr>
        <w:t xml:space="preserve"> E</w:t>
      </w:r>
      <w:r>
        <w:rPr>
          <w:lang w:eastAsia="zh-CN"/>
        </w:rPr>
        <w:t>nsemble</w:t>
      </w:r>
      <w:r>
        <w:rPr>
          <w:lang w:eastAsia="zh-CN"/>
        </w:rPr>
        <w:t>项目共同带领推行资产管理行业的代币化措施。</w:t>
      </w:r>
      <w:r>
        <w:rPr>
          <w:lang w:eastAsia="zh-CN"/>
        </w:rPr>
        <w:t>2024</w:t>
      </w:r>
      <w:r>
        <w:rPr>
          <w:lang w:eastAsia="zh-CN"/>
        </w:rPr>
        <w:t>年</w:t>
      </w:r>
      <w:r>
        <w:rPr>
          <w:lang w:eastAsia="zh-CN"/>
        </w:rPr>
        <w:t>8</w:t>
      </w:r>
      <w:r>
        <w:rPr>
          <w:lang w:eastAsia="zh-CN"/>
        </w:rPr>
        <w:t>月，金管局推出了</w:t>
      </w:r>
      <w:r>
        <w:rPr>
          <w:lang w:eastAsia="zh-CN"/>
        </w:rPr>
        <w:t>“Ensemble</w:t>
      </w:r>
      <w:r>
        <w:rPr>
          <w:lang w:eastAsia="zh-CN"/>
        </w:rPr>
        <w:t>项目</w:t>
      </w:r>
      <w:r>
        <w:rPr>
          <w:lang w:eastAsia="zh-CN"/>
        </w:rPr>
        <w:t>”</w:t>
      </w:r>
      <w:r>
        <w:rPr>
          <w:lang w:eastAsia="zh-CN"/>
        </w:rPr>
        <w:t>沙盒，允许参与的金融机构试用使用代币化货币进行代币化资产交易的银行间结算。</w:t>
      </w:r>
    </w:p>
    <w:p w:rsidR="00B023B9" w:rsidRDefault="00116F44">
      <w:pPr>
        <w:pStyle w:val="BodyText"/>
        <w:rPr>
          <w:lang w:eastAsia="zh-CN"/>
        </w:rPr>
      </w:pPr>
      <w:r>
        <w:rPr>
          <w:lang w:eastAsia="zh-CN"/>
        </w:rPr>
        <w:t>此外，香港正计划对香港的法货币稳定币发行者实施新的监管制度。根据财经事务及库务局（财库局）和金管局于</w:t>
      </w:r>
      <w:r>
        <w:rPr>
          <w:lang w:eastAsia="zh-CN"/>
        </w:rPr>
        <w:t>2024</w:t>
      </w:r>
      <w:r>
        <w:rPr>
          <w:lang w:eastAsia="zh-CN"/>
        </w:rPr>
        <w:t>年</w:t>
      </w:r>
      <w:r>
        <w:rPr>
          <w:lang w:eastAsia="zh-CN"/>
        </w:rPr>
        <w:t>7</w:t>
      </w:r>
      <w:r>
        <w:rPr>
          <w:lang w:eastAsia="zh-CN"/>
        </w:rPr>
        <w:t>月</w:t>
      </w:r>
      <w:r>
        <w:rPr>
          <w:lang w:eastAsia="zh-CN"/>
        </w:rPr>
        <w:t>17</w:t>
      </w:r>
      <w:r>
        <w:rPr>
          <w:lang w:eastAsia="zh-CN"/>
        </w:rPr>
        <w:t>日联合发布的</w:t>
      </w:r>
      <w:hyperlink r:id="rId13">
        <w:r>
          <w:rPr>
            <w:lang w:eastAsia="zh-CN"/>
          </w:rPr>
          <w:t>谘询总结</w:t>
        </w:r>
      </w:hyperlink>
      <w:r>
        <w:rPr>
          <w:lang w:eastAsia="zh-CN"/>
        </w:rPr>
        <w:t>，香港将引入一项独立的香港法例，为香港的法币稳定币发行者实施香港监管制度，且实施该制度的法案将于今年提交立法会。有关拟议监管法币稳定币发行人的更多详情，请参阅我们</w:t>
      </w:r>
      <w:hyperlink r:id="rId14">
        <w:r w:rsidRPr="00116F44">
          <w:rPr>
            <w:color w:val="C00000"/>
            <w:u w:val="single"/>
            <w:lang w:eastAsia="zh-CN"/>
          </w:rPr>
          <w:t>2024</w:t>
        </w:r>
        <w:r w:rsidRPr="00116F44">
          <w:rPr>
            <w:color w:val="C00000"/>
            <w:u w:val="single"/>
            <w:lang w:eastAsia="zh-CN"/>
          </w:rPr>
          <w:t>年</w:t>
        </w:r>
        <w:r w:rsidRPr="00116F44">
          <w:rPr>
            <w:color w:val="C00000"/>
            <w:u w:val="single"/>
            <w:lang w:eastAsia="zh-CN"/>
          </w:rPr>
          <w:t>10</w:t>
        </w:r>
        <w:r w:rsidRPr="00116F44">
          <w:rPr>
            <w:color w:val="C00000"/>
            <w:u w:val="single"/>
            <w:lang w:eastAsia="zh-CN"/>
          </w:rPr>
          <w:t>月的时事通讯</w:t>
        </w:r>
      </w:hyperlink>
      <w:r>
        <w:rPr>
          <w:lang w:eastAsia="zh-CN"/>
        </w:rPr>
        <w:t>。</w:t>
      </w:r>
    </w:p>
    <w:p w:rsidR="00B023B9" w:rsidRPr="00116F44" w:rsidRDefault="00116F44">
      <w:pPr>
        <w:pStyle w:val="BodyText"/>
        <w:rPr>
          <w:b/>
          <w:color w:val="C00000"/>
          <w:lang w:eastAsia="zh-CN"/>
        </w:rPr>
      </w:pPr>
      <w:r w:rsidRPr="00116F44">
        <w:rPr>
          <w:b/>
          <w:color w:val="C00000"/>
          <w:lang w:eastAsia="zh-CN"/>
        </w:rPr>
        <w:t>对投资者保障的承诺</w:t>
      </w:r>
    </w:p>
    <w:p w:rsidR="00B023B9" w:rsidRDefault="00116F44">
      <w:pPr>
        <w:pStyle w:val="BodyText"/>
        <w:rPr>
          <w:lang w:eastAsia="zh-CN"/>
        </w:rPr>
      </w:pPr>
      <w:r>
        <w:rPr>
          <w:lang w:eastAsia="zh-CN"/>
        </w:rPr>
        <w:t>香港证监会认为</w:t>
      </w:r>
      <w:r>
        <w:rPr>
          <w:lang w:eastAsia="zh-CN"/>
        </w:rPr>
        <w:t xml:space="preserve"> “</w:t>
      </w:r>
      <w:r>
        <w:rPr>
          <w:lang w:eastAsia="zh-CN"/>
        </w:rPr>
        <w:t>教育</w:t>
      </w:r>
      <w:r>
        <w:rPr>
          <w:lang w:eastAsia="zh-CN"/>
        </w:rPr>
        <w:t xml:space="preserve">” </w:t>
      </w:r>
      <w:r>
        <w:rPr>
          <w:lang w:eastAsia="zh-CN"/>
        </w:rPr>
        <w:t>是其加强投资者保障的重</w:t>
      </w:r>
      <w:r>
        <w:rPr>
          <w:lang w:eastAsia="zh-CN"/>
        </w:rPr>
        <w:t>要一环。香港证监会已采用了各种工具教导投资者有关虚拟资产的知识，其中涵盖加快信息传播、开发主动预警系统、通过电视连续剧、电视广告和其他媒体渠道进行宣传，以提高对诈骗和不受监管平台的警觉性。</w:t>
      </w:r>
    </w:p>
    <w:p w:rsidR="00B023B9" w:rsidRPr="00116F44" w:rsidRDefault="00116F44">
      <w:pPr>
        <w:pStyle w:val="BodyText"/>
        <w:rPr>
          <w:b/>
          <w:color w:val="C00000"/>
          <w:lang w:eastAsia="zh-CN"/>
        </w:rPr>
      </w:pPr>
      <w:r w:rsidRPr="00116F44">
        <w:rPr>
          <w:b/>
          <w:color w:val="C00000"/>
          <w:lang w:eastAsia="zh-CN"/>
        </w:rPr>
        <w:t>虚拟资产监管的国际合作</w:t>
      </w:r>
    </w:p>
    <w:p w:rsidR="00B023B9" w:rsidRDefault="00116F44">
      <w:pPr>
        <w:pStyle w:val="BodyText"/>
        <w:rPr>
          <w:rFonts w:eastAsiaTheme="minorEastAsia"/>
          <w:lang w:eastAsia="zh-CN"/>
        </w:rPr>
      </w:pPr>
      <w:r>
        <w:rPr>
          <w:lang w:eastAsia="zh-CN"/>
        </w:rPr>
        <w:t>最后，叶博士强调了在建立健全监管框架时国际合作的重要性，并指出香港证监会将继续与其他国际监管机构合作，以监测趋势并分享最佳实践和经验。</w:t>
      </w:r>
    </w:p>
    <w:p w:rsidR="00116F44" w:rsidRPr="00116F44" w:rsidRDefault="00116F44">
      <w:pPr>
        <w:pStyle w:val="BodyText"/>
        <w:rPr>
          <w:rFonts w:eastAsiaTheme="minorEastAsia" w:hint="eastAsia"/>
          <w:lang w:eastAsia="zh-CN"/>
        </w:rPr>
      </w:pPr>
      <w:bookmarkStart w:id="0" w:name="_GoBack"/>
      <w:bookmarkEnd w:id="0"/>
    </w:p>
    <w:p w:rsidR="00B023B9" w:rsidRDefault="00116F44">
      <w:pPr>
        <w:pStyle w:val="DisclaimerBold"/>
        <w:rPr>
          <w:lang w:eastAsia="zh-CN"/>
        </w:rPr>
      </w:pPr>
      <w:r>
        <w:rPr>
          <w:lang w:eastAsia="zh-CN"/>
        </w:rPr>
        <w:t>此法讯仅为提供相关资料信息之用，其内容并</w:t>
      </w:r>
    </w:p>
    <w:p w:rsidR="00B023B9" w:rsidRDefault="00116F44">
      <w:pPr>
        <w:pStyle w:val="Disclaimer"/>
        <w:rPr>
          <w:lang w:eastAsia="zh-CN"/>
        </w:rPr>
      </w:pPr>
      <w:r>
        <w:rPr>
          <w:lang w:eastAsia="zh-CN"/>
        </w:rPr>
        <w:t>不构成法律建议及个案的法律分析。</w:t>
      </w:r>
    </w:p>
    <w:p w:rsidR="00B023B9" w:rsidRDefault="00116F44">
      <w:pPr>
        <w:pStyle w:val="Disclaimer"/>
        <w:rPr>
          <w:lang w:eastAsia="zh-CN"/>
        </w:rPr>
      </w:pPr>
      <w:r>
        <w:rPr>
          <w:lang w:eastAsia="zh-CN"/>
        </w:rPr>
        <w:t>此法讯的发送并不是为了在易周律师行与用户或浏览者之间建立一种律师与客户之关系。</w:t>
      </w:r>
    </w:p>
    <w:p w:rsidR="00B023B9" w:rsidRDefault="00116F44">
      <w:pPr>
        <w:pStyle w:val="Disclaimer"/>
        <w:rPr>
          <w:lang w:eastAsia="zh-CN"/>
        </w:rPr>
      </w:pPr>
      <w:r>
        <w:rPr>
          <w:lang w:eastAsia="zh-CN"/>
        </w:rPr>
        <w:t>易周律师行并不对可从互联网获得的任何第三方内容负责。</w:t>
      </w:r>
    </w:p>
    <w:p w:rsidR="00B023B9" w:rsidRDefault="00116F44">
      <w:pPr>
        <w:pStyle w:val="Disclaimer"/>
        <w:rPr>
          <w:lang w:eastAsia="zh-CN"/>
        </w:rPr>
      </w:pPr>
      <w:r>
        <w:rPr>
          <w:lang w:eastAsia="zh-CN"/>
        </w:rPr>
        <w:t>如你不希望再收到易周法讯，请发送电邮至</w:t>
      </w:r>
      <w:r>
        <w:rPr>
          <w:lang w:eastAsia="zh-CN"/>
        </w:rPr>
        <w:t xml:space="preserve">  </w:t>
      </w:r>
      <w:hyperlink r:id="rId15">
        <w:r>
          <w:rPr>
            <w:lang w:eastAsia="zh-CN"/>
          </w:rPr>
          <w:t>unsubscribe@charltonslaw.com</w:t>
        </w:r>
      </w:hyperlink>
    </w:p>
    <w:p w:rsidR="00B023B9" w:rsidRDefault="00116F44">
      <w:pPr>
        <w:pStyle w:val="BlackStrips"/>
      </w:pPr>
      <w:r>
        <w:t xml:space="preserve">Charltons - </w:t>
      </w:r>
      <w:r>
        <w:t>香港法律</w:t>
      </w:r>
      <w:r>
        <w:t xml:space="preserve"> - 2025</w:t>
      </w:r>
      <w:r>
        <w:t>年</w:t>
      </w:r>
      <w:r>
        <w:t>4</w:t>
      </w:r>
      <w:r>
        <w:t>月</w:t>
      </w:r>
      <w:r>
        <w:t>25</w:t>
      </w:r>
      <w:r>
        <w:t>日</w:t>
      </w:r>
    </w:p>
    <w:sectPr w:rsidR="00B023B9">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16F44">
      <w:pPr>
        <w:spacing w:after="0"/>
      </w:pPr>
      <w:r>
        <w:separator/>
      </w:r>
    </w:p>
  </w:endnote>
  <w:endnote w:type="continuationSeparator" w:id="0">
    <w:p w:rsidR="00000000" w:rsidRDefault="00116F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3B9" w:rsidRDefault="00116F44">
      <w:r>
        <w:separator/>
      </w:r>
    </w:p>
  </w:footnote>
  <w:footnote w:type="continuationSeparator" w:id="0">
    <w:p w:rsidR="00B023B9" w:rsidRDefault="00116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D9005734"/>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6838901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2966B24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BD64406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116F44"/>
    <w:rsid w:val="00210009"/>
    <w:rsid w:val="004E29B3"/>
    <w:rsid w:val="00590D07"/>
    <w:rsid w:val="00632489"/>
    <w:rsid w:val="00784D58"/>
    <w:rsid w:val="008D6863"/>
    <w:rsid w:val="00B023B9"/>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4CE2"/>
  <w15:docId w15:val="{F6DCA230-C373-4699-ABA1-C4E6C9E8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media/TC/files/COM/Speech/HKFTW-Speech-FINAL-CN.pdf?rev=8f19093a05464756af484dc0b3597c74&amp;hash=FF48ECF4E9171837A4D39518DE3A3303" TargetMode="External"/><Relationship Id="rId13" Type="http://schemas.openxmlformats.org/officeDocument/2006/relationships/hyperlink" Target="https://www.hkma.gov.hk/media/gb_chi/doc/key-information/press-release/2024/20240717c3a1.pdf" TargetMode="External"/><Relationship Id="rId3" Type="http://schemas.openxmlformats.org/officeDocument/2006/relationships/settings" Target="settings.xml"/><Relationship Id="rId7" Type="http://schemas.openxmlformats.org/officeDocument/2006/relationships/hyperlink" Target="http://www.charltonslaw.com.cn/fa-zhan-xiang-gang-xu-ni-zi-chan-shi-chang-2024nian-xiang-gang-jin-rong-ke-ji-zhou" TargetMode="External"/><Relationship Id="rId12" Type="http://schemas.openxmlformats.org/officeDocument/2006/relationships/hyperlink" Target="https://apps.sfc.hk/edistributionWeb/api/circular/openFile?lang=TC&amp;refNo=23EC5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sfc.hk/edistributionWeb/api/circular/openFile?lang=TC&amp;refNo=23EC53" TargetMode="External"/><Relationship Id="rId5" Type="http://schemas.openxmlformats.org/officeDocument/2006/relationships/footnotes" Target="footnotes.xml"/><Relationship Id="rId15" Type="http://schemas.openxmlformats.org/officeDocument/2006/relationships/hyperlink" Target="mailto:unsubscribe@charltonslaw.com?subject=unsubscribe%20-Hong%20Kong%20Law-" TargetMode="External"/><Relationship Id="rId10" Type="http://schemas.openxmlformats.org/officeDocument/2006/relationships/hyperlink" Target="https://www.charltonslaw.com.cn/xiang-gang-xing-zheng-zhang-guan-2024-nian-xiang-gang-shi-zheng-bao-gao-zhu-yao-ye-wu-dian/" TargetMode="External"/><Relationship Id="rId4" Type="http://schemas.openxmlformats.org/officeDocument/2006/relationships/webSettings" Target="webSettings.xml"/><Relationship Id="rId9" Type="http://schemas.openxmlformats.org/officeDocument/2006/relationships/hyperlink" Target="https://apps.sfc.hk/edistributionWeb/gateway/TC/news-and-announcements/news/doc?refNo=24PR180" TargetMode="External"/><Relationship Id="rId14" Type="http://schemas.openxmlformats.org/officeDocument/2006/relationships/hyperlink" Target="https://www.charltonslaw.com.cn/xiang-gang-ni-yi-fa-bi-wen-ding-bi-fa-xing-ren-jian-g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2</cp:revision>
  <dcterms:created xsi:type="dcterms:W3CDTF">2025-04-25T08:11:00Z</dcterms:created>
  <dcterms:modified xsi:type="dcterms:W3CDTF">2025-04-25T08:39:00Z</dcterms:modified>
</cp:coreProperties>
</file>