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A082A" w:rsidRDefault="00BA4F3E">
      <w:pPr>
        <w:pStyle w:val="BlackStrips"/>
      </w:pPr>
      <w:r>
        <w:t xml:space="preserve">Charltons - </w:t>
      </w:r>
      <w:r>
        <w:t>香港法律</w:t>
      </w:r>
      <w:r>
        <w:t xml:space="preserve"> - 2025</w:t>
      </w:r>
      <w:r>
        <w:t>年</w:t>
      </w:r>
      <w:r>
        <w:t>5</w:t>
      </w:r>
      <w:r>
        <w:t>月</w:t>
      </w:r>
      <w:r>
        <w:t>16</w:t>
      </w:r>
      <w:r>
        <w:t>日</w:t>
      </w:r>
    </w:p>
    <w:p w:rsidR="007A082A" w:rsidRDefault="00BA4F3E">
      <w:pPr>
        <w:pStyle w:val="ReadOnline"/>
        <w:rPr>
          <w:lang w:eastAsia="zh-CN"/>
        </w:rPr>
      </w:pPr>
      <w:hyperlink r:id="rId7">
        <w:r>
          <w:rPr>
            <w:lang w:eastAsia="zh-CN"/>
          </w:rPr>
          <w:t>online version</w:t>
        </w:r>
      </w:hyperlink>
    </w:p>
    <w:p w:rsidR="007A082A" w:rsidRDefault="00BA4F3E">
      <w:pPr>
        <w:pStyle w:val="Title"/>
        <w:rPr>
          <w:lang w:eastAsia="zh-CN"/>
        </w:rPr>
      </w:pPr>
      <w:r>
        <w:rPr>
          <w:lang w:eastAsia="zh-CN"/>
        </w:rPr>
        <w:t>香港联交所就进一步扩大其无纸化上市机制进行咨询</w:t>
      </w:r>
    </w:p>
    <w:p w:rsidR="007A082A" w:rsidRDefault="00BA4F3E">
      <w:pPr>
        <w:pStyle w:val="FirstParagraph"/>
        <w:rPr>
          <w:lang w:eastAsia="zh-CN"/>
        </w:rPr>
      </w:pPr>
      <w:r>
        <w:rPr>
          <w:lang w:eastAsia="zh-CN"/>
        </w:rPr>
        <w:t>2024</w:t>
      </w:r>
      <w:r>
        <w:rPr>
          <w:lang w:eastAsia="zh-CN"/>
        </w:rPr>
        <w:t>年</w:t>
      </w:r>
      <w:r>
        <w:rPr>
          <w:lang w:eastAsia="zh-CN"/>
        </w:rPr>
        <w:t>8</w:t>
      </w:r>
      <w:r>
        <w:rPr>
          <w:lang w:eastAsia="zh-CN"/>
        </w:rPr>
        <w:t>月，香港联合交易所有限公司（</w:t>
      </w:r>
      <w:r>
        <w:rPr>
          <w:b/>
          <w:lang w:eastAsia="zh-CN"/>
        </w:rPr>
        <w:t>联交所</w:t>
      </w:r>
      <w:r>
        <w:rPr>
          <w:lang w:eastAsia="zh-CN"/>
        </w:rPr>
        <w:t>）就进一步扩大其无纸化上市机制发出了一份</w:t>
      </w:r>
      <w:hyperlink r:id="rId8">
        <w:r>
          <w:rPr>
            <w:lang w:eastAsia="zh-CN"/>
          </w:rPr>
          <w:t>咨询文件</w:t>
        </w:r>
      </w:hyperlink>
      <w:r>
        <w:rPr>
          <w:lang w:eastAsia="zh-CN"/>
        </w:rPr>
        <w:t>，以提升运作效率及减少纸张的使用。在此之前，联交所已经实施了两轮的无纸化上市改革以及其他市场现代化及数码化的多项措施，其中包括推出</w:t>
      </w:r>
      <w:r>
        <w:rPr>
          <w:lang w:eastAsia="zh-CN"/>
        </w:rPr>
        <w:t>FINI</w:t>
      </w:r>
      <w:r>
        <w:rPr>
          <w:lang w:eastAsia="zh-CN"/>
        </w:rPr>
        <w:t>，提出实施无</w:t>
      </w:r>
      <w:r>
        <w:rPr>
          <w:lang w:eastAsia="zh-CN"/>
        </w:rPr>
        <w:t>纸证券市场的建议，以及安排香港证券及衍生市场在恶劣天气情况下维持运作。</w:t>
      </w:r>
    </w:p>
    <w:p w:rsidR="007A082A" w:rsidRPr="004834DD" w:rsidRDefault="00BA4F3E">
      <w:pPr>
        <w:pStyle w:val="BodyText"/>
        <w:rPr>
          <w:b/>
          <w:color w:val="C00000"/>
          <w:lang w:eastAsia="zh-CN"/>
        </w:rPr>
      </w:pPr>
      <w:r w:rsidRPr="004834DD">
        <w:rPr>
          <w:b/>
          <w:color w:val="C00000"/>
          <w:lang w:eastAsia="zh-CN"/>
        </w:rPr>
        <w:t>近年在香港上市的无纸化及数码化措施</w:t>
      </w:r>
    </w:p>
    <w:p w:rsidR="007A082A" w:rsidRDefault="00BA4F3E">
      <w:pPr>
        <w:pStyle w:val="BodyText"/>
        <w:rPr>
          <w:lang w:eastAsia="zh-CN"/>
        </w:rPr>
      </w:pPr>
      <w:r>
        <w:rPr>
          <w:lang w:eastAsia="zh-CN"/>
        </w:rPr>
        <w:t>联交所首项无纸化措施实施于</w:t>
      </w:r>
      <w:r>
        <w:rPr>
          <w:lang w:eastAsia="zh-CN"/>
        </w:rPr>
        <w:t>2021</w:t>
      </w:r>
      <w:r>
        <w:rPr>
          <w:lang w:eastAsia="zh-CN"/>
        </w:rPr>
        <w:t>年</w:t>
      </w:r>
      <w:r>
        <w:rPr>
          <w:lang w:eastAsia="zh-CN"/>
        </w:rPr>
        <w:t>7</w:t>
      </w:r>
      <w:r>
        <w:rPr>
          <w:lang w:eastAsia="zh-CN"/>
        </w:rPr>
        <w:t>月，措施包括：</w:t>
      </w:r>
    </w:p>
    <w:p w:rsidR="007A082A" w:rsidRDefault="00BA4F3E">
      <w:pPr>
        <w:pStyle w:val="Compact"/>
        <w:numPr>
          <w:ilvl w:val="0"/>
          <w:numId w:val="3"/>
        </w:numPr>
        <w:rPr>
          <w:lang w:eastAsia="zh-CN"/>
        </w:rPr>
      </w:pPr>
      <w:r>
        <w:rPr>
          <w:lang w:eastAsia="zh-CN"/>
        </w:rPr>
        <w:t>规定股票、债务证券和集体投资计划新上市的上市文件必须仅以电子形式刊发；</w:t>
      </w:r>
    </w:p>
    <w:p w:rsidR="007A082A" w:rsidRDefault="00BA4F3E">
      <w:pPr>
        <w:pStyle w:val="Compact"/>
        <w:numPr>
          <w:ilvl w:val="0"/>
          <w:numId w:val="3"/>
        </w:numPr>
        <w:rPr>
          <w:lang w:eastAsia="zh-CN"/>
        </w:rPr>
      </w:pPr>
      <w:r>
        <w:rPr>
          <w:lang w:eastAsia="zh-CN"/>
        </w:rPr>
        <w:t>除非属混合媒介要约，否则对新上市的认购必须透过电子渠道申请；及</w:t>
      </w:r>
    </w:p>
    <w:p w:rsidR="007A082A" w:rsidRDefault="00BA4F3E">
      <w:pPr>
        <w:pStyle w:val="Compact"/>
        <w:numPr>
          <w:ilvl w:val="0"/>
          <w:numId w:val="3"/>
        </w:numPr>
        <w:rPr>
          <w:lang w:eastAsia="zh-CN"/>
        </w:rPr>
      </w:pPr>
      <w:r>
        <w:rPr>
          <w:lang w:eastAsia="zh-CN"/>
        </w:rPr>
        <w:t>上市申请人及上市发行人须将若干文件刊发于联交所网站及其网站上，而毋须展示实体版本。</w:t>
      </w:r>
    </w:p>
    <w:p w:rsidR="007A082A" w:rsidRDefault="00BA4F3E">
      <w:pPr>
        <w:pStyle w:val="FirstParagraph"/>
        <w:rPr>
          <w:lang w:eastAsia="zh-CN"/>
        </w:rPr>
      </w:pPr>
      <w:r>
        <w:rPr>
          <w:lang w:eastAsia="zh-CN"/>
        </w:rPr>
        <w:t>无纸化上市机制于</w:t>
      </w:r>
      <w:r>
        <w:rPr>
          <w:lang w:eastAsia="zh-CN"/>
        </w:rPr>
        <w:t>2023</w:t>
      </w:r>
      <w:r>
        <w:rPr>
          <w:lang w:eastAsia="zh-CN"/>
        </w:rPr>
        <w:t>年</w:t>
      </w:r>
      <w:r>
        <w:rPr>
          <w:lang w:eastAsia="zh-CN"/>
        </w:rPr>
        <w:t>12</w:t>
      </w:r>
      <w:r>
        <w:rPr>
          <w:lang w:eastAsia="zh-CN"/>
        </w:rPr>
        <w:t>月进一步扩大，包括推出以下规定：</w:t>
      </w:r>
    </w:p>
    <w:p w:rsidR="007A082A" w:rsidRDefault="00BA4F3E">
      <w:pPr>
        <w:pStyle w:val="Compact"/>
        <w:numPr>
          <w:ilvl w:val="0"/>
          <w:numId w:val="4"/>
        </w:numPr>
        <w:rPr>
          <w:lang w:eastAsia="zh-CN"/>
        </w:rPr>
      </w:pPr>
      <w:r>
        <w:rPr>
          <w:lang w:eastAsia="zh-CN"/>
        </w:rPr>
        <w:t>以电子方式向联交所呈交之前需要以纸质形式提交的诸多文件；及</w:t>
      </w:r>
    </w:p>
    <w:p w:rsidR="007A082A" w:rsidRDefault="00BA4F3E">
      <w:pPr>
        <w:pStyle w:val="Compact"/>
        <w:numPr>
          <w:ilvl w:val="0"/>
          <w:numId w:val="4"/>
        </w:numPr>
        <w:rPr>
          <w:lang w:eastAsia="zh-CN"/>
        </w:rPr>
      </w:pPr>
      <w:r>
        <w:rPr>
          <w:lang w:eastAsia="zh-CN"/>
        </w:rPr>
        <w:t>上市发</w:t>
      </w:r>
      <w:r>
        <w:rPr>
          <w:lang w:eastAsia="zh-CN"/>
        </w:rPr>
        <w:t>行人须透过电子方式向证券持有人发布公司通讯（在符合注册成立的司法管辖区法律的情况下）。</w:t>
      </w:r>
    </w:p>
    <w:p w:rsidR="007A082A" w:rsidRDefault="00BA4F3E">
      <w:pPr>
        <w:pStyle w:val="FirstParagraph"/>
        <w:rPr>
          <w:lang w:eastAsia="zh-CN"/>
        </w:rPr>
      </w:pPr>
      <w:r>
        <w:rPr>
          <w:lang w:eastAsia="zh-CN"/>
        </w:rPr>
        <w:t>更多有关</w:t>
      </w:r>
      <w:r>
        <w:rPr>
          <w:lang w:eastAsia="zh-CN"/>
        </w:rPr>
        <w:t>2023</w:t>
      </w:r>
      <w:r>
        <w:rPr>
          <w:lang w:eastAsia="zh-CN"/>
        </w:rPr>
        <w:t>年</w:t>
      </w:r>
      <w:r>
        <w:rPr>
          <w:lang w:eastAsia="zh-CN"/>
        </w:rPr>
        <w:t>12</w:t>
      </w:r>
      <w:r>
        <w:rPr>
          <w:lang w:eastAsia="zh-CN"/>
        </w:rPr>
        <w:t>月无纸化机制扩展的详情，请参阅本所</w:t>
      </w:r>
      <w:hyperlink r:id="rId9">
        <w:r w:rsidRPr="004834DD">
          <w:rPr>
            <w:color w:val="FF0000"/>
            <w:u w:val="single"/>
            <w:lang w:eastAsia="zh-CN"/>
          </w:rPr>
          <w:t>2023</w:t>
        </w:r>
        <w:r w:rsidRPr="004834DD">
          <w:rPr>
            <w:color w:val="FF0000"/>
            <w:u w:val="single"/>
            <w:lang w:eastAsia="zh-CN"/>
          </w:rPr>
          <w:t>年</w:t>
        </w:r>
        <w:r w:rsidRPr="004834DD">
          <w:rPr>
            <w:color w:val="FF0000"/>
            <w:u w:val="single"/>
            <w:lang w:eastAsia="zh-CN"/>
          </w:rPr>
          <w:t>12</w:t>
        </w:r>
        <w:r w:rsidRPr="004834DD">
          <w:rPr>
            <w:color w:val="FF0000"/>
            <w:u w:val="single"/>
            <w:lang w:eastAsia="zh-CN"/>
          </w:rPr>
          <w:t>月法讯</w:t>
        </w:r>
      </w:hyperlink>
      <w:r>
        <w:rPr>
          <w:lang w:eastAsia="zh-CN"/>
        </w:rPr>
        <w:t>。</w:t>
      </w:r>
    </w:p>
    <w:p w:rsidR="007A082A" w:rsidRDefault="00BA4F3E">
      <w:pPr>
        <w:pStyle w:val="BodyText"/>
        <w:rPr>
          <w:lang w:eastAsia="zh-CN"/>
        </w:rPr>
      </w:pPr>
      <w:r>
        <w:rPr>
          <w:lang w:eastAsia="zh-CN"/>
        </w:rPr>
        <w:t>此外，联交所和证券及</w:t>
      </w:r>
      <w:r>
        <w:rPr>
          <w:lang w:eastAsia="zh-CN"/>
        </w:rPr>
        <w:t>期货事务监察委员会（</w:t>
      </w:r>
      <w:r>
        <w:rPr>
          <w:b/>
          <w:lang w:eastAsia="zh-CN"/>
        </w:rPr>
        <w:t>证监会</w:t>
      </w:r>
      <w:r>
        <w:rPr>
          <w:lang w:eastAsia="zh-CN"/>
        </w:rPr>
        <w:t>）亦推出了一系列改善措施以推动市场架构数码化和现代化，其中包括：</w:t>
      </w:r>
    </w:p>
    <w:p w:rsidR="007A082A" w:rsidRDefault="00CA2703" w:rsidP="00CA2703">
      <w:pPr>
        <w:pStyle w:val="Compact"/>
        <w:numPr>
          <w:ilvl w:val="0"/>
          <w:numId w:val="5"/>
        </w:numPr>
        <w:jc w:val="left"/>
      </w:pPr>
      <w:r>
        <w:rPr>
          <w:i/>
        </w:rPr>
        <w:t xml:space="preserve">Fast Interface for New Issuance </w:t>
      </w:r>
      <w:r w:rsidR="00BA4F3E">
        <w:rPr>
          <w:i/>
        </w:rPr>
        <w:t>(</w:t>
      </w:r>
      <w:r w:rsidR="00BA4F3E">
        <w:rPr>
          <w:b/>
          <w:i/>
        </w:rPr>
        <w:t>FINI</w:t>
      </w:r>
      <w:r w:rsidR="00BA4F3E">
        <w:rPr>
          <w:i/>
        </w:rPr>
        <w:t>)</w:t>
      </w:r>
      <w:r w:rsidR="00BA4F3E">
        <w:rPr>
          <w:i/>
        </w:rPr>
        <w:t>：</w:t>
      </w:r>
      <w:r w:rsidR="00BA4F3E">
        <w:t>FINI</w:t>
      </w:r>
      <w:r w:rsidR="00BA4F3E">
        <w:t>由联交所于</w:t>
      </w:r>
      <w:r w:rsidR="00BA4F3E">
        <w:t>2023</w:t>
      </w:r>
      <w:r w:rsidR="00BA4F3E">
        <w:t>年</w:t>
      </w:r>
      <w:r w:rsidR="00BA4F3E">
        <w:t>11</w:t>
      </w:r>
      <w:r w:rsidR="00BA4F3E">
        <w:t>月推出，以简化首次公开发售流程以及将首次公开发售定价与股份开始买卖之间的时间由五个营业日缩短至两个营业日；</w:t>
      </w:r>
    </w:p>
    <w:p w:rsidR="007A082A" w:rsidRDefault="00BA4F3E">
      <w:pPr>
        <w:pStyle w:val="Compact"/>
        <w:numPr>
          <w:ilvl w:val="0"/>
          <w:numId w:val="5"/>
        </w:numPr>
        <w:rPr>
          <w:lang w:eastAsia="zh-CN"/>
        </w:rPr>
      </w:pPr>
      <w:r>
        <w:rPr>
          <w:i/>
          <w:lang w:eastAsia="zh-CN"/>
        </w:rPr>
        <w:t>无纸证券市场：</w:t>
      </w:r>
      <w:r>
        <w:rPr>
          <w:lang w:eastAsia="zh-CN"/>
        </w:rPr>
        <w:t>香港无纸证券市场计划将于</w:t>
      </w:r>
      <w:r>
        <w:rPr>
          <w:lang w:eastAsia="zh-CN"/>
        </w:rPr>
        <w:t>2025</w:t>
      </w:r>
      <w:r>
        <w:rPr>
          <w:lang w:eastAsia="zh-CN"/>
        </w:rPr>
        <w:t>年底实施，且将准许投资者以其自身的名义及在无须纸张文件的情况下持有若干证券；及</w:t>
      </w:r>
    </w:p>
    <w:p w:rsidR="007A082A" w:rsidRDefault="00BA4F3E">
      <w:pPr>
        <w:pStyle w:val="Compact"/>
        <w:numPr>
          <w:ilvl w:val="0"/>
          <w:numId w:val="5"/>
        </w:numPr>
        <w:rPr>
          <w:lang w:eastAsia="zh-CN"/>
        </w:rPr>
      </w:pPr>
      <w:r>
        <w:rPr>
          <w:i/>
          <w:lang w:eastAsia="zh-CN"/>
        </w:rPr>
        <w:t>维持恶劣天气下交易：</w:t>
      </w:r>
      <w:r>
        <w:rPr>
          <w:lang w:eastAsia="zh-CN"/>
        </w:rPr>
        <w:t>继联交所于</w:t>
      </w:r>
      <w:r>
        <w:rPr>
          <w:lang w:eastAsia="zh-CN"/>
        </w:rPr>
        <w:t>2024</w:t>
      </w:r>
      <w:r>
        <w:rPr>
          <w:lang w:eastAsia="zh-CN"/>
        </w:rPr>
        <w:t>年</w:t>
      </w:r>
      <w:r>
        <w:rPr>
          <w:lang w:eastAsia="zh-CN"/>
        </w:rPr>
        <w:t>6</w:t>
      </w:r>
      <w:r>
        <w:rPr>
          <w:lang w:eastAsia="zh-CN"/>
        </w:rPr>
        <w:t>月刊发《维持恶劣天气下交易咨询总结</w:t>
      </w:r>
      <w:r>
        <w:rPr>
          <w:lang w:eastAsia="zh-CN"/>
        </w:rPr>
        <w:t>》之后，就香港证券市场及衍生产品市场在恶劣天气情况下维持运作的安排于</w:t>
      </w:r>
      <w:r>
        <w:rPr>
          <w:lang w:eastAsia="zh-CN"/>
        </w:rPr>
        <w:t>2024</w:t>
      </w:r>
      <w:r>
        <w:rPr>
          <w:lang w:eastAsia="zh-CN"/>
        </w:rPr>
        <w:t>年</w:t>
      </w:r>
      <w:r>
        <w:rPr>
          <w:lang w:eastAsia="zh-CN"/>
        </w:rPr>
        <w:t>9</w:t>
      </w:r>
      <w:r>
        <w:rPr>
          <w:lang w:eastAsia="zh-CN"/>
        </w:rPr>
        <w:t>月开始实施。</w:t>
      </w:r>
    </w:p>
    <w:p w:rsidR="007A082A" w:rsidRPr="009D2F14" w:rsidRDefault="00BA4F3E">
      <w:pPr>
        <w:pStyle w:val="FirstParagraph"/>
        <w:rPr>
          <w:b/>
          <w:color w:val="C00000"/>
          <w:lang w:eastAsia="zh-CN"/>
        </w:rPr>
      </w:pPr>
      <w:r w:rsidRPr="009D2F14">
        <w:rPr>
          <w:b/>
          <w:color w:val="C00000"/>
          <w:lang w:eastAsia="zh-CN"/>
        </w:rPr>
        <w:t>进一步扩大联交所无纸化上市机制的建议</w:t>
      </w:r>
    </w:p>
    <w:p w:rsidR="007A082A" w:rsidRPr="009D2F14" w:rsidRDefault="00BA4F3E">
      <w:pPr>
        <w:pStyle w:val="BodyText"/>
        <w:rPr>
          <w:b/>
          <w:lang w:eastAsia="zh-CN"/>
        </w:rPr>
      </w:pPr>
      <w:r w:rsidRPr="009D2F14">
        <w:rPr>
          <w:b/>
          <w:lang w:eastAsia="zh-CN"/>
        </w:rPr>
        <w:t xml:space="preserve">1. </w:t>
      </w:r>
      <w:r w:rsidRPr="009D2F14">
        <w:rPr>
          <w:b/>
          <w:lang w:eastAsia="zh-CN"/>
        </w:rPr>
        <w:t>准许证券持有人发出电子指示</w:t>
      </w:r>
    </w:p>
    <w:p w:rsidR="007A082A" w:rsidRDefault="00BA4F3E">
      <w:pPr>
        <w:pStyle w:val="BodyText"/>
        <w:rPr>
          <w:lang w:eastAsia="zh-CN"/>
        </w:rPr>
      </w:pPr>
      <w:r>
        <w:rPr>
          <w:lang w:eastAsia="zh-CN"/>
        </w:rPr>
        <w:t>自</w:t>
      </w:r>
      <w:r>
        <w:rPr>
          <w:lang w:eastAsia="zh-CN"/>
        </w:rPr>
        <w:t>2023</w:t>
      </w:r>
      <w:r>
        <w:rPr>
          <w:lang w:eastAsia="zh-CN"/>
        </w:rPr>
        <w:t>年</w:t>
      </w:r>
      <w:r>
        <w:rPr>
          <w:lang w:eastAsia="zh-CN"/>
        </w:rPr>
        <w:t>12</w:t>
      </w:r>
      <w:r>
        <w:rPr>
          <w:lang w:eastAsia="zh-CN"/>
        </w:rPr>
        <w:t>月扩大无纸化上市机制之后，在发行人注册成立的司法管辖区法律准许的情况下，发行人须以电子方式向其证券持有人发布公司通讯。可供采取行动的公司通讯（即寻求证券持有人有关如何行使其权力或者作出选择的指示的公司通讯）须以电子方式个别发送予其每名证券持有人。然而，发行人毋须设置机制以便证券持有人就公司通讯以电子方式进行回应，这表示发行人可要</w:t>
      </w:r>
      <w:r>
        <w:rPr>
          <w:lang w:eastAsia="zh-CN"/>
        </w:rPr>
        <w:t>求证券持有人只能以纸质形式呈交指示。</w:t>
      </w:r>
    </w:p>
    <w:p w:rsidR="007A082A" w:rsidRDefault="00BA4F3E">
      <w:pPr>
        <w:pStyle w:val="BodyText"/>
        <w:rPr>
          <w:lang w:eastAsia="zh-CN"/>
        </w:rPr>
      </w:pPr>
      <w:r>
        <w:rPr>
          <w:lang w:eastAsia="zh-CN"/>
        </w:rPr>
        <w:t>联交所现建议规定发行人实施可让证券持有人选择以电子方式向发行人发出以下指示的机制：</w:t>
      </w:r>
    </w:p>
    <w:p w:rsidR="007A082A" w:rsidRDefault="00BA4F3E">
      <w:pPr>
        <w:pStyle w:val="Compact"/>
        <w:numPr>
          <w:ilvl w:val="0"/>
          <w:numId w:val="6"/>
        </w:numPr>
        <w:rPr>
          <w:lang w:eastAsia="zh-CN"/>
        </w:rPr>
      </w:pPr>
      <w:r>
        <w:rPr>
          <w:lang w:eastAsia="zh-CN"/>
        </w:rPr>
        <w:t>有关证券持有人会议的指示，要求出席会议的指示及委任代表相关指示（「</w:t>
      </w:r>
      <w:r>
        <w:rPr>
          <w:b/>
          <w:lang w:eastAsia="zh-CN"/>
        </w:rPr>
        <w:t>会议指示</w:t>
      </w:r>
      <w:r>
        <w:rPr>
          <w:lang w:eastAsia="zh-CN"/>
        </w:rPr>
        <w:t>」）；及</w:t>
      </w:r>
    </w:p>
    <w:p w:rsidR="007A082A" w:rsidRDefault="00BA4F3E">
      <w:pPr>
        <w:pStyle w:val="Compact"/>
        <w:numPr>
          <w:ilvl w:val="0"/>
          <w:numId w:val="6"/>
        </w:numPr>
        <w:rPr>
          <w:lang w:eastAsia="zh-CN"/>
        </w:rPr>
      </w:pPr>
      <w:r>
        <w:rPr>
          <w:lang w:eastAsia="zh-CN"/>
        </w:rPr>
        <w:lastRenderedPageBreak/>
        <w:t>就回应可供采取行动的公司通讯发出的指示（就有关供股发出的任何暂定配额通知书作出的指示除外）（「</w:t>
      </w:r>
      <w:r>
        <w:rPr>
          <w:b/>
          <w:lang w:eastAsia="zh-CN"/>
        </w:rPr>
        <w:t>非会议指示</w:t>
      </w:r>
      <w:r>
        <w:rPr>
          <w:lang w:eastAsia="zh-CN"/>
        </w:rPr>
        <w:t>」）。</w:t>
      </w:r>
    </w:p>
    <w:p w:rsidR="007A082A" w:rsidRDefault="00BA4F3E">
      <w:pPr>
        <w:pStyle w:val="FirstParagraph"/>
        <w:rPr>
          <w:lang w:eastAsia="zh-CN"/>
        </w:rPr>
      </w:pPr>
      <w:r>
        <w:rPr>
          <w:lang w:eastAsia="zh-CN"/>
        </w:rPr>
        <w:t>由此，证券持有人有权选择以电子方式或者以印刷本进行回应。发行人在接收电子指示机制的选择上不会受限制。例如，发行人可透过电邮或特定网上平台收取所需指示。</w:t>
      </w:r>
    </w:p>
    <w:p w:rsidR="007A082A" w:rsidRDefault="00BA4F3E">
      <w:pPr>
        <w:pStyle w:val="BodyText"/>
        <w:rPr>
          <w:lang w:eastAsia="zh-CN"/>
        </w:rPr>
      </w:pPr>
      <w:r>
        <w:rPr>
          <w:lang w:eastAsia="zh-CN"/>
        </w:rPr>
        <w:t>为便于该项建议的实施，联交所建议发行人：</w:t>
      </w:r>
    </w:p>
    <w:p w:rsidR="007A082A" w:rsidRDefault="00BA4F3E">
      <w:pPr>
        <w:pStyle w:val="Compact"/>
        <w:numPr>
          <w:ilvl w:val="0"/>
          <w:numId w:val="7"/>
        </w:numPr>
        <w:rPr>
          <w:lang w:eastAsia="zh-CN"/>
        </w:rPr>
      </w:pPr>
      <w:r>
        <w:rPr>
          <w:lang w:eastAsia="zh-CN"/>
        </w:rPr>
        <w:t>核查其注册成立的司法管辖区的法律及规则是否要求其修订其章程文件才可以实施建议（例如该等法律及规则要求发行人须于章程文件中明确允许透过电子方式接收证券持有人的指示）；</w:t>
      </w:r>
    </w:p>
    <w:p w:rsidR="007A082A" w:rsidRDefault="00BA4F3E">
      <w:pPr>
        <w:pStyle w:val="Compact"/>
        <w:numPr>
          <w:ilvl w:val="0"/>
          <w:numId w:val="7"/>
        </w:numPr>
        <w:rPr>
          <w:lang w:eastAsia="zh-CN"/>
        </w:rPr>
      </w:pPr>
      <w:r>
        <w:rPr>
          <w:lang w:eastAsia="zh-CN"/>
        </w:rPr>
        <w:t>须实施相关机制来验证所接收指示的真确性。</w:t>
      </w:r>
    </w:p>
    <w:p w:rsidR="007A082A" w:rsidRDefault="00BA4F3E">
      <w:pPr>
        <w:pStyle w:val="FirstParagraph"/>
        <w:rPr>
          <w:lang w:eastAsia="zh-CN"/>
        </w:rPr>
      </w:pPr>
      <w:r>
        <w:rPr>
          <w:lang w:eastAsia="zh-CN"/>
        </w:rPr>
        <w:t>联交所建议与会议指示相关的规定适用于股本证券发行人以及公众债务证券发行人，而非会议指示规定将适用于股本证券发行人以及结构性产品发行人。且该等规定将不适用于集体投资计划发行人以及专业债务证券发行人。</w:t>
      </w:r>
    </w:p>
    <w:p w:rsidR="007A082A" w:rsidRDefault="00BA4F3E">
      <w:pPr>
        <w:pStyle w:val="BodyText"/>
        <w:rPr>
          <w:lang w:eastAsia="zh-CN"/>
        </w:rPr>
      </w:pPr>
      <w:r>
        <w:rPr>
          <w:lang w:eastAsia="zh-CN"/>
        </w:rPr>
        <w:t>根据该等建议，联交所亦会修订股东大会指引附录的委任表格样式，以准许以电子方式发出委任代表指示。此外，亦会修</w:t>
      </w:r>
      <w:r>
        <w:rPr>
          <w:lang w:eastAsia="zh-CN"/>
        </w:rPr>
        <w:t>订会议通告电子表格的填写指引，以规定发行人须就证券持有人如何以电子方式发送会议指示给予说明。</w:t>
      </w:r>
    </w:p>
    <w:p w:rsidR="007A082A" w:rsidRDefault="00BA4F3E">
      <w:pPr>
        <w:pStyle w:val="BodyText"/>
        <w:rPr>
          <w:lang w:eastAsia="zh-CN"/>
        </w:rPr>
      </w:pPr>
      <w:r>
        <w:rPr>
          <w:lang w:eastAsia="zh-CN"/>
        </w:rPr>
        <w:t>该项建议的拟议实施日期与香港无纸证券市场的实施日期相同，现计划为</w:t>
      </w:r>
      <w:r>
        <w:rPr>
          <w:lang w:eastAsia="zh-CN"/>
        </w:rPr>
        <w:t>2025</w:t>
      </w:r>
      <w:r>
        <w:rPr>
          <w:lang w:eastAsia="zh-CN"/>
        </w:rPr>
        <w:t>年年底。发行人之后将会有一年的过渡期，从而对其章程文件作出任何必要的修订。</w:t>
      </w:r>
    </w:p>
    <w:p w:rsidR="007A082A" w:rsidRPr="009D2F14" w:rsidRDefault="00BA4F3E">
      <w:pPr>
        <w:pStyle w:val="BodyText"/>
        <w:rPr>
          <w:b/>
          <w:lang w:eastAsia="zh-CN"/>
        </w:rPr>
      </w:pPr>
      <w:r w:rsidRPr="009D2F14">
        <w:rPr>
          <w:b/>
          <w:lang w:eastAsia="zh-CN"/>
        </w:rPr>
        <w:t xml:space="preserve">2. </w:t>
      </w:r>
      <w:r w:rsidRPr="009D2F14">
        <w:rPr>
          <w:b/>
          <w:lang w:eastAsia="zh-CN"/>
        </w:rPr>
        <w:t>以电子方式实时支付公司行动款项</w:t>
      </w:r>
    </w:p>
    <w:p w:rsidR="007A082A" w:rsidRDefault="00BA4F3E">
      <w:pPr>
        <w:pStyle w:val="BodyText"/>
        <w:rPr>
          <w:lang w:eastAsia="zh-CN"/>
        </w:rPr>
      </w:pPr>
      <w:r>
        <w:rPr>
          <w:lang w:eastAsia="zh-CN"/>
        </w:rPr>
        <w:t>联交所《上市规则》并未规定发行人应如何向其证券持有人支付公司行动款项。以邮递方式寄出纸本支票是现时最常见的做法。「公司行动款项」包括分派股息及其他权益，与供股、公开发售有关的申请的退款以及与收购和私有化有关的付款。但是，现有的流程通</w:t>
      </w:r>
      <w:r>
        <w:rPr>
          <w:lang w:eastAsia="zh-CN"/>
        </w:rPr>
        <w:t>常会因为在银行存入支票或者结算所需的时间而导致在公告付款日期之后延迟支付。</w:t>
      </w:r>
    </w:p>
    <w:p w:rsidR="007A082A" w:rsidRDefault="00BA4F3E">
      <w:pPr>
        <w:pStyle w:val="BodyText"/>
        <w:rPr>
          <w:lang w:eastAsia="zh-CN"/>
        </w:rPr>
      </w:pPr>
      <w:r>
        <w:rPr>
          <w:lang w:eastAsia="zh-CN"/>
        </w:rPr>
        <w:t>为了提升效率以及让股东能够在尽可能接近公布的付款日期收到公司行动款项，联交所建议发行人为证券持有人提供选项，使其可选择在所公布的付款日期可透过结算所自动转账系统（「</w:t>
      </w:r>
      <w:r>
        <w:rPr>
          <w:lang w:eastAsia="zh-CN"/>
        </w:rPr>
        <w:t>CHATS</w:t>
      </w:r>
      <w:r>
        <w:rPr>
          <w:lang w:eastAsia="zh-CN"/>
        </w:rPr>
        <w:t>」）以电子方式收到公司行动款项。</w:t>
      </w:r>
      <w:r>
        <w:rPr>
          <w:lang w:eastAsia="zh-CN"/>
        </w:rPr>
        <w:t>CHATS</w:t>
      </w:r>
      <w:r>
        <w:rPr>
          <w:lang w:eastAsia="zh-CN"/>
        </w:rPr>
        <w:t>是一个香港银行同业支付系统，用于以本地货币或者外币结算交易之用。不过，联交所将准许发行人提供其他的支付方式，包括支票，自动转账或转数快等替代方式，从而为持份者提供更大的灵活性。</w:t>
      </w:r>
    </w:p>
    <w:p w:rsidR="007A082A" w:rsidRDefault="00BA4F3E">
      <w:pPr>
        <w:pStyle w:val="BodyText"/>
        <w:rPr>
          <w:lang w:eastAsia="zh-CN"/>
        </w:rPr>
      </w:pPr>
      <w:r>
        <w:rPr>
          <w:lang w:eastAsia="zh-CN"/>
        </w:rPr>
        <w:t>联交所将要求上市发行人须告知其证券持有人有</w:t>
      </w:r>
      <w:r>
        <w:rPr>
          <w:lang w:eastAsia="zh-CN"/>
        </w:rPr>
        <w:t>哪些付款方式可供选择，并要求证券持有人就其选择作出指示。发行人须取得有效的电子支付资料，以便证券持有人选择以</w:t>
      </w:r>
      <w:r>
        <w:rPr>
          <w:lang w:eastAsia="zh-CN"/>
        </w:rPr>
        <w:t>CHATS</w:t>
      </w:r>
      <w:r>
        <w:rPr>
          <w:lang w:eastAsia="zh-CN"/>
        </w:rPr>
        <w:t>方式接收付款。若证券持有人并未表明其付款方式选择或提供有效的电子支付资料，发行人则可选择在其之前用于向证券持有人支付公司行动款项的任何支付方式（包括非电子方式）。</w:t>
      </w:r>
    </w:p>
    <w:p w:rsidR="007A082A" w:rsidRDefault="00BA4F3E">
      <w:pPr>
        <w:pStyle w:val="BodyText"/>
        <w:rPr>
          <w:lang w:eastAsia="zh-CN"/>
        </w:rPr>
      </w:pPr>
      <w:r>
        <w:rPr>
          <w:lang w:eastAsia="zh-CN"/>
        </w:rPr>
        <w:t>发行人须承担任何透过</w:t>
      </w:r>
      <w:r>
        <w:rPr>
          <w:lang w:eastAsia="zh-CN"/>
        </w:rPr>
        <w:t>CHATS</w:t>
      </w:r>
      <w:r>
        <w:rPr>
          <w:lang w:eastAsia="zh-CN"/>
        </w:rPr>
        <w:t>向证券持有人支付公司行动款项而产生的付款费用（例如银行收费）。选择以</w:t>
      </w:r>
      <w:r>
        <w:rPr>
          <w:lang w:eastAsia="zh-CN"/>
        </w:rPr>
        <w:t>CHATS</w:t>
      </w:r>
      <w:r>
        <w:rPr>
          <w:lang w:eastAsia="zh-CN"/>
        </w:rPr>
        <w:t>收取公司行动款项付款的证券持有人应须支付银行可能收取的收款费用，而发行人应透过相关公告或公司通讯告知证券持有人有可能要支付</w:t>
      </w:r>
      <w:r>
        <w:rPr>
          <w:lang w:eastAsia="zh-CN"/>
        </w:rPr>
        <w:t>有关费用。</w:t>
      </w:r>
    </w:p>
    <w:p w:rsidR="007A082A" w:rsidRDefault="00BA4F3E">
      <w:pPr>
        <w:pStyle w:val="BodyText"/>
        <w:rPr>
          <w:lang w:eastAsia="zh-CN"/>
        </w:rPr>
      </w:pPr>
      <w:r>
        <w:rPr>
          <w:lang w:eastAsia="zh-CN"/>
        </w:rPr>
        <w:t>该项建议仅适用于股本证券发行人及集体投资计划发行人。拟议实施日期与香港无纸证券市场生效的日期相同。</w:t>
      </w:r>
    </w:p>
    <w:p w:rsidR="007A082A" w:rsidRPr="009D2F14" w:rsidRDefault="00BA4F3E">
      <w:pPr>
        <w:pStyle w:val="BodyText"/>
        <w:rPr>
          <w:b/>
          <w:lang w:eastAsia="zh-CN"/>
        </w:rPr>
      </w:pPr>
      <w:r w:rsidRPr="009D2F14">
        <w:rPr>
          <w:b/>
          <w:lang w:eastAsia="zh-CN"/>
        </w:rPr>
        <w:t xml:space="preserve">3. </w:t>
      </w:r>
      <w:r w:rsidRPr="009D2F14">
        <w:rPr>
          <w:b/>
          <w:lang w:eastAsia="zh-CN"/>
        </w:rPr>
        <w:t>电子支付认购款项</w:t>
      </w:r>
    </w:p>
    <w:p w:rsidR="007A082A" w:rsidRDefault="00BA4F3E">
      <w:pPr>
        <w:pStyle w:val="BodyText"/>
        <w:rPr>
          <w:lang w:eastAsia="zh-CN"/>
        </w:rPr>
      </w:pPr>
      <w:r>
        <w:rPr>
          <w:lang w:eastAsia="zh-CN"/>
        </w:rPr>
        <w:t>自</w:t>
      </w:r>
      <w:r>
        <w:rPr>
          <w:lang w:eastAsia="zh-CN"/>
        </w:rPr>
        <w:t>FINI</w:t>
      </w:r>
      <w:r>
        <w:rPr>
          <w:lang w:eastAsia="zh-CN"/>
        </w:rPr>
        <w:t>推出后，所有首次公开招股认购及上市股本证券发行人公开发售认购均须透过</w:t>
      </w:r>
      <w:r>
        <w:rPr>
          <w:lang w:eastAsia="zh-CN"/>
        </w:rPr>
        <w:t>FINI</w:t>
      </w:r>
      <w:r>
        <w:rPr>
          <w:lang w:eastAsia="zh-CN"/>
        </w:rPr>
        <w:t>平台进行。不过，联交所《上市规则》现时并未规定上市发行人向现有证券持有人发售证券时须以何种方式收取认购款项。联交所将建议规定上市发行人须为证券持有人提供选项，使其认购上市发</w:t>
      </w:r>
      <w:r>
        <w:rPr>
          <w:lang w:eastAsia="zh-CN"/>
        </w:rPr>
        <w:lastRenderedPageBreak/>
        <w:t>行人向现有证券持有人发售的证券时可选择以电子方式支付认购款项。该等发售活动包括公开招股、供股、优先发售及发行红利证券。联交所不会强制规定证券持有人须以电子方式支付认购款项。证券持有人仍可选择以纸本支票或银行本票支付认购款项。</w:t>
      </w:r>
    </w:p>
    <w:p w:rsidR="007A082A" w:rsidRDefault="00BA4F3E">
      <w:pPr>
        <w:pStyle w:val="BodyText"/>
        <w:rPr>
          <w:lang w:eastAsia="zh-CN"/>
        </w:rPr>
      </w:pPr>
      <w:r>
        <w:rPr>
          <w:lang w:eastAsia="zh-CN"/>
        </w:rPr>
        <w:t>该项建议亦为上市发行人提供了</w:t>
      </w:r>
      <w:r>
        <w:rPr>
          <w:lang w:eastAsia="zh-CN"/>
        </w:rPr>
        <w:t>选择电子支付方式（例如自动转账或转数快）的灵活选项：其无须一定要使用</w:t>
      </w:r>
      <w:r>
        <w:rPr>
          <w:lang w:eastAsia="zh-CN"/>
        </w:rPr>
        <w:t>CHATS</w:t>
      </w:r>
      <w:r>
        <w:rPr>
          <w:lang w:eastAsia="zh-CN"/>
        </w:rPr>
        <w:t>。发行人须披露有关可用于支付认购款项的方式的指示以及在相关公告或公司通讯中说明发行人的电子支付详情。联交所预期证券持有人会继续承担任何因以电子方式支付认购款项而产生的费用，这与现时的惯例一致。</w:t>
      </w:r>
    </w:p>
    <w:p w:rsidR="007A082A" w:rsidRDefault="00BA4F3E">
      <w:pPr>
        <w:pStyle w:val="BodyText"/>
        <w:rPr>
          <w:lang w:eastAsia="zh-CN"/>
        </w:rPr>
      </w:pPr>
      <w:r>
        <w:rPr>
          <w:lang w:eastAsia="zh-CN"/>
        </w:rPr>
        <w:t>该项建议将不适用于配售（包括先旧后新的配售），缘由是付认购款项的方式通常上是由配售代理、承配人与发行人厘定。</w:t>
      </w:r>
    </w:p>
    <w:p w:rsidR="007A082A" w:rsidRDefault="00BA4F3E">
      <w:pPr>
        <w:pStyle w:val="BodyText"/>
        <w:rPr>
          <w:lang w:eastAsia="zh-CN"/>
        </w:rPr>
      </w:pPr>
      <w:r>
        <w:rPr>
          <w:lang w:eastAsia="zh-CN"/>
        </w:rPr>
        <w:t>鉴于已有其他支付方式可用于债务证券及结构性产品，该等拟议的规定仅适用于股本证券发行人及集体投资计划发行人。</w:t>
      </w:r>
    </w:p>
    <w:p w:rsidR="007A082A" w:rsidRPr="00462CB7" w:rsidRDefault="00BA4F3E">
      <w:pPr>
        <w:pStyle w:val="BodyText"/>
        <w:rPr>
          <w:b/>
          <w:lang w:eastAsia="zh-CN"/>
        </w:rPr>
      </w:pPr>
      <w:r w:rsidRPr="00462CB7">
        <w:rPr>
          <w:b/>
          <w:lang w:eastAsia="zh-CN"/>
        </w:rPr>
        <w:t xml:space="preserve">4. </w:t>
      </w:r>
      <w:r w:rsidRPr="00462CB7">
        <w:rPr>
          <w:b/>
          <w:lang w:eastAsia="zh-CN"/>
        </w:rPr>
        <w:t>废除混合媒介要约</w:t>
      </w:r>
    </w:p>
    <w:p w:rsidR="007A082A" w:rsidRDefault="00BA4F3E">
      <w:pPr>
        <w:pStyle w:val="BodyText"/>
        <w:rPr>
          <w:lang w:eastAsia="zh-CN"/>
        </w:rPr>
      </w:pPr>
      <w:r>
        <w:rPr>
          <w:lang w:eastAsia="zh-CN"/>
        </w:rPr>
        <w:t>混合媒介要约于</w:t>
      </w:r>
      <w:r>
        <w:rPr>
          <w:lang w:eastAsia="zh-CN"/>
        </w:rPr>
        <w:t>2011</w:t>
      </w:r>
      <w:r>
        <w:rPr>
          <w:lang w:eastAsia="zh-CN"/>
        </w:rPr>
        <w:t>年引入，允许发行人就拟于联交所上市的股份及债券的公开发售，可以一并提供申请表格印刷本及招股章程电子版。</w:t>
      </w:r>
    </w:p>
    <w:p w:rsidR="007A082A" w:rsidRDefault="00BA4F3E">
      <w:pPr>
        <w:pStyle w:val="BodyText"/>
        <w:rPr>
          <w:lang w:eastAsia="zh-CN"/>
        </w:rPr>
      </w:pPr>
      <w:r>
        <w:rPr>
          <w:lang w:eastAsia="zh-CN"/>
        </w:rPr>
        <w:t>根据</w:t>
      </w:r>
      <w:r>
        <w:rPr>
          <w:lang w:eastAsia="zh-CN"/>
        </w:rPr>
        <w:t>2021</w:t>
      </w:r>
      <w:r>
        <w:rPr>
          <w:lang w:eastAsia="zh-CN"/>
        </w:rPr>
        <w:t>年</w:t>
      </w:r>
      <w:r>
        <w:rPr>
          <w:lang w:eastAsia="zh-CN"/>
        </w:rPr>
        <w:t>7</w:t>
      </w:r>
      <w:r>
        <w:rPr>
          <w:lang w:eastAsia="zh-CN"/>
        </w:rPr>
        <w:t>月实施的无纸化上市机制第一阶段制度，联交所推出了以下规定：与无纸化上市有关的上市文件必须仅以电子形式刊发以及对无纸化上市的认购仅可透过电子渠道申请，惟上市申请人采用混合媒介要约则除外。</w:t>
      </w:r>
      <w:r>
        <w:rPr>
          <w:lang w:eastAsia="zh-CN"/>
        </w:rPr>
        <w:t>FINI</w:t>
      </w:r>
      <w:r>
        <w:rPr>
          <w:lang w:eastAsia="zh-CN"/>
        </w:rPr>
        <w:t>于</w:t>
      </w:r>
      <w:r>
        <w:rPr>
          <w:lang w:eastAsia="zh-CN"/>
        </w:rPr>
        <w:t>2023</w:t>
      </w:r>
      <w:r>
        <w:rPr>
          <w:lang w:eastAsia="zh-CN"/>
        </w:rPr>
        <w:t>年</w:t>
      </w:r>
      <w:r>
        <w:rPr>
          <w:lang w:eastAsia="zh-CN"/>
        </w:rPr>
        <w:t>11</w:t>
      </w:r>
      <w:r>
        <w:rPr>
          <w:lang w:eastAsia="zh-CN"/>
        </w:rPr>
        <w:t>月启动，上市股票证券发行人进行的所有首次公开招股认购和公开发行认购都必须通过</w:t>
      </w:r>
      <w:r>
        <w:rPr>
          <w:lang w:eastAsia="zh-CN"/>
        </w:rPr>
        <w:t>FINI</w:t>
      </w:r>
      <w:r>
        <w:rPr>
          <w:lang w:eastAsia="zh-CN"/>
        </w:rPr>
        <w:t>平台进行。</w:t>
      </w:r>
    </w:p>
    <w:p w:rsidR="007A082A" w:rsidRDefault="00BA4F3E">
      <w:pPr>
        <w:pStyle w:val="BodyText"/>
        <w:rPr>
          <w:lang w:eastAsia="zh-CN"/>
        </w:rPr>
      </w:pPr>
      <w:r>
        <w:rPr>
          <w:lang w:eastAsia="zh-CN"/>
        </w:rPr>
        <w:t>联交所现建议完全废除混合媒介要约，由此取消以印刷本形式提供股本证</w:t>
      </w:r>
      <w:r>
        <w:rPr>
          <w:lang w:eastAsia="zh-CN"/>
        </w:rPr>
        <w:t>券、集体投资计划及债务证券公开发售的申请表格的选项。公开发售股本证券及集体投资计划的申请必须透过网上认购方式进行。债务证券公开发售的认购将继续透过诸如配售银行及／或香港结算等渠道进行。</w:t>
      </w:r>
    </w:p>
    <w:p w:rsidR="007A082A" w:rsidRDefault="00BA4F3E">
      <w:pPr>
        <w:pStyle w:val="BodyText"/>
        <w:rPr>
          <w:lang w:eastAsia="zh-CN"/>
        </w:rPr>
      </w:pPr>
      <w:r>
        <w:rPr>
          <w:lang w:eastAsia="zh-CN"/>
        </w:rPr>
        <w:t>该项建议的实施日期将在联交所咨询总结中列明。无论如何，亦不会早于引入混合媒介要约的</w:t>
      </w:r>
      <w:r>
        <w:rPr>
          <w:lang w:eastAsia="zh-CN"/>
        </w:rPr>
        <w:t>2011</w:t>
      </w:r>
      <w:r>
        <w:rPr>
          <w:lang w:eastAsia="zh-CN"/>
        </w:rPr>
        <w:t>年制定的《类别豁免公告》的废除日期。</w:t>
      </w:r>
    </w:p>
    <w:p w:rsidR="007A082A" w:rsidRPr="00462CB7" w:rsidRDefault="00BA4F3E">
      <w:pPr>
        <w:pStyle w:val="BodyText"/>
        <w:rPr>
          <w:b/>
          <w:lang w:eastAsia="zh-CN"/>
        </w:rPr>
      </w:pPr>
      <w:r w:rsidRPr="00462CB7">
        <w:rPr>
          <w:b/>
          <w:lang w:eastAsia="zh-CN"/>
        </w:rPr>
        <w:t xml:space="preserve">5. </w:t>
      </w:r>
      <w:r w:rsidRPr="00462CB7">
        <w:rPr>
          <w:b/>
          <w:lang w:eastAsia="zh-CN"/>
        </w:rPr>
        <w:t>关于联交所上市发行人举行混合式股东大会及电子投票的规定</w:t>
      </w:r>
    </w:p>
    <w:p w:rsidR="007A082A" w:rsidRDefault="00BA4F3E">
      <w:pPr>
        <w:pStyle w:val="BodyText"/>
        <w:rPr>
          <w:lang w:eastAsia="zh-CN"/>
        </w:rPr>
      </w:pPr>
      <w:r>
        <w:rPr>
          <w:lang w:eastAsia="zh-CN"/>
        </w:rPr>
        <w:t>现行联交所《上市规则》对股东大会的形式或大会上必须使用的投票表决的形式并无规定。联交所建议规定上市发行人修订其章程文件，以确保在其注册成</w:t>
      </w:r>
      <w:r>
        <w:rPr>
          <w:lang w:eastAsia="zh-CN"/>
        </w:rPr>
        <w:t>立的司法管辖区的法律或规例允许的范围内，举行混合式股东大会及进行电子投票。为遵守建议规定，上市发行人可能需要修订其章程文件，以便：</w:t>
      </w:r>
    </w:p>
    <w:p w:rsidR="007A082A" w:rsidRDefault="00BA4F3E">
      <w:pPr>
        <w:pStyle w:val="Compact"/>
        <w:numPr>
          <w:ilvl w:val="0"/>
          <w:numId w:val="8"/>
        </w:numPr>
        <w:rPr>
          <w:lang w:eastAsia="zh-CN"/>
        </w:rPr>
      </w:pPr>
      <w:r>
        <w:rPr>
          <w:lang w:eastAsia="zh-CN"/>
        </w:rPr>
        <w:t>将其章程文件中任何会使其不能举行混合式股东大会及进行电子投票的条文删去；及／或</w:t>
      </w:r>
    </w:p>
    <w:p w:rsidR="007A082A" w:rsidRDefault="00BA4F3E">
      <w:pPr>
        <w:pStyle w:val="Compact"/>
        <w:numPr>
          <w:ilvl w:val="0"/>
          <w:numId w:val="8"/>
        </w:numPr>
        <w:rPr>
          <w:lang w:eastAsia="zh-CN"/>
        </w:rPr>
      </w:pPr>
      <w:r>
        <w:rPr>
          <w:lang w:eastAsia="zh-CN"/>
        </w:rPr>
        <w:t>在其章程文件中加入允许进行混合式股东大会及电子投票的明确条文。</w:t>
      </w:r>
    </w:p>
    <w:p w:rsidR="007A082A" w:rsidRDefault="00BA4F3E">
      <w:pPr>
        <w:pStyle w:val="FirstParagraph"/>
        <w:rPr>
          <w:lang w:eastAsia="zh-CN"/>
        </w:rPr>
      </w:pPr>
      <w:r>
        <w:rPr>
          <w:lang w:eastAsia="zh-CN"/>
        </w:rPr>
        <w:t>但联交所不会硬性规定发行人采用混合式股东大会及电子投票。上市发行人可按其运营需要及股东权益以其认为最合适的形式及方式举行股东大会及提供投票机制。若发行人选择举行混合式股东大会，其必须遵守《主板规则》及《</w:t>
      </w:r>
      <w:r>
        <w:rPr>
          <w:lang w:eastAsia="zh-CN"/>
        </w:rPr>
        <w:t xml:space="preserve">GEM </w:t>
      </w:r>
      <w:r>
        <w:rPr>
          <w:lang w:eastAsia="zh-CN"/>
        </w:rPr>
        <w:t>规则》附录</w:t>
      </w:r>
      <w:r>
        <w:rPr>
          <w:lang w:eastAsia="zh-CN"/>
        </w:rPr>
        <w:t xml:space="preserve"> A1</w:t>
      </w:r>
      <w:r>
        <w:rPr>
          <w:lang w:eastAsia="zh-CN"/>
        </w:rPr>
        <w:t>的核心股东</w:t>
      </w:r>
      <w:r>
        <w:rPr>
          <w:lang w:eastAsia="zh-CN"/>
        </w:rPr>
        <w:t>保障水平所载的规定，并制定措施确保证券持有人在股东大会上享有发言权及投票权</w:t>
      </w:r>
      <w:hyperlink w:anchor="footnote-598-1">
        <w:r>
          <w:rPr>
            <w:vertAlign w:val="superscript"/>
            <w:lang w:eastAsia="zh-CN"/>
          </w:rPr>
          <w:t>1</w:t>
        </w:r>
      </w:hyperlink>
      <w:r>
        <w:rPr>
          <w:lang w:eastAsia="zh-CN"/>
        </w:rPr>
        <w:t>。联交所建议，可让证券持有人在大会上可选择以口头或透过在指定平台输入问题的电子方式作出提问，并可使用电子投票系统投票表决。</w:t>
      </w:r>
    </w:p>
    <w:p w:rsidR="007A082A" w:rsidRDefault="00BA4F3E">
      <w:pPr>
        <w:pStyle w:val="BodyText"/>
        <w:rPr>
          <w:lang w:eastAsia="zh-CN"/>
        </w:rPr>
      </w:pPr>
      <w:r>
        <w:rPr>
          <w:lang w:eastAsia="zh-CN"/>
        </w:rPr>
        <w:t>该建议仅适用于股本证券发行人。联交所将在谘询总结中明确此项建议的拟定实施日期以及一个短暂过渡期的具体细节。</w:t>
      </w:r>
    </w:p>
    <w:p w:rsidR="007A082A" w:rsidRPr="00462CB7" w:rsidRDefault="00BA4F3E">
      <w:pPr>
        <w:pStyle w:val="BodyText"/>
        <w:rPr>
          <w:b/>
          <w:lang w:eastAsia="zh-CN"/>
        </w:rPr>
      </w:pPr>
      <w:r w:rsidRPr="00462CB7">
        <w:rPr>
          <w:b/>
          <w:lang w:eastAsia="zh-CN"/>
        </w:rPr>
        <w:t xml:space="preserve">6. </w:t>
      </w:r>
      <w:r w:rsidRPr="00462CB7">
        <w:rPr>
          <w:b/>
          <w:lang w:eastAsia="zh-CN"/>
        </w:rPr>
        <w:t>按发行人类型划分的无纸化机制建议的适用性</w:t>
      </w:r>
    </w:p>
    <w:p w:rsidR="007A082A" w:rsidRDefault="00BA4F3E">
      <w:pPr>
        <w:pStyle w:val="BodyText"/>
        <w:rPr>
          <w:lang w:eastAsia="zh-CN"/>
        </w:rPr>
      </w:pPr>
      <w:r>
        <w:rPr>
          <w:lang w:eastAsia="zh-CN"/>
        </w:rPr>
        <w:lastRenderedPageBreak/>
        <w:t>以下表格按发行人类型总结了无纸化机制建议的适用性：</w:t>
      </w:r>
    </w:p>
    <w:tbl>
      <w:tblPr>
        <w:tblW w:w="4999" w:type="pct"/>
        <w:tblLook w:val="07C0" w:firstRow="0" w:lastRow="1" w:firstColumn="1" w:lastColumn="1" w:noHBand="1" w:noVBand="1"/>
      </w:tblPr>
      <w:tblGrid>
        <w:gridCol w:w="1445"/>
        <w:gridCol w:w="1814"/>
        <w:gridCol w:w="2184"/>
        <w:gridCol w:w="1814"/>
        <w:gridCol w:w="1321"/>
        <w:gridCol w:w="1814"/>
      </w:tblGrid>
      <w:tr w:rsidR="007A082A">
        <w:tc>
          <w:tcPr>
            <w:tcW w:w="0" w:type="auto"/>
          </w:tcPr>
          <w:p w:rsidR="007A082A" w:rsidRDefault="007A082A">
            <w:pPr>
              <w:rPr>
                <w:lang w:eastAsia="zh-CN"/>
              </w:rPr>
            </w:pPr>
          </w:p>
        </w:tc>
        <w:tc>
          <w:tcPr>
            <w:tcW w:w="0" w:type="auto"/>
          </w:tcPr>
          <w:p w:rsidR="007A082A" w:rsidRDefault="00BA4F3E">
            <w:pPr>
              <w:rPr>
                <w:lang w:eastAsia="zh-CN"/>
              </w:rPr>
            </w:pPr>
            <w:r>
              <w:rPr>
                <w:b/>
                <w:lang w:eastAsia="zh-CN"/>
              </w:rPr>
              <w:t>证券持有人发出的电子指示</w:t>
            </w:r>
          </w:p>
        </w:tc>
        <w:tc>
          <w:tcPr>
            <w:tcW w:w="0" w:type="auto"/>
          </w:tcPr>
          <w:p w:rsidR="007A082A" w:rsidRDefault="00BA4F3E">
            <w:pPr>
              <w:rPr>
                <w:lang w:eastAsia="zh-CN"/>
              </w:rPr>
            </w:pPr>
            <w:r>
              <w:rPr>
                <w:b/>
                <w:lang w:eastAsia="zh-CN"/>
              </w:rPr>
              <w:t>以电子方式实时支付公司行动款项</w:t>
            </w:r>
          </w:p>
        </w:tc>
        <w:tc>
          <w:tcPr>
            <w:tcW w:w="0" w:type="auto"/>
          </w:tcPr>
          <w:p w:rsidR="007A082A" w:rsidRDefault="00BA4F3E">
            <w:pPr>
              <w:rPr>
                <w:lang w:eastAsia="zh-CN"/>
              </w:rPr>
            </w:pPr>
            <w:r>
              <w:rPr>
                <w:b/>
                <w:lang w:eastAsia="zh-CN"/>
              </w:rPr>
              <w:t>透过电子方式支付认购款项</w:t>
            </w:r>
          </w:p>
        </w:tc>
        <w:tc>
          <w:tcPr>
            <w:tcW w:w="0" w:type="auto"/>
          </w:tcPr>
          <w:p w:rsidR="007A082A" w:rsidRDefault="00BA4F3E">
            <w:r>
              <w:rPr>
                <w:b/>
              </w:rPr>
              <w:t>废除混合媒介要约</w:t>
            </w:r>
          </w:p>
        </w:tc>
        <w:tc>
          <w:tcPr>
            <w:tcW w:w="0" w:type="auto"/>
          </w:tcPr>
          <w:p w:rsidR="007A082A" w:rsidRDefault="00BA4F3E">
            <w:pPr>
              <w:rPr>
                <w:lang w:eastAsia="zh-CN"/>
              </w:rPr>
            </w:pPr>
            <w:r>
              <w:rPr>
                <w:b/>
                <w:lang w:eastAsia="zh-CN"/>
              </w:rPr>
              <w:t>混合式股东大会及电子投票</w:t>
            </w:r>
          </w:p>
        </w:tc>
      </w:tr>
      <w:tr w:rsidR="007A082A">
        <w:tc>
          <w:tcPr>
            <w:tcW w:w="0" w:type="auto"/>
          </w:tcPr>
          <w:p w:rsidR="007A082A" w:rsidRDefault="00BA4F3E">
            <w:r>
              <w:rPr>
                <w:b/>
              </w:rPr>
              <w:t>股本证券发行人</w:t>
            </w:r>
          </w:p>
        </w:tc>
        <w:tc>
          <w:tcPr>
            <w:tcW w:w="0" w:type="auto"/>
          </w:tcPr>
          <w:p w:rsidR="007A082A" w:rsidRDefault="00BA4F3E">
            <w:r>
              <w:t>适用</w:t>
            </w:r>
          </w:p>
        </w:tc>
        <w:tc>
          <w:tcPr>
            <w:tcW w:w="0" w:type="auto"/>
          </w:tcPr>
          <w:p w:rsidR="007A082A" w:rsidRDefault="00BA4F3E">
            <w:r>
              <w:t>适用</w:t>
            </w:r>
          </w:p>
        </w:tc>
        <w:tc>
          <w:tcPr>
            <w:tcW w:w="0" w:type="auto"/>
          </w:tcPr>
          <w:p w:rsidR="007A082A" w:rsidRDefault="00BA4F3E">
            <w:r>
              <w:t>适用</w:t>
            </w:r>
          </w:p>
        </w:tc>
        <w:tc>
          <w:tcPr>
            <w:tcW w:w="0" w:type="auto"/>
          </w:tcPr>
          <w:p w:rsidR="007A082A" w:rsidRDefault="00BA4F3E">
            <w:r>
              <w:t>适用</w:t>
            </w:r>
          </w:p>
        </w:tc>
        <w:tc>
          <w:tcPr>
            <w:tcW w:w="0" w:type="auto"/>
          </w:tcPr>
          <w:p w:rsidR="007A082A" w:rsidRDefault="00BA4F3E">
            <w:r>
              <w:t>适用</w:t>
            </w:r>
          </w:p>
        </w:tc>
      </w:tr>
      <w:tr w:rsidR="007A082A">
        <w:tc>
          <w:tcPr>
            <w:tcW w:w="0" w:type="auto"/>
          </w:tcPr>
          <w:p w:rsidR="007A082A" w:rsidRDefault="00BA4F3E">
            <w:r>
              <w:rPr>
                <w:b/>
              </w:rPr>
              <w:t>集体投资计划</w:t>
            </w:r>
          </w:p>
        </w:tc>
        <w:tc>
          <w:tcPr>
            <w:tcW w:w="0" w:type="auto"/>
          </w:tcPr>
          <w:p w:rsidR="007A082A" w:rsidRDefault="00BA4F3E">
            <w:r>
              <w:t>不适用</w:t>
            </w:r>
          </w:p>
        </w:tc>
        <w:tc>
          <w:tcPr>
            <w:tcW w:w="0" w:type="auto"/>
          </w:tcPr>
          <w:p w:rsidR="007A082A" w:rsidRDefault="00BA4F3E">
            <w:r>
              <w:t>适用</w:t>
            </w:r>
          </w:p>
        </w:tc>
        <w:tc>
          <w:tcPr>
            <w:tcW w:w="0" w:type="auto"/>
          </w:tcPr>
          <w:p w:rsidR="007A082A" w:rsidRDefault="00BA4F3E">
            <w:r>
              <w:t>适用</w:t>
            </w:r>
          </w:p>
        </w:tc>
        <w:tc>
          <w:tcPr>
            <w:tcW w:w="0" w:type="auto"/>
          </w:tcPr>
          <w:p w:rsidR="007A082A" w:rsidRDefault="00BA4F3E">
            <w:r>
              <w:t>适用</w:t>
            </w:r>
          </w:p>
        </w:tc>
        <w:tc>
          <w:tcPr>
            <w:tcW w:w="0" w:type="auto"/>
          </w:tcPr>
          <w:p w:rsidR="007A082A" w:rsidRDefault="00BA4F3E">
            <w:r>
              <w:t>不适用</w:t>
            </w:r>
          </w:p>
        </w:tc>
      </w:tr>
      <w:tr w:rsidR="007A082A">
        <w:tc>
          <w:tcPr>
            <w:tcW w:w="0" w:type="auto"/>
          </w:tcPr>
          <w:p w:rsidR="007A082A" w:rsidRDefault="00BA4F3E">
            <w:r>
              <w:rPr>
                <w:b/>
              </w:rPr>
              <w:t>结构性产品发行人</w:t>
            </w:r>
          </w:p>
        </w:tc>
        <w:tc>
          <w:tcPr>
            <w:tcW w:w="0" w:type="auto"/>
          </w:tcPr>
          <w:p w:rsidR="007A082A" w:rsidRDefault="00BA4F3E">
            <w:r>
              <w:t>仅非会议指示</w:t>
            </w:r>
          </w:p>
        </w:tc>
        <w:tc>
          <w:tcPr>
            <w:tcW w:w="0" w:type="auto"/>
          </w:tcPr>
          <w:p w:rsidR="007A082A" w:rsidRDefault="00BA4F3E">
            <w:r>
              <w:t>不适用</w:t>
            </w:r>
          </w:p>
        </w:tc>
        <w:tc>
          <w:tcPr>
            <w:tcW w:w="0" w:type="auto"/>
          </w:tcPr>
          <w:p w:rsidR="007A082A" w:rsidRDefault="00BA4F3E">
            <w:r>
              <w:t>不适用</w:t>
            </w:r>
          </w:p>
        </w:tc>
        <w:tc>
          <w:tcPr>
            <w:tcW w:w="0" w:type="auto"/>
          </w:tcPr>
          <w:p w:rsidR="007A082A" w:rsidRDefault="00BA4F3E">
            <w:r>
              <w:t>不适用</w:t>
            </w:r>
          </w:p>
        </w:tc>
        <w:tc>
          <w:tcPr>
            <w:tcW w:w="0" w:type="auto"/>
          </w:tcPr>
          <w:p w:rsidR="007A082A" w:rsidRDefault="00BA4F3E">
            <w:r>
              <w:t>不适用</w:t>
            </w:r>
          </w:p>
        </w:tc>
      </w:tr>
      <w:tr w:rsidR="007A082A">
        <w:tc>
          <w:tcPr>
            <w:tcW w:w="0" w:type="auto"/>
          </w:tcPr>
          <w:p w:rsidR="007A082A" w:rsidRDefault="00BA4F3E">
            <w:r>
              <w:rPr>
                <w:b/>
              </w:rPr>
              <w:t>公众债务证券发行人</w:t>
            </w:r>
          </w:p>
        </w:tc>
        <w:tc>
          <w:tcPr>
            <w:tcW w:w="0" w:type="auto"/>
          </w:tcPr>
          <w:p w:rsidR="007A082A" w:rsidRDefault="00BA4F3E">
            <w:r>
              <w:t>仅会议指示</w:t>
            </w:r>
          </w:p>
        </w:tc>
        <w:tc>
          <w:tcPr>
            <w:tcW w:w="0" w:type="auto"/>
          </w:tcPr>
          <w:p w:rsidR="007A082A" w:rsidRDefault="00BA4F3E">
            <w:r>
              <w:t>不适用</w:t>
            </w:r>
          </w:p>
        </w:tc>
        <w:tc>
          <w:tcPr>
            <w:tcW w:w="0" w:type="auto"/>
          </w:tcPr>
          <w:p w:rsidR="007A082A" w:rsidRDefault="00BA4F3E">
            <w:r>
              <w:t>不适用</w:t>
            </w:r>
          </w:p>
        </w:tc>
        <w:tc>
          <w:tcPr>
            <w:tcW w:w="0" w:type="auto"/>
          </w:tcPr>
          <w:p w:rsidR="007A082A" w:rsidRDefault="00BA4F3E">
            <w:r>
              <w:t>适用</w:t>
            </w:r>
          </w:p>
        </w:tc>
        <w:tc>
          <w:tcPr>
            <w:tcW w:w="0" w:type="auto"/>
          </w:tcPr>
          <w:p w:rsidR="007A082A" w:rsidRDefault="00BA4F3E">
            <w:r>
              <w:t>不适用</w:t>
            </w:r>
          </w:p>
        </w:tc>
      </w:tr>
      <w:tr w:rsidR="007A082A">
        <w:tc>
          <w:tcPr>
            <w:tcW w:w="0" w:type="auto"/>
          </w:tcPr>
          <w:p w:rsidR="007A082A" w:rsidRDefault="00BA4F3E">
            <w:r>
              <w:rPr>
                <w:b/>
              </w:rPr>
              <w:t>专业债务证券发行人</w:t>
            </w:r>
          </w:p>
        </w:tc>
        <w:tc>
          <w:tcPr>
            <w:tcW w:w="0" w:type="auto"/>
          </w:tcPr>
          <w:p w:rsidR="007A082A" w:rsidRDefault="00BA4F3E">
            <w:r>
              <w:t>不适用</w:t>
            </w:r>
          </w:p>
        </w:tc>
        <w:tc>
          <w:tcPr>
            <w:tcW w:w="0" w:type="auto"/>
          </w:tcPr>
          <w:p w:rsidR="007A082A" w:rsidRDefault="00BA4F3E">
            <w:r>
              <w:t>不适用</w:t>
            </w:r>
          </w:p>
        </w:tc>
        <w:tc>
          <w:tcPr>
            <w:tcW w:w="0" w:type="auto"/>
          </w:tcPr>
          <w:p w:rsidR="007A082A" w:rsidRDefault="00BA4F3E">
            <w:r>
              <w:t>不适用</w:t>
            </w:r>
          </w:p>
        </w:tc>
        <w:tc>
          <w:tcPr>
            <w:tcW w:w="0" w:type="auto"/>
          </w:tcPr>
          <w:p w:rsidR="007A082A" w:rsidRDefault="00BA4F3E">
            <w:r>
              <w:t>不适用</w:t>
            </w:r>
          </w:p>
        </w:tc>
        <w:tc>
          <w:tcPr>
            <w:tcW w:w="0" w:type="auto"/>
          </w:tcPr>
          <w:p w:rsidR="007A082A" w:rsidRDefault="00BA4F3E">
            <w:r>
              <w:t>不适用</w:t>
            </w:r>
          </w:p>
        </w:tc>
      </w:tr>
    </w:tbl>
    <w:p w:rsidR="007A082A" w:rsidRPr="00462CB7" w:rsidRDefault="00BA4F3E">
      <w:pPr>
        <w:pStyle w:val="BodyText"/>
        <w:rPr>
          <w:b/>
          <w:color w:val="C00000"/>
          <w:lang w:eastAsia="zh-CN"/>
        </w:rPr>
      </w:pPr>
      <w:r w:rsidRPr="00462CB7">
        <w:rPr>
          <w:b/>
          <w:color w:val="C00000"/>
          <w:lang w:eastAsia="zh-CN"/>
        </w:rPr>
        <w:t>联交所就联交所上市发行人公司通讯的网络无障碍性征求反馈意见</w:t>
      </w:r>
    </w:p>
    <w:p w:rsidR="007A082A" w:rsidRDefault="00BA4F3E">
      <w:pPr>
        <w:pStyle w:val="BodyText"/>
        <w:rPr>
          <w:lang w:eastAsia="zh-CN"/>
        </w:rPr>
      </w:pPr>
      <w:r>
        <w:rPr>
          <w:lang w:eastAsia="zh-CN"/>
        </w:rPr>
        <w:t>联交所此前进行谘询时收到了一些建议，即联交所《上市规则》或《企业管治守则》应参照网络无障碍性指引，比如由万维网联盟开发的《无障碍网页内容指引》。这些指引是网络无障碍性方面的国际标准，旨在帮助残障人士更好地获取网络内容。</w:t>
      </w:r>
    </w:p>
    <w:p w:rsidR="007A082A" w:rsidRDefault="00BA4F3E">
      <w:pPr>
        <w:pStyle w:val="BodyText"/>
        <w:rPr>
          <w:lang w:eastAsia="zh-CN"/>
        </w:rPr>
      </w:pPr>
      <w:r>
        <w:rPr>
          <w:lang w:eastAsia="zh-CN"/>
        </w:rPr>
        <w:t>联交所目前正在就于《上市规则》（包括例如《企业管治守则》）或联交所的指引加入或提述《无障碍网页内容指引》征求市场意见，从而使上市发行人根据联交所《上市规则》在其网站上发布的公司通讯均符合有关指引。</w:t>
      </w:r>
    </w:p>
    <w:p w:rsidR="007A082A" w:rsidRPr="00462CB7" w:rsidRDefault="00BA4F3E">
      <w:pPr>
        <w:pStyle w:val="BodyText"/>
        <w:rPr>
          <w:b/>
          <w:color w:val="C00000"/>
          <w:lang w:eastAsia="zh-CN"/>
        </w:rPr>
      </w:pPr>
      <w:r w:rsidRPr="00462CB7">
        <w:rPr>
          <w:b/>
          <w:color w:val="C00000"/>
          <w:lang w:eastAsia="zh-CN"/>
        </w:rPr>
        <w:t>联交所其它规则修订的建议</w:t>
      </w:r>
    </w:p>
    <w:p w:rsidR="007A082A" w:rsidRDefault="00BA4F3E">
      <w:pPr>
        <w:pStyle w:val="BodyText"/>
        <w:rPr>
          <w:lang w:eastAsia="zh-CN"/>
        </w:rPr>
      </w:pPr>
      <w:r>
        <w:rPr>
          <w:lang w:eastAsia="zh-CN"/>
        </w:rPr>
        <w:t>联交所还提议对《上市规则》进行多项细微修订，这些修订不会涉及联交所任</w:t>
      </w:r>
      <w:r>
        <w:rPr>
          <w:lang w:eastAsia="zh-CN"/>
        </w:rPr>
        <w:t>何政策的改变。</w:t>
      </w:r>
    </w:p>
    <w:p w:rsidR="007A082A" w:rsidRPr="00462CB7" w:rsidRDefault="00BA4F3E">
      <w:pPr>
        <w:pStyle w:val="BodyText"/>
        <w:rPr>
          <w:b/>
          <w:lang w:eastAsia="zh-CN"/>
        </w:rPr>
      </w:pPr>
      <w:r w:rsidRPr="00462CB7">
        <w:rPr>
          <w:b/>
          <w:lang w:eastAsia="zh-CN"/>
        </w:rPr>
        <w:t>澄清豁免遵守刊发年度业绩／报告规定的条件</w:t>
      </w:r>
    </w:p>
    <w:p w:rsidR="007A082A" w:rsidRDefault="00BA4F3E">
      <w:pPr>
        <w:pStyle w:val="BodyText"/>
        <w:rPr>
          <w:lang w:eastAsia="zh-CN"/>
        </w:rPr>
      </w:pPr>
      <w:r>
        <w:rPr>
          <w:lang w:eastAsia="zh-CN"/>
        </w:rPr>
        <w:t>《主板规则》第</w:t>
      </w:r>
      <w:r>
        <w:rPr>
          <w:lang w:eastAsia="zh-CN"/>
        </w:rPr>
        <w:t>13.46(2)</w:t>
      </w:r>
      <w:r>
        <w:rPr>
          <w:lang w:eastAsia="zh-CN"/>
        </w:rPr>
        <w:t>条注</w:t>
      </w:r>
      <w:r>
        <w:rPr>
          <w:lang w:eastAsia="zh-CN"/>
        </w:rPr>
        <w:t>4</w:t>
      </w:r>
      <w:r>
        <w:rPr>
          <w:lang w:eastAsia="zh-CN"/>
        </w:rPr>
        <w:t>订明了豁免遵守刊发及分发年度业绩及报告规定的条件。目前，这些豁免条件仅适用于授予海外发行人和中国内地发行人，尽管最初是打算适用于所有新上市的发行人</w:t>
      </w:r>
      <w:hyperlink w:anchor="footnote-598-2">
        <w:r>
          <w:rPr>
            <w:vertAlign w:val="superscript"/>
            <w:lang w:eastAsia="zh-CN"/>
          </w:rPr>
          <w:t>2</w:t>
        </w:r>
      </w:hyperlink>
      <w:r>
        <w:rPr>
          <w:lang w:eastAsia="zh-CN"/>
        </w:rPr>
        <w:t>。因此，联交所建议在《主板规则》第</w:t>
      </w:r>
      <w:r>
        <w:rPr>
          <w:lang w:eastAsia="zh-CN"/>
        </w:rPr>
        <w:t>13.46(1)</w:t>
      </w:r>
      <w:r>
        <w:rPr>
          <w:lang w:eastAsia="zh-CN"/>
        </w:rPr>
        <w:t>条中增加新注释来阐明《主板规则》，以便将相同的豁免条件适用于其他发行人。</w:t>
      </w:r>
    </w:p>
    <w:p w:rsidR="007A082A" w:rsidRPr="00462CB7" w:rsidRDefault="00BA4F3E">
      <w:pPr>
        <w:pStyle w:val="BodyText"/>
        <w:rPr>
          <w:b/>
          <w:lang w:eastAsia="zh-CN"/>
        </w:rPr>
      </w:pPr>
      <w:r w:rsidRPr="00462CB7">
        <w:rPr>
          <w:b/>
          <w:lang w:eastAsia="zh-CN"/>
        </w:rPr>
        <w:t>将有关规定调整一致</w:t>
      </w:r>
    </w:p>
    <w:p w:rsidR="007A082A" w:rsidRDefault="00BA4F3E">
      <w:pPr>
        <w:pStyle w:val="BodyText"/>
        <w:rPr>
          <w:lang w:eastAsia="zh-CN"/>
        </w:rPr>
      </w:pPr>
      <w:r>
        <w:rPr>
          <w:lang w:eastAsia="zh-CN"/>
        </w:rPr>
        <w:t>联交所提议对《上市规则》作出如下修订：</w:t>
      </w:r>
    </w:p>
    <w:p w:rsidR="007A082A" w:rsidRDefault="00BA4F3E">
      <w:pPr>
        <w:numPr>
          <w:ilvl w:val="0"/>
          <w:numId w:val="9"/>
        </w:numPr>
        <w:rPr>
          <w:lang w:eastAsia="zh-CN"/>
        </w:rPr>
      </w:pPr>
      <w:r>
        <w:rPr>
          <w:b/>
          <w:i/>
          <w:lang w:eastAsia="zh-CN"/>
        </w:rPr>
        <w:t>删除独立非执行董事的年度确认函</w:t>
      </w:r>
    </w:p>
    <w:p w:rsidR="007A082A" w:rsidRDefault="00BA4F3E">
      <w:pPr>
        <w:numPr>
          <w:ilvl w:val="0"/>
          <w:numId w:val="1"/>
        </w:numPr>
        <w:rPr>
          <w:lang w:eastAsia="zh-CN"/>
        </w:rPr>
      </w:pPr>
      <w:r>
        <w:rPr>
          <w:lang w:eastAsia="zh-CN"/>
        </w:rPr>
        <w:t>2023</w:t>
      </w:r>
      <w:r>
        <w:rPr>
          <w:lang w:eastAsia="zh-CN"/>
        </w:rPr>
        <w:t>年</w:t>
      </w:r>
      <w:r>
        <w:rPr>
          <w:lang w:eastAsia="zh-CN"/>
        </w:rPr>
        <w:t>12</w:t>
      </w:r>
      <w:r>
        <w:rPr>
          <w:lang w:eastAsia="zh-CN"/>
        </w:rPr>
        <w:t>月，《主板规则》第</w:t>
      </w:r>
      <w:r>
        <w:rPr>
          <w:lang w:eastAsia="zh-CN"/>
        </w:rPr>
        <w:t>3.13</w:t>
      </w:r>
      <w:r>
        <w:rPr>
          <w:lang w:eastAsia="zh-CN"/>
        </w:rPr>
        <w:t>条和《</w:t>
      </w:r>
      <w:r>
        <w:rPr>
          <w:lang w:eastAsia="zh-CN"/>
        </w:rPr>
        <w:t>GEM</w:t>
      </w:r>
      <w:r>
        <w:rPr>
          <w:lang w:eastAsia="zh-CN"/>
        </w:rPr>
        <w:t>规则》第</w:t>
      </w:r>
      <w:r>
        <w:rPr>
          <w:lang w:eastAsia="zh-CN"/>
        </w:rPr>
        <w:t>5.09</w:t>
      </w:r>
      <w:r>
        <w:rPr>
          <w:lang w:eastAsia="zh-CN"/>
        </w:rPr>
        <w:t>条中已删除独立非执行董事须就其独立性向发行人提供年度确认函的规定。联交所现建议取消要求上市发行人在其年度报告中按照《主板规则》附录</w:t>
      </w:r>
      <w:r>
        <w:rPr>
          <w:lang w:eastAsia="zh-CN"/>
        </w:rPr>
        <w:t>D2</w:t>
      </w:r>
      <w:r>
        <w:rPr>
          <w:lang w:eastAsia="zh-CN"/>
        </w:rPr>
        <w:t>第</w:t>
      </w:r>
      <w:r>
        <w:rPr>
          <w:lang w:eastAsia="zh-CN"/>
        </w:rPr>
        <w:t>12B</w:t>
      </w:r>
      <w:r>
        <w:rPr>
          <w:lang w:eastAsia="zh-CN"/>
        </w:rPr>
        <w:t>段以及《</w:t>
      </w:r>
      <w:r>
        <w:rPr>
          <w:lang w:eastAsia="zh-CN"/>
        </w:rPr>
        <w:t>GEM</w:t>
      </w:r>
      <w:r>
        <w:rPr>
          <w:lang w:eastAsia="zh-CN"/>
        </w:rPr>
        <w:t>规则》第</w:t>
      </w:r>
      <w:r>
        <w:rPr>
          <w:lang w:eastAsia="zh-CN"/>
        </w:rPr>
        <w:t>18.39B</w:t>
      </w:r>
      <w:r>
        <w:rPr>
          <w:lang w:eastAsia="zh-CN"/>
        </w:rPr>
        <w:t>条确认是否已收到其独立非执行董事的独立性年度确认函这一规定，以与《主板规则》第</w:t>
      </w:r>
      <w:r>
        <w:rPr>
          <w:lang w:eastAsia="zh-CN"/>
        </w:rPr>
        <w:t>3.13</w:t>
      </w:r>
      <w:r>
        <w:rPr>
          <w:lang w:eastAsia="zh-CN"/>
        </w:rPr>
        <w:t>条和《</w:t>
      </w:r>
      <w:r>
        <w:rPr>
          <w:lang w:eastAsia="zh-CN"/>
        </w:rPr>
        <w:t>GEM</w:t>
      </w:r>
      <w:r>
        <w:rPr>
          <w:lang w:eastAsia="zh-CN"/>
        </w:rPr>
        <w:t>规则》第</w:t>
      </w:r>
      <w:r>
        <w:rPr>
          <w:lang w:eastAsia="zh-CN"/>
        </w:rPr>
        <w:t>5.09</w:t>
      </w:r>
      <w:r>
        <w:rPr>
          <w:lang w:eastAsia="zh-CN"/>
        </w:rPr>
        <w:t>条保持一致。</w:t>
      </w:r>
    </w:p>
    <w:p w:rsidR="007A082A" w:rsidRDefault="00BA4F3E">
      <w:pPr>
        <w:numPr>
          <w:ilvl w:val="0"/>
          <w:numId w:val="9"/>
        </w:numPr>
      </w:pPr>
      <w:r>
        <w:rPr>
          <w:b/>
          <w:i/>
        </w:rPr>
        <w:t>上市申请的文件要求</w:t>
      </w:r>
    </w:p>
    <w:p w:rsidR="007A082A" w:rsidRDefault="00BA4F3E">
      <w:pPr>
        <w:numPr>
          <w:ilvl w:val="0"/>
          <w:numId w:val="1"/>
        </w:numPr>
        <w:rPr>
          <w:lang w:eastAsia="zh-CN"/>
        </w:rPr>
      </w:pPr>
      <w:r>
        <w:rPr>
          <w:lang w:eastAsia="zh-CN"/>
        </w:rPr>
        <w:lastRenderedPageBreak/>
        <w:t>联交所提议修订《主板规则》第</w:t>
      </w:r>
      <w:r>
        <w:rPr>
          <w:lang w:eastAsia="zh-CN"/>
        </w:rPr>
        <w:t>9.22(2)(c)</w:t>
      </w:r>
      <w:r>
        <w:rPr>
          <w:lang w:eastAsia="zh-CN"/>
        </w:rPr>
        <w:t>条，以使上市发行人提出的上市申请所需文件</w:t>
      </w:r>
      <w:r>
        <w:rPr>
          <w:lang w:eastAsia="zh-CN"/>
        </w:rPr>
        <w:t>要求（即招股章程翻译的要求）与《上市规则》第</w:t>
      </w:r>
      <w:r>
        <w:rPr>
          <w:lang w:eastAsia="zh-CN"/>
        </w:rPr>
        <w:t>9.22(33)(c)</w:t>
      </w:r>
      <w:r>
        <w:rPr>
          <w:lang w:eastAsia="zh-CN"/>
        </w:rPr>
        <w:t>条所规定的新上市申请人的文件要求保持一致。</w:t>
      </w:r>
    </w:p>
    <w:p w:rsidR="007A082A" w:rsidRDefault="00BA4F3E">
      <w:pPr>
        <w:numPr>
          <w:ilvl w:val="0"/>
          <w:numId w:val="9"/>
        </w:numPr>
        <w:rPr>
          <w:lang w:eastAsia="zh-CN"/>
        </w:rPr>
      </w:pPr>
      <w:r>
        <w:rPr>
          <w:b/>
          <w:i/>
          <w:lang w:eastAsia="zh-CN"/>
        </w:rPr>
        <w:t>将《主板规则》及《</w:t>
      </w:r>
      <w:r>
        <w:rPr>
          <w:b/>
          <w:i/>
          <w:lang w:eastAsia="zh-CN"/>
        </w:rPr>
        <w:t xml:space="preserve">GEM </w:t>
      </w:r>
      <w:r>
        <w:rPr>
          <w:b/>
          <w:i/>
          <w:lang w:eastAsia="zh-CN"/>
        </w:rPr>
        <w:t>规则》规定调整一致</w:t>
      </w:r>
    </w:p>
    <w:p w:rsidR="007A082A" w:rsidRDefault="00BA4F3E">
      <w:pPr>
        <w:pStyle w:val="Compact"/>
        <w:numPr>
          <w:ilvl w:val="1"/>
          <w:numId w:val="10"/>
        </w:numPr>
        <w:rPr>
          <w:lang w:eastAsia="zh-CN"/>
        </w:rPr>
      </w:pPr>
      <w:r>
        <w:rPr>
          <w:lang w:eastAsia="zh-CN"/>
        </w:rPr>
        <w:t>由于《主板上市规则》中并无类似要求，联交所提议取消《</w:t>
      </w:r>
      <w:r>
        <w:rPr>
          <w:lang w:eastAsia="zh-CN"/>
        </w:rPr>
        <w:t>GEM</w:t>
      </w:r>
      <w:r>
        <w:rPr>
          <w:lang w:eastAsia="zh-CN"/>
        </w:rPr>
        <w:t>规则》第</w:t>
      </w:r>
      <w:r>
        <w:rPr>
          <w:lang w:eastAsia="zh-CN"/>
        </w:rPr>
        <w:t>18.50C</w:t>
      </w:r>
      <w:r>
        <w:rPr>
          <w:lang w:eastAsia="zh-CN"/>
        </w:rPr>
        <w:t>条规定上市发行人须在财政年度结束后的三个月内，将年度报告呈交联交所，以便登载在联交所网站上的规定。根据《主板规则》第</w:t>
      </w:r>
      <w:r>
        <w:rPr>
          <w:lang w:eastAsia="zh-CN"/>
        </w:rPr>
        <w:t>13.46</w:t>
      </w:r>
      <w:r>
        <w:rPr>
          <w:lang w:eastAsia="zh-CN"/>
        </w:rPr>
        <w:t>条及《</w:t>
      </w:r>
      <w:r>
        <w:rPr>
          <w:lang w:eastAsia="zh-CN"/>
        </w:rPr>
        <w:t>GEM</w:t>
      </w:r>
      <w:r>
        <w:rPr>
          <w:lang w:eastAsia="zh-CN"/>
        </w:rPr>
        <w:t>规则》第</w:t>
      </w:r>
      <w:r>
        <w:rPr>
          <w:lang w:eastAsia="zh-CN"/>
        </w:rPr>
        <w:t>18.03</w:t>
      </w:r>
      <w:r>
        <w:rPr>
          <w:lang w:eastAsia="zh-CN"/>
        </w:rPr>
        <w:t>条，主板和</w:t>
      </w:r>
      <w:r>
        <w:rPr>
          <w:lang w:eastAsia="zh-CN"/>
        </w:rPr>
        <w:t>GEM</w:t>
      </w:r>
      <w:r>
        <w:rPr>
          <w:lang w:eastAsia="zh-CN"/>
        </w:rPr>
        <w:t>发行人的年度报告须于财政年度结束后的四个月内刊发。</w:t>
      </w:r>
    </w:p>
    <w:p w:rsidR="007A082A" w:rsidRDefault="00BA4F3E">
      <w:pPr>
        <w:pStyle w:val="Compact"/>
        <w:numPr>
          <w:ilvl w:val="1"/>
          <w:numId w:val="10"/>
        </w:numPr>
        <w:rPr>
          <w:lang w:eastAsia="zh-CN"/>
        </w:rPr>
      </w:pPr>
      <w:r>
        <w:rPr>
          <w:lang w:eastAsia="zh-CN"/>
        </w:rPr>
        <w:t>联交所提议要求</w:t>
      </w:r>
      <w:r>
        <w:rPr>
          <w:lang w:eastAsia="zh-CN"/>
        </w:rPr>
        <w:t>GEM</w:t>
      </w:r>
      <w:r>
        <w:rPr>
          <w:lang w:eastAsia="zh-CN"/>
        </w:rPr>
        <w:t>上市申请人在其上市申请表（</w:t>
      </w:r>
      <w:r>
        <w:rPr>
          <w:lang w:eastAsia="zh-CN"/>
        </w:rPr>
        <w:t>GEM</w:t>
      </w:r>
      <w:r>
        <w:rPr>
          <w:lang w:eastAsia="zh-CN"/>
        </w:rPr>
        <w:t>监</w:t>
      </w:r>
      <w:r>
        <w:rPr>
          <w:lang w:eastAsia="zh-CN"/>
        </w:rPr>
        <w:t>管表格中公布的</w:t>
      </w:r>
      <w:r>
        <w:rPr>
          <w:lang w:eastAsia="zh-CN"/>
        </w:rPr>
        <w:t>A</w:t>
      </w:r>
      <w:r>
        <w:rPr>
          <w:lang w:eastAsia="zh-CN"/>
        </w:rPr>
        <w:t>表格）中提供</w:t>
      </w:r>
      <w:r>
        <w:rPr>
          <w:lang w:eastAsia="zh-CN"/>
        </w:rPr>
        <w:t>GEM</w:t>
      </w:r>
      <w:r>
        <w:rPr>
          <w:lang w:eastAsia="zh-CN"/>
        </w:rPr>
        <w:t>发行人总股本的预计市值。这项建议修订将使主板和</w:t>
      </w:r>
      <w:r>
        <w:rPr>
          <w:lang w:eastAsia="zh-CN"/>
        </w:rPr>
        <w:t>GEM</w:t>
      </w:r>
      <w:r>
        <w:rPr>
          <w:lang w:eastAsia="zh-CN"/>
        </w:rPr>
        <w:t>上市申请人的市值资料保持一致。</w:t>
      </w:r>
    </w:p>
    <w:p w:rsidR="007A082A" w:rsidRPr="00462CB7" w:rsidRDefault="00BA4F3E">
      <w:pPr>
        <w:pStyle w:val="FirstParagraph"/>
        <w:rPr>
          <w:b/>
          <w:lang w:eastAsia="zh-CN"/>
        </w:rPr>
      </w:pPr>
      <w:r w:rsidRPr="00462CB7">
        <w:rPr>
          <w:b/>
          <w:lang w:eastAsia="zh-CN"/>
        </w:rPr>
        <w:t>有关债务证券的修订</w:t>
      </w:r>
    </w:p>
    <w:p w:rsidR="007A082A" w:rsidRDefault="00BA4F3E">
      <w:pPr>
        <w:pStyle w:val="BodyText"/>
        <w:rPr>
          <w:lang w:eastAsia="zh-CN"/>
        </w:rPr>
      </w:pPr>
      <w:r>
        <w:rPr>
          <w:lang w:eastAsia="zh-CN"/>
        </w:rPr>
        <w:t>联交所还建议对与债务证券相关的《上市规则》作出以下修订。</w:t>
      </w:r>
    </w:p>
    <w:p w:rsidR="007A082A" w:rsidRDefault="00BA4F3E">
      <w:pPr>
        <w:numPr>
          <w:ilvl w:val="0"/>
          <w:numId w:val="11"/>
        </w:numPr>
      </w:pPr>
      <w:r>
        <w:rPr>
          <w:b/>
          <w:i/>
        </w:rPr>
        <w:t>特定公告的刊发时间</w:t>
      </w:r>
    </w:p>
    <w:p w:rsidR="007A082A" w:rsidRDefault="00BA4F3E">
      <w:pPr>
        <w:numPr>
          <w:ilvl w:val="0"/>
          <w:numId w:val="1"/>
        </w:numPr>
        <w:rPr>
          <w:lang w:eastAsia="zh-CN"/>
        </w:rPr>
      </w:pPr>
      <w:r>
        <w:rPr>
          <w:lang w:eastAsia="zh-CN"/>
        </w:rPr>
        <w:t>《主板规则》第</w:t>
      </w:r>
      <w:r>
        <w:rPr>
          <w:lang w:eastAsia="zh-CN"/>
        </w:rPr>
        <w:t>2.07C(4)</w:t>
      </w:r>
      <w:r>
        <w:rPr>
          <w:lang w:eastAsia="zh-CN"/>
        </w:rPr>
        <w:t>条规定，公开发售债务证券的发行人（</w:t>
      </w:r>
      <w:r>
        <w:rPr>
          <w:b/>
          <w:lang w:eastAsia="zh-CN"/>
        </w:rPr>
        <w:t>「公众债务证券发行人」</w:t>
      </w:r>
      <w:r>
        <w:rPr>
          <w:lang w:eastAsia="zh-CN"/>
        </w:rPr>
        <w:t>）在若干情况下可以在交易时段内刊发部分特定公告。联交所建议修订《主板规则》第</w:t>
      </w:r>
      <w:r>
        <w:rPr>
          <w:lang w:eastAsia="zh-CN"/>
        </w:rPr>
        <w:t>2.07C(4)(a)</w:t>
      </w:r>
      <w:r>
        <w:rPr>
          <w:lang w:eastAsia="zh-CN"/>
        </w:rPr>
        <w:t>条，以便根据《主板规则》第</w:t>
      </w:r>
      <w:r>
        <w:rPr>
          <w:lang w:eastAsia="zh-CN"/>
        </w:rPr>
        <w:t>37</w:t>
      </w:r>
      <w:r>
        <w:rPr>
          <w:lang w:eastAsia="zh-CN"/>
        </w:rPr>
        <w:t>章向专业投资者发行债务证券的发行人（</w:t>
      </w:r>
      <w:r>
        <w:rPr>
          <w:b/>
          <w:lang w:eastAsia="zh-CN"/>
        </w:rPr>
        <w:t>「专业债务证券发行人」</w:t>
      </w:r>
      <w:r>
        <w:rPr>
          <w:lang w:eastAsia="zh-CN"/>
        </w:rPr>
        <w:t>）遇到现时适用于公众债务</w:t>
      </w:r>
      <w:r>
        <w:rPr>
          <w:lang w:eastAsia="zh-CN"/>
        </w:rPr>
        <w:t>证券发行人的特定情况时，也可以在交易时段内刊发特定公告。</w:t>
      </w:r>
    </w:p>
    <w:p w:rsidR="007A082A" w:rsidRDefault="00BA4F3E">
      <w:pPr>
        <w:numPr>
          <w:ilvl w:val="0"/>
          <w:numId w:val="11"/>
        </w:numPr>
        <w:rPr>
          <w:lang w:eastAsia="zh-CN"/>
        </w:rPr>
      </w:pPr>
      <w:r>
        <w:rPr>
          <w:b/>
          <w:i/>
          <w:lang w:eastAsia="zh-CN"/>
        </w:rPr>
        <w:t>经审核的中期财务报表作上市资格评核</w:t>
      </w:r>
    </w:p>
    <w:p w:rsidR="007A082A" w:rsidRDefault="00BA4F3E">
      <w:pPr>
        <w:numPr>
          <w:ilvl w:val="0"/>
          <w:numId w:val="1"/>
        </w:numPr>
        <w:rPr>
          <w:lang w:eastAsia="zh-CN"/>
        </w:rPr>
      </w:pPr>
      <w:r>
        <w:rPr>
          <w:lang w:eastAsia="zh-CN"/>
        </w:rPr>
        <w:t>联交所建议厘清《主板规则》第</w:t>
      </w:r>
      <w:r>
        <w:rPr>
          <w:lang w:eastAsia="zh-CN"/>
        </w:rPr>
        <w:t>37.06</w:t>
      </w:r>
      <w:r>
        <w:rPr>
          <w:lang w:eastAsia="zh-CN"/>
        </w:rPr>
        <w:t>条，上市申请人提供「两年经审核账目」的要求是指两个「财政」年度的经审核账目，而非两个历年。联交所指出，《主板规则》第</w:t>
      </w:r>
      <w:r>
        <w:rPr>
          <w:lang w:eastAsia="zh-CN"/>
        </w:rPr>
        <w:t>37.06</w:t>
      </w:r>
      <w:r>
        <w:rPr>
          <w:lang w:eastAsia="zh-CN"/>
        </w:rPr>
        <w:t>条还要求「两年经审核账目」编制日期不得晚于上市文件拟刊发日期前</w:t>
      </w:r>
      <w:r>
        <w:rPr>
          <w:lang w:eastAsia="zh-CN"/>
        </w:rPr>
        <w:t>15</w:t>
      </w:r>
      <w:r>
        <w:rPr>
          <w:lang w:eastAsia="zh-CN"/>
        </w:rPr>
        <w:t>个月，这可能会导致某些申请人出现「不能上市」的档期。因此，联交所建议对条文进行修订，如申请人呈交两个财政年度的经审核账目以及结束日在上市文件拟刊发日期前</w:t>
      </w:r>
      <w:r>
        <w:rPr>
          <w:lang w:eastAsia="zh-CN"/>
        </w:rPr>
        <w:t>15</w:t>
      </w:r>
      <w:r>
        <w:rPr>
          <w:lang w:eastAsia="zh-CN"/>
        </w:rPr>
        <w:t>个月内的财政年度至少首六个月之经</w:t>
      </w:r>
      <w:r>
        <w:rPr>
          <w:lang w:eastAsia="zh-CN"/>
        </w:rPr>
        <w:t>审核的中期财务报表，那么申请人可根据《主板规则》第</w:t>
      </w:r>
      <w:r>
        <w:rPr>
          <w:lang w:eastAsia="zh-CN"/>
        </w:rPr>
        <w:t>37</w:t>
      </w:r>
      <w:r>
        <w:rPr>
          <w:lang w:eastAsia="zh-CN"/>
        </w:rPr>
        <w:t>章上市。</w:t>
      </w:r>
    </w:p>
    <w:p w:rsidR="007A082A" w:rsidRDefault="00BA4F3E">
      <w:pPr>
        <w:numPr>
          <w:ilvl w:val="0"/>
          <w:numId w:val="11"/>
        </w:numPr>
        <w:rPr>
          <w:lang w:eastAsia="zh-CN"/>
        </w:rPr>
      </w:pPr>
      <w:r>
        <w:rPr>
          <w:b/>
          <w:i/>
          <w:lang w:eastAsia="zh-CN"/>
        </w:rPr>
        <w:t>专业债务证券发行人的持续责任</w:t>
      </w:r>
    </w:p>
    <w:p w:rsidR="007A082A" w:rsidRDefault="00BA4F3E">
      <w:pPr>
        <w:pStyle w:val="Compact"/>
        <w:numPr>
          <w:ilvl w:val="1"/>
          <w:numId w:val="12"/>
        </w:numPr>
        <w:rPr>
          <w:lang w:eastAsia="zh-CN"/>
        </w:rPr>
      </w:pPr>
      <w:r>
        <w:rPr>
          <w:lang w:eastAsia="zh-CN"/>
        </w:rPr>
        <w:t>联交所提议扩大《主板规则》</w:t>
      </w:r>
      <w:r>
        <w:rPr>
          <w:lang w:eastAsia="zh-CN"/>
        </w:rPr>
        <w:t>37.49(b)</w:t>
      </w:r>
      <w:r>
        <w:rPr>
          <w:lang w:eastAsia="zh-CN"/>
        </w:rPr>
        <w:t>（《</w:t>
      </w:r>
      <w:r>
        <w:rPr>
          <w:lang w:eastAsia="zh-CN"/>
        </w:rPr>
        <w:t>GEM</w:t>
      </w:r>
      <w:r>
        <w:rPr>
          <w:lang w:eastAsia="zh-CN"/>
        </w:rPr>
        <w:t>规则》</w:t>
      </w:r>
      <w:r>
        <w:rPr>
          <w:lang w:eastAsia="zh-CN"/>
        </w:rPr>
        <w:t>30.42(b)</w:t>
      </w:r>
      <w:r>
        <w:rPr>
          <w:lang w:eastAsia="zh-CN"/>
        </w:rPr>
        <w:t>）中专业债务证券发行人持续责任的覆盖范围，这样，任何建议修订信托契约需要事先通知联交所的义务也适用于对任何拟保证或构成债务证券的文件作出修订的建议。</w:t>
      </w:r>
    </w:p>
    <w:p w:rsidR="007A082A" w:rsidRDefault="00BA4F3E">
      <w:pPr>
        <w:pStyle w:val="Compact"/>
        <w:numPr>
          <w:ilvl w:val="1"/>
          <w:numId w:val="12"/>
        </w:numPr>
        <w:rPr>
          <w:lang w:eastAsia="zh-CN"/>
        </w:rPr>
      </w:pPr>
      <w:r>
        <w:rPr>
          <w:lang w:eastAsia="zh-CN"/>
        </w:rPr>
        <w:t>联交所还建议修订《主板规则》第</w:t>
      </w:r>
      <w:r>
        <w:rPr>
          <w:lang w:eastAsia="zh-CN"/>
        </w:rPr>
        <w:t>37.53</w:t>
      </w:r>
      <w:r>
        <w:rPr>
          <w:lang w:eastAsia="zh-CN"/>
        </w:rPr>
        <w:t>条中关于专业债务证券发行人的持续义务，要求向联交所提交中期财务报表而非中期业绩报告。</w:t>
      </w:r>
    </w:p>
    <w:p w:rsidR="00BA4F3E" w:rsidRDefault="00BA4F3E" w:rsidP="00BA4F3E">
      <w:pPr>
        <w:pStyle w:val="Compact"/>
        <w:ind w:left="1200"/>
        <w:rPr>
          <w:lang w:eastAsia="zh-CN"/>
        </w:rPr>
      </w:pPr>
    </w:p>
    <w:p w:rsidR="007A082A" w:rsidRDefault="00BA4F3E">
      <w:pPr>
        <w:numPr>
          <w:ilvl w:val="0"/>
          <w:numId w:val="11"/>
        </w:numPr>
        <w:rPr>
          <w:lang w:eastAsia="zh-CN"/>
        </w:rPr>
      </w:pPr>
      <w:r>
        <w:rPr>
          <w:b/>
          <w:i/>
          <w:lang w:eastAsia="zh-CN"/>
        </w:rPr>
        <w:t>公众债务证券发行人的持续责任</w:t>
      </w:r>
    </w:p>
    <w:p w:rsidR="007A082A" w:rsidRDefault="00BA4F3E">
      <w:pPr>
        <w:numPr>
          <w:ilvl w:val="0"/>
          <w:numId w:val="1"/>
        </w:numPr>
        <w:rPr>
          <w:lang w:eastAsia="zh-CN"/>
        </w:rPr>
      </w:pPr>
      <w:r>
        <w:rPr>
          <w:lang w:eastAsia="zh-CN"/>
        </w:rPr>
        <w:t>联交所建议修订《主板规则》附录</w:t>
      </w:r>
      <w:r>
        <w:rPr>
          <w:lang w:eastAsia="zh-CN"/>
        </w:rPr>
        <w:t>E4</w:t>
      </w:r>
      <w:r>
        <w:rPr>
          <w:lang w:eastAsia="zh-CN"/>
        </w:rPr>
        <w:t>第</w:t>
      </w:r>
      <w:r>
        <w:rPr>
          <w:lang w:eastAsia="zh-CN"/>
        </w:rPr>
        <w:t>1</w:t>
      </w:r>
      <w:r>
        <w:rPr>
          <w:lang w:eastAsia="zh-CN"/>
        </w:rPr>
        <w:t>2(1)</w:t>
      </w:r>
      <w:r>
        <w:rPr>
          <w:lang w:eastAsia="zh-CN"/>
        </w:rPr>
        <w:t>和</w:t>
      </w:r>
      <w:r>
        <w:rPr>
          <w:lang w:eastAsia="zh-CN"/>
        </w:rPr>
        <w:t>19(2)</w:t>
      </w:r>
      <w:r>
        <w:rPr>
          <w:lang w:eastAsia="zh-CN"/>
        </w:rPr>
        <w:t>段以及《</w:t>
      </w:r>
      <w:r>
        <w:rPr>
          <w:lang w:eastAsia="zh-CN"/>
        </w:rPr>
        <w:t>GEM</w:t>
      </w:r>
      <w:r>
        <w:rPr>
          <w:lang w:eastAsia="zh-CN"/>
        </w:rPr>
        <w:t>规则》第</w:t>
      </w:r>
      <w:r>
        <w:rPr>
          <w:lang w:eastAsia="zh-CN"/>
        </w:rPr>
        <w:t>31.15(1)</w:t>
      </w:r>
      <w:r>
        <w:rPr>
          <w:lang w:eastAsia="zh-CN"/>
        </w:rPr>
        <w:t>及</w:t>
      </w:r>
      <w:r>
        <w:rPr>
          <w:lang w:eastAsia="zh-CN"/>
        </w:rPr>
        <w:t>31.19(2)</w:t>
      </w:r>
      <w:r>
        <w:rPr>
          <w:lang w:eastAsia="zh-CN"/>
        </w:rPr>
        <w:t>条中关于公众债务证券发行人的持续责任，并要求他们在建议修订信托契约或其他保证或构成上市债务证券的文件时通知联交所，并将建议修订的文件初稿提交予联交所。</w:t>
      </w:r>
    </w:p>
    <w:p w:rsidR="007A082A" w:rsidRDefault="00BA4F3E">
      <w:pPr>
        <w:numPr>
          <w:ilvl w:val="0"/>
          <w:numId w:val="11"/>
        </w:numPr>
        <w:rPr>
          <w:lang w:eastAsia="zh-CN"/>
        </w:rPr>
      </w:pPr>
      <w:r>
        <w:rPr>
          <w:b/>
          <w:i/>
          <w:lang w:eastAsia="zh-CN"/>
        </w:rPr>
        <w:t>债务证券发行计划的有效期</w:t>
      </w:r>
    </w:p>
    <w:p w:rsidR="007A082A" w:rsidRDefault="00BA4F3E">
      <w:pPr>
        <w:numPr>
          <w:ilvl w:val="0"/>
          <w:numId w:val="1"/>
        </w:numPr>
        <w:rPr>
          <w:lang w:eastAsia="zh-CN"/>
        </w:rPr>
      </w:pPr>
      <w:r>
        <w:rPr>
          <w:lang w:eastAsia="zh-CN"/>
        </w:rPr>
        <w:t>联交所建议修订《主板规则》第</w:t>
      </w:r>
      <w:r>
        <w:rPr>
          <w:lang w:eastAsia="zh-CN"/>
        </w:rPr>
        <w:t>37.41</w:t>
      </w:r>
      <w:r>
        <w:rPr>
          <w:lang w:eastAsia="zh-CN"/>
        </w:rPr>
        <w:t>条（《</w:t>
      </w:r>
      <w:r>
        <w:rPr>
          <w:lang w:eastAsia="zh-CN"/>
        </w:rPr>
        <w:t>GEM</w:t>
      </w:r>
      <w:r>
        <w:rPr>
          <w:lang w:eastAsia="zh-CN"/>
        </w:rPr>
        <w:t>规则》第</w:t>
      </w:r>
      <w:r>
        <w:rPr>
          <w:lang w:eastAsia="zh-CN"/>
        </w:rPr>
        <w:t>30.34</w:t>
      </w:r>
      <w:r>
        <w:rPr>
          <w:lang w:eastAsia="zh-CN"/>
        </w:rPr>
        <w:t>条），以厘清债务证券发行计划在上市文件日期之后的一年内有效，而非上市文件刊发之日起计一年内有效。</w:t>
      </w:r>
    </w:p>
    <w:p w:rsidR="007A082A" w:rsidRDefault="00BA4F3E">
      <w:pPr>
        <w:numPr>
          <w:ilvl w:val="0"/>
          <w:numId w:val="11"/>
        </w:numPr>
      </w:pPr>
      <w:r>
        <w:rPr>
          <w:b/>
          <w:i/>
        </w:rPr>
        <w:lastRenderedPageBreak/>
        <w:t>超国家机构的定义</w:t>
      </w:r>
    </w:p>
    <w:p w:rsidR="007A082A" w:rsidRDefault="00BA4F3E">
      <w:pPr>
        <w:numPr>
          <w:ilvl w:val="0"/>
          <w:numId w:val="1"/>
        </w:numPr>
        <w:rPr>
          <w:lang w:eastAsia="zh-CN"/>
        </w:rPr>
      </w:pPr>
      <w:r>
        <w:rPr>
          <w:lang w:eastAsia="zh-CN"/>
        </w:rPr>
        <w:t>联交所建议修订《主板规则》中「超国家机构」的定义，将《证券及期货条例》附表</w:t>
      </w:r>
      <w:r>
        <w:rPr>
          <w:lang w:eastAsia="zh-CN"/>
        </w:rPr>
        <w:t>1</w:t>
      </w:r>
      <w:r>
        <w:rPr>
          <w:lang w:eastAsia="zh-CN"/>
        </w:rPr>
        <w:t>第</w:t>
      </w:r>
      <w:r>
        <w:rPr>
          <w:lang w:eastAsia="zh-CN"/>
        </w:rPr>
        <w:t>4</w:t>
      </w:r>
      <w:r>
        <w:rPr>
          <w:lang w:eastAsia="zh-CN"/>
        </w:rPr>
        <w:t>部所列的多边机构名单涵盖其中。</w:t>
      </w:r>
      <w:bookmarkStart w:id="0" w:name="_GoBack"/>
      <w:bookmarkEnd w:id="0"/>
    </w:p>
    <w:p w:rsidR="007A082A" w:rsidRDefault="00BA4F3E">
      <w:pPr>
        <w:numPr>
          <w:ilvl w:val="0"/>
          <w:numId w:val="11"/>
        </w:numPr>
        <w:rPr>
          <w:lang w:eastAsia="zh-CN"/>
        </w:rPr>
      </w:pPr>
      <w:r>
        <w:rPr>
          <w:b/>
          <w:i/>
          <w:lang w:eastAsia="zh-CN"/>
        </w:rPr>
        <w:t>刊发中英文版本财务报表</w:t>
      </w:r>
    </w:p>
    <w:p w:rsidR="007A082A" w:rsidRDefault="00BA4F3E">
      <w:pPr>
        <w:numPr>
          <w:ilvl w:val="0"/>
          <w:numId w:val="1"/>
        </w:numPr>
        <w:rPr>
          <w:lang w:eastAsia="zh-CN"/>
        </w:rPr>
      </w:pPr>
      <w:r>
        <w:rPr>
          <w:lang w:eastAsia="zh-CN"/>
        </w:rPr>
        <w:t>联交所建议修订相关条文以要求公众债务证券发行人（国家机构及超国家机构除外）按照《主板规则》附录</w:t>
      </w:r>
      <w:r>
        <w:rPr>
          <w:lang w:eastAsia="zh-CN"/>
        </w:rPr>
        <w:t>E4</w:t>
      </w:r>
      <w:r>
        <w:rPr>
          <w:lang w:eastAsia="zh-CN"/>
        </w:rPr>
        <w:t>第</w:t>
      </w:r>
      <w:r>
        <w:rPr>
          <w:lang w:eastAsia="zh-CN"/>
        </w:rPr>
        <w:t>20(1)</w:t>
      </w:r>
      <w:r>
        <w:rPr>
          <w:lang w:eastAsia="zh-CN"/>
        </w:rPr>
        <w:t>段的规定刊发英文及中文版本的财务报表。</w:t>
      </w:r>
    </w:p>
    <w:p w:rsidR="007A082A" w:rsidRDefault="00BA4F3E">
      <w:pPr>
        <w:pStyle w:val="FirstParagraph"/>
        <w:rPr>
          <w:lang w:eastAsia="zh-CN"/>
        </w:rPr>
      </w:pPr>
      <w:hyperlink w:anchor="footnote-598-1-backlink">
        <w:r>
          <w:rPr>
            <w:lang w:eastAsia="zh-CN"/>
          </w:rPr>
          <w:t>1</w:t>
        </w:r>
      </w:hyperlink>
      <w:r>
        <w:rPr>
          <w:lang w:eastAsia="zh-CN"/>
        </w:rPr>
        <w:t xml:space="preserve"> </w:t>
      </w:r>
      <w:r>
        <w:rPr>
          <w:lang w:eastAsia="zh-CN"/>
        </w:rPr>
        <w:t>《主板规则》及《</w:t>
      </w:r>
      <w:r>
        <w:rPr>
          <w:lang w:eastAsia="zh-CN"/>
        </w:rPr>
        <w:t>GEM</w:t>
      </w:r>
      <w:r>
        <w:rPr>
          <w:lang w:eastAsia="zh-CN"/>
        </w:rPr>
        <w:t>规则》附录</w:t>
      </w:r>
      <w:r>
        <w:rPr>
          <w:lang w:eastAsia="zh-CN"/>
        </w:rPr>
        <w:t>A1</w:t>
      </w:r>
      <w:r>
        <w:rPr>
          <w:lang w:eastAsia="zh-CN"/>
        </w:rPr>
        <w:t>第</w:t>
      </w:r>
      <w:r>
        <w:rPr>
          <w:lang w:eastAsia="zh-CN"/>
        </w:rPr>
        <w:t>14(3)</w:t>
      </w:r>
      <w:r>
        <w:rPr>
          <w:lang w:eastAsia="zh-CN"/>
        </w:rPr>
        <w:t>段和第</w:t>
      </w:r>
      <w:r>
        <w:rPr>
          <w:lang w:eastAsia="zh-CN"/>
        </w:rPr>
        <w:t>19</w:t>
      </w:r>
      <w:r>
        <w:rPr>
          <w:lang w:eastAsia="zh-CN"/>
        </w:rPr>
        <w:t>段</w:t>
      </w:r>
    </w:p>
    <w:p w:rsidR="007A082A" w:rsidRDefault="00BA4F3E">
      <w:pPr>
        <w:pStyle w:val="BodyText"/>
        <w:rPr>
          <w:lang w:eastAsia="zh-CN"/>
        </w:rPr>
      </w:pPr>
      <w:hyperlink w:anchor="footnote-598-2-backlink">
        <w:r>
          <w:rPr>
            <w:lang w:eastAsia="zh-CN"/>
          </w:rPr>
          <w:t>2</w:t>
        </w:r>
      </w:hyperlink>
      <w:r>
        <w:rPr>
          <w:lang w:eastAsia="zh-CN"/>
        </w:rPr>
        <w:t xml:space="preserve"> </w:t>
      </w:r>
      <w:r>
        <w:rPr>
          <w:lang w:eastAsia="zh-CN"/>
        </w:rPr>
        <w:t>见《将有关首次公开招股及上市发行人的一般豁免及原则编纳成规以及《上市规则》非主要修订的咨询文件》（</w:t>
      </w:r>
      <w:r>
        <w:rPr>
          <w:lang w:eastAsia="zh-CN"/>
        </w:rPr>
        <w:t>2019</w:t>
      </w:r>
      <w:r>
        <w:rPr>
          <w:lang w:eastAsia="zh-CN"/>
        </w:rPr>
        <w:t>年</w:t>
      </w:r>
      <w:r>
        <w:rPr>
          <w:lang w:eastAsia="zh-CN"/>
        </w:rPr>
        <w:t>8</w:t>
      </w:r>
      <w:r>
        <w:rPr>
          <w:lang w:eastAsia="zh-CN"/>
        </w:rPr>
        <w:t>月）中的建议</w:t>
      </w:r>
      <w:r>
        <w:rPr>
          <w:lang w:eastAsia="zh-CN"/>
        </w:rPr>
        <w:t>7</w:t>
      </w:r>
      <w:r>
        <w:rPr>
          <w:lang w:eastAsia="zh-CN"/>
        </w:rPr>
        <w:t>请见：</w:t>
      </w:r>
      <w:r>
        <w:rPr>
          <w:lang w:eastAsia="zh-CN"/>
        </w:rPr>
        <w:t xml:space="preserve"> </w:t>
      </w:r>
      <w:hyperlink r:id="rId10">
        <w:r>
          <w:rPr>
            <w:lang w:eastAsia="zh-CN"/>
          </w:rPr>
          <w:t>https://www.</w:t>
        </w:r>
        <w:r>
          <w:rPr>
            <w:lang w:eastAsia="zh-CN"/>
          </w:rPr>
          <w:t>hkex.com.hk/-/media/HKEX-Market/News/Market-Consultations/2016-Present/August-2019-Codification-of-General-Waivers/Consultation-Paper/cp201908.pdf</w:t>
        </w:r>
      </w:hyperlink>
    </w:p>
    <w:p w:rsidR="007A082A" w:rsidRDefault="00BA4F3E">
      <w:pPr>
        <w:pStyle w:val="DisclaimerBold"/>
        <w:rPr>
          <w:lang w:eastAsia="zh-CN"/>
        </w:rPr>
      </w:pPr>
      <w:r>
        <w:rPr>
          <w:lang w:eastAsia="zh-CN"/>
        </w:rPr>
        <w:t>此法讯仅为提供相关资料信息之用，其内容并</w:t>
      </w:r>
    </w:p>
    <w:p w:rsidR="007A082A" w:rsidRDefault="00BA4F3E">
      <w:pPr>
        <w:pStyle w:val="Disclaimer"/>
        <w:rPr>
          <w:lang w:eastAsia="zh-CN"/>
        </w:rPr>
      </w:pPr>
      <w:r>
        <w:rPr>
          <w:lang w:eastAsia="zh-CN"/>
        </w:rPr>
        <w:t>不构成法律建议及个案的法律分析。</w:t>
      </w:r>
    </w:p>
    <w:p w:rsidR="007A082A" w:rsidRDefault="00BA4F3E">
      <w:pPr>
        <w:pStyle w:val="Disclaimer"/>
        <w:rPr>
          <w:lang w:eastAsia="zh-CN"/>
        </w:rPr>
      </w:pPr>
      <w:r>
        <w:rPr>
          <w:lang w:eastAsia="zh-CN"/>
        </w:rPr>
        <w:t>此法讯的发送并不是为了在易周律师行与用户或浏览者之间建立一种律师与客户之关系。</w:t>
      </w:r>
    </w:p>
    <w:p w:rsidR="007A082A" w:rsidRDefault="00BA4F3E">
      <w:pPr>
        <w:pStyle w:val="Disclaimer"/>
        <w:rPr>
          <w:lang w:eastAsia="zh-CN"/>
        </w:rPr>
      </w:pPr>
      <w:r>
        <w:rPr>
          <w:lang w:eastAsia="zh-CN"/>
        </w:rPr>
        <w:t>易周律师行并不对可从互联网获得的任何第三方内容负责。</w:t>
      </w:r>
    </w:p>
    <w:p w:rsidR="007A082A" w:rsidRDefault="00BA4F3E">
      <w:pPr>
        <w:pStyle w:val="Disclaimer"/>
        <w:rPr>
          <w:lang w:eastAsia="zh-CN"/>
        </w:rPr>
      </w:pPr>
      <w:r>
        <w:rPr>
          <w:lang w:eastAsia="zh-CN"/>
        </w:rPr>
        <w:t>如你不希</w:t>
      </w:r>
      <w:r>
        <w:rPr>
          <w:lang w:eastAsia="zh-CN"/>
        </w:rPr>
        <w:t>望再收到易周法讯，请发送电邮至</w:t>
      </w:r>
      <w:r>
        <w:rPr>
          <w:lang w:eastAsia="zh-CN"/>
        </w:rPr>
        <w:t xml:space="preserve">  </w:t>
      </w:r>
      <w:hyperlink r:id="rId11">
        <w:r>
          <w:rPr>
            <w:lang w:eastAsia="zh-CN"/>
          </w:rPr>
          <w:t>unsubscribe@charltonslaw.com</w:t>
        </w:r>
      </w:hyperlink>
    </w:p>
    <w:p w:rsidR="007A082A" w:rsidRDefault="00BA4F3E">
      <w:pPr>
        <w:pStyle w:val="BlackStrips"/>
      </w:pPr>
      <w:r>
        <w:t xml:space="preserve">Charltons - </w:t>
      </w:r>
      <w:r>
        <w:t>香港法律</w:t>
      </w:r>
      <w:r>
        <w:t xml:space="preserve"> - 2025</w:t>
      </w:r>
      <w:r>
        <w:t>年</w:t>
      </w:r>
      <w:r>
        <w:t>5</w:t>
      </w:r>
      <w:r>
        <w:t>月</w:t>
      </w:r>
      <w:r>
        <w:t>16</w:t>
      </w:r>
      <w:r>
        <w:t>日</w:t>
      </w:r>
    </w:p>
    <w:sectPr w:rsidR="007A082A">
      <w:pgSz w:w="11906" w:h="16838"/>
      <w:pgMar w:top="864" w:right="864" w:bottom="864" w:left="864" w:header="0" w:footer="0" w:gutter="0"/>
      <w:cols w:space="720"/>
      <w:formProt w:val="0"/>
      <w:docGrid w:linePitch="240" w:charSpace="-6145"/>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00000" w:rsidRDefault="00BA4F3E">
      <w:pPr>
        <w:spacing w:after="0"/>
      </w:pPr>
      <w:r>
        <w:separator/>
      </w:r>
    </w:p>
  </w:endnote>
  <w:endnote w:type="continuationSeparator" w:id="0">
    <w:p w:rsidR="00000000" w:rsidRDefault="00BA4F3E">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Liberation Sans">
    <w:altName w:val="Arial"/>
    <w:charset w:val="01"/>
    <w:family w:val="roman"/>
    <w:pitch w:val="variable"/>
  </w:font>
  <w:font w:name="Microsoft YaHei">
    <w:panose1 w:val="020B0503020204020204"/>
    <w:charset w:val="86"/>
    <w:family w:val="swiss"/>
    <w:pitch w:val="variable"/>
    <w:sig w:usb0="80000287" w:usb1="2ACF3C50" w:usb2="00000016" w:usb3="00000000" w:csb0="0004001F" w:csb1="00000000"/>
  </w:font>
  <w:font w:name="Arial Unicode MS">
    <w:panose1 w:val="020B0604020202020204"/>
    <w:charset w:val="00"/>
    <w:family w:val="roman"/>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A082A" w:rsidRDefault="00BA4F3E">
      <w:r>
        <w:separator/>
      </w:r>
    </w:p>
  </w:footnote>
  <w:footnote w:type="continuationSeparator" w:id="0">
    <w:p w:rsidR="007A082A" w:rsidRDefault="00BA4F3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EA454B4C"/>
    <w:multiLevelType w:val="multilevel"/>
    <w:tmpl w:val="C8120496"/>
    <w:lvl w:ilvl="0">
      <w:numFmt w:val="bullet"/>
      <w:lvlText w:val="•"/>
      <w:lvlJc w:val="left"/>
      <w:pPr>
        <w:tabs>
          <w:tab w:val="num" w:pos="0"/>
        </w:tabs>
        <w:ind w:left="480" w:hanging="480"/>
      </w:pPr>
    </w:lvl>
    <w:lvl w:ilvl="1">
      <w:numFmt w:val="bullet"/>
      <w:lvlText w:val="–"/>
      <w:lvlJc w:val="left"/>
      <w:pPr>
        <w:tabs>
          <w:tab w:val="num" w:pos="720"/>
        </w:tabs>
        <w:ind w:left="1200" w:hanging="480"/>
      </w:pPr>
    </w:lvl>
    <w:lvl w:ilvl="2">
      <w:numFmt w:val="bullet"/>
      <w:lvlText w:val="•"/>
      <w:lvlJc w:val="left"/>
      <w:pPr>
        <w:tabs>
          <w:tab w:val="num" w:pos="1440"/>
        </w:tabs>
        <w:ind w:left="1920" w:hanging="480"/>
      </w:pPr>
    </w:lvl>
    <w:lvl w:ilvl="3">
      <w:numFmt w:val="bullet"/>
      <w:lvlText w:val="–"/>
      <w:lvlJc w:val="left"/>
      <w:pPr>
        <w:tabs>
          <w:tab w:val="num" w:pos="2160"/>
        </w:tabs>
        <w:ind w:left="2640" w:hanging="480"/>
      </w:pPr>
    </w:lvl>
    <w:lvl w:ilvl="4">
      <w:numFmt w:val="bullet"/>
      <w:lvlText w:val="•"/>
      <w:lvlJc w:val="left"/>
      <w:pPr>
        <w:tabs>
          <w:tab w:val="num" w:pos="2880"/>
        </w:tabs>
        <w:ind w:left="3360" w:hanging="480"/>
      </w:pPr>
    </w:lvl>
    <w:lvl w:ilvl="5">
      <w:numFmt w:val="bullet"/>
      <w:lvlText w:val="–"/>
      <w:lvlJc w:val="left"/>
      <w:pPr>
        <w:tabs>
          <w:tab w:val="num" w:pos="3600"/>
        </w:tabs>
        <w:ind w:left="4080" w:hanging="480"/>
      </w:pPr>
    </w:lvl>
    <w:lvl w:ilvl="6">
      <w:numFmt w:val="bullet"/>
      <w:lvlText w:val="•"/>
      <w:lvlJc w:val="left"/>
      <w:pPr>
        <w:tabs>
          <w:tab w:val="num" w:pos="4320"/>
        </w:tabs>
        <w:ind w:left="4800" w:hanging="480"/>
      </w:pPr>
    </w:lvl>
    <w:lvl w:ilvl="7">
      <w:numFmt w:val="bullet"/>
      <w:lvlText w:val="–"/>
      <w:lvlJc w:val="left"/>
      <w:pPr>
        <w:tabs>
          <w:tab w:val="num" w:pos="5040"/>
        </w:tabs>
        <w:ind w:left="5520" w:hanging="480"/>
      </w:pPr>
    </w:lvl>
    <w:lvl w:ilvl="8">
      <w:numFmt w:val="bullet"/>
      <w:lvlText w:val="•"/>
      <w:lvlJc w:val="left"/>
      <w:pPr>
        <w:tabs>
          <w:tab w:val="num" w:pos="5760"/>
        </w:tabs>
        <w:ind w:left="6240" w:hanging="480"/>
      </w:pPr>
    </w:lvl>
  </w:abstractNum>
  <w:abstractNum w:abstractNumId="1" w15:restartNumberingAfterBreak="0">
    <w:nsid w:val="170CD2DE"/>
    <w:multiLevelType w:val="multilevel"/>
    <w:tmpl w:val="FEB87316"/>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lvl w:ilvl="7">
      <w:numFmt w:val="bullet"/>
      <w:lvlText w:val=" "/>
      <w:lvlJc w:val="left"/>
      <w:pPr>
        <w:tabs>
          <w:tab w:val="num" w:pos="5040"/>
        </w:tabs>
        <w:ind w:left="5520" w:hanging="480"/>
      </w:pPr>
    </w:lvl>
    <w:lvl w:ilvl="8">
      <w:numFmt w:val="bullet"/>
      <w:lvlText w:val=" "/>
      <w:lvlJc w:val="left"/>
      <w:pPr>
        <w:tabs>
          <w:tab w:val="num" w:pos="5760"/>
        </w:tabs>
        <w:ind w:left="6240" w:hanging="480"/>
      </w:pPr>
    </w:lvl>
  </w:abstractNum>
  <w:abstractNum w:abstractNumId="2" w15:restartNumberingAfterBreak="0">
    <w:nsid w:val="2C1AE401"/>
    <w:multiLevelType w:val="multilevel"/>
    <w:tmpl w:val="9FE47884"/>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lvl w:ilvl="7">
      <w:numFmt w:val="bullet"/>
      <w:lvlText w:val=" "/>
      <w:lvlJc w:val="left"/>
      <w:pPr>
        <w:tabs>
          <w:tab w:val="num" w:pos="5040"/>
        </w:tabs>
        <w:ind w:left="5520" w:hanging="480"/>
      </w:pPr>
    </w:lvl>
    <w:lvl w:ilvl="8">
      <w:numFmt w:val="bullet"/>
      <w:lvlText w:val=" "/>
      <w:lvlJc w:val="left"/>
      <w:pPr>
        <w:tabs>
          <w:tab w:val="num" w:pos="5760"/>
        </w:tabs>
        <w:ind w:left="6240" w:hanging="480"/>
      </w:pPr>
    </w:lvl>
  </w:abstractNum>
  <w:num w:numId="1">
    <w:abstractNumId w:val="1"/>
  </w:num>
  <w:num w:numId="2">
    <w:abstractNumId w:val="1"/>
  </w:num>
  <w:num w:numId="3">
    <w:abstractNumId w:val="0"/>
  </w:num>
  <w:num w:numId="4">
    <w:abstractNumId w:val="0"/>
  </w:num>
  <w:num w:numId="5">
    <w:abstractNumId w:val="0"/>
  </w:num>
  <w:num w:numId="6">
    <w:abstractNumId w:val="0"/>
  </w:num>
  <w:num w:numId="7">
    <w:abstractNumId w:val="0"/>
  </w:num>
  <w:num w:numId="8">
    <w:abstractNumId w:val="0"/>
  </w:num>
  <w:num w:numId="9">
    <w:abstractNumId w:val="0"/>
  </w:num>
  <w:num w:numId="10">
    <w:abstractNumId w:val="0"/>
  </w:num>
  <w:num w:numId="11">
    <w:abstractNumId w:val="0"/>
  </w:num>
  <w:num w:numId="1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2"/>
  <w:embedSystemFont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oNotTrackMoves/>
  <w:defaultTabStop w:val="720"/>
  <w:drawingGridHorizontalSpacing w:val="360"/>
  <w:drawingGridVerticalSpacing w:val="360"/>
  <w:displayHorizontalDrawingGridEvery w:val="0"/>
  <w:displayVerticalDrawingGridEvery w:val="0"/>
  <w:characterSpacingControl w:val="doNotCompress"/>
  <w:footnotePr>
    <w:footnote w:id="-1"/>
    <w:footnote w:id="0"/>
  </w:footnotePr>
  <w:endnotePr>
    <w:endnote w:id="-1"/>
    <w:endnote w:id="0"/>
  </w:endnotePr>
  <w:compat>
    <w:useFELayout/>
    <w:compatSetting w:name="compatibilityMode" w:uri="http://schemas.microsoft.com/office/word" w:val="12"/>
  </w:compat>
  <w:rsids>
    <w:rsidRoot w:val="00590D07"/>
    <w:rsid w:val="00011C8B"/>
    <w:rsid w:val="00462CB7"/>
    <w:rsid w:val="004834DD"/>
    <w:rsid w:val="004E29B3"/>
    <w:rsid w:val="00590D07"/>
    <w:rsid w:val="00784D58"/>
    <w:rsid w:val="007A082A"/>
    <w:rsid w:val="008D6863"/>
    <w:rsid w:val="009D2F14"/>
    <w:rsid w:val="00B86B75"/>
    <w:rsid w:val="00BA4F3E"/>
    <w:rsid w:val="00BC48D5"/>
    <w:rsid w:val="00C36279"/>
    <w:rsid w:val="00CA2703"/>
    <w:rsid w:val="00E315A3"/>
  </w:rsids>
  <m:mathPr>
    <m:mathFont m:val="Cambria Math"/>
    <m:brkBin m:val="before"/>
    <m:brkBinSub m:val="--"/>
    <m:smallFrac m:val="0"/>
    <m:dispDef m:val="0"/>
    <m:lMargin m:val="0"/>
    <m:rMargin m:val="0"/>
    <m:defJc m:val="centerGroup"/>
    <m:wrapRight/>
    <m:intLim m:val="subSup"/>
    <m:naryLim m:val="subSup"/>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55B4DA"/>
  <w15:docId w15:val="{5D674399-065D-49E9-9D9F-16ACED3592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Cs w:val="24"/>
        <w:lang w:val="en-US" w:eastAsia="en-US" w:bidi="ar-SA"/>
      </w:rPr>
    </w:rPrDefault>
    <w:pPrDefault/>
  </w:docDefaults>
  <w:latentStyles w:defLockedState="0" w:defUIPriority="0" w:defSemiHidden="0" w:defUnhideWhenUsed="0" w:defQFormat="0" w:count="371">
    <w:lsdException w:name="index 1"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3" w:semiHidden="1" w:unhideWhenUsed="1"/>
    <w:lsdException w:name="List Number 4"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200"/>
    </w:pPr>
    <w:rPr>
      <w:rFonts w:eastAsiaTheme="minorHAnsi"/>
      <w:color w:val="00000A"/>
      <w:sz w:val="24"/>
    </w:rPr>
  </w:style>
  <w:style w:type="paragraph" w:styleId="Heading1">
    <w:name w:val="heading 1"/>
    <w:basedOn w:val="Normal"/>
    <w:uiPriority w:val="9"/>
    <w:qFormat/>
    <w:pPr>
      <w:keepNext/>
      <w:keepLines/>
      <w:spacing w:before="480" w:after="0"/>
      <w:outlineLvl w:val="0"/>
    </w:pPr>
    <w:rPr>
      <w:rFonts w:asciiTheme="majorHAnsi" w:eastAsiaTheme="majorEastAsia" w:hAnsiTheme="majorHAnsi" w:cstheme="majorBidi"/>
      <w:b/>
      <w:bCs/>
      <w:color w:val="C0143C"/>
      <w:sz w:val="32"/>
      <w:szCs w:val="32"/>
    </w:rPr>
  </w:style>
  <w:style w:type="paragraph" w:styleId="Heading2">
    <w:name w:val="heading 2"/>
    <w:basedOn w:val="Normal"/>
    <w:uiPriority w:val="9"/>
    <w:unhideWhenUsed/>
    <w:qFormat/>
    <w:pPr>
      <w:keepNext/>
      <w:keepLines/>
      <w:spacing w:before="200" w:after="0"/>
      <w:outlineLvl w:val="1"/>
    </w:pPr>
    <w:rPr>
      <w:rFonts w:asciiTheme="majorHAnsi" w:eastAsiaTheme="majorEastAsia" w:hAnsiTheme="majorHAnsi" w:cstheme="majorBidi"/>
      <w:b/>
      <w:bCs/>
      <w:color w:val="C0143C"/>
      <w:sz w:val="32"/>
      <w:szCs w:val="32"/>
    </w:rPr>
  </w:style>
  <w:style w:type="paragraph" w:styleId="Heading3">
    <w:name w:val="heading 3"/>
    <w:basedOn w:val="Normal"/>
    <w:uiPriority w:val="9"/>
    <w:unhideWhenUsed/>
    <w:qFormat/>
    <w:pPr>
      <w:keepNext/>
      <w:keepLines/>
      <w:spacing w:before="200" w:after="0"/>
      <w:outlineLvl w:val="2"/>
    </w:pPr>
    <w:rPr>
      <w:rFonts w:asciiTheme="majorHAnsi" w:eastAsiaTheme="majorEastAsia" w:hAnsiTheme="majorHAnsi" w:cstheme="majorBidi"/>
      <w:b/>
      <w:bCs/>
      <w:color w:val="C0143C"/>
      <w:sz w:val="28"/>
      <w:szCs w:val="28"/>
    </w:rPr>
  </w:style>
  <w:style w:type="paragraph" w:styleId="Heading4">
    <w:name w:val="heading 4"/>
    <w:basedOn w:val="Normal"/>
    <w:uiPriority w:val="9"/>
    <w:unhideWhenUsed/>
    <w:qFormat/>
    <w:pPr>
      <w:keepNext/>
      <w:keepLines/>
      <w:spacing w:before="200" w:after="0"/>
      <w:outlineLvl w:val="3"/>
    </w:pPr>
    <w:rPr>
      <w:rFonts w:asciiTheme="majorHAnsi" w:eastAsiaTheme="majorEastAsia" w:hAnsiTheme="majorHAnsi" w:cstheme="majorBidi"/>
      <w:b/>
      <w:bCs/>
      <w:color w:val="C0143C"/>
    </w:rPr>
  </w:style>
  <w:style w:type="paragraph" w:styleId="Heading5">
    <w:name w:val="heading 5"/>
    <w:basedOn w:val="Normal"/>
    <w:uiPriority w:val="9"/>
    <w:unhideWhenUsed/>
    <w:qFormat/>
    <w:pPr>
      <w:keepNext/>
      <w:keepLines/>
      <w:spacing w:before="200" w:after="0"/>
      <w:outlineLvl w:val="4"/>
    </w:pPr>
    <w:rPr>
      <w:rFonts w:asciiTheme="majorHAnsi" w:eastAsiaTheme="majorEastAsia" w:hAnsiTheme="majorHAnsi" w:cstheme="majorBidi"/>
      <w:i/>
      <w:iCs/>
      <w:color w:val="C0143C"/>
    </w:rPr>
  </w:style>
  <w:style w:type="paragraph" w:styleId="Heading6">
    <w:name w:val="heading 6"/>
    <w:basedOn w:val="Normal"/>
    <w:uiPriority w:val="9"/>
    <w:unhideWhenUsed/>
    <w:qFormat/>
    <w:pPr>
      <w:keepNext/>
      <w:keepLines/>
      <w:spacing w:before="200" w:after="0"/>
      <w:outlineLvl w:val="5"/>
    </w:pPr>
    <w:rPr>
      <w:rFonts w:asciiTheme="majorHAnsi" w:eastAsiaTheme="majorEastAsia" w:hAnsiTheme="majorHAnsi" w:cstheme="majorBidi"/>
      <w:color w:val="C0143C"/>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CaptionChar">
    <w:name w:val="Caption Char"/>
    <w:basedOn w:val="DefaultParagraphFont"/>
    <w:link w:val="Caption"/>
    <w:qFormat/>
  </w:style>
  <w:style w:type="character" w:customStyle="1" w:styleId="VerbatimChar">
    <w:name w:val="Verbatim Char"/>
    <w:basedOn w:val="CaptionChar"/>
    <w:link w:val="SourceCode"/>
    <w:qFormat/>
    <w:rPr>
      <w:rFonts w:ascii="Consolas" w:hAnsi="Consolas"/>
      <w:sz w:val="22"/>
    </w:rPr>
  </w:style>
  <w:style w:type="character" w:customStyle="1" w:styleId="FootnoteAnchor">
    <w:name w:val="Footnote Anchor"/>
    <w:basedOn w:val="CaptionChar"/>
    <w:rPr>
      <w:vertAlign w:val="superscript"/>
    </w:rPr>
  </w:style>
  <w:style w:type="character" w:customStyle="1" w:styleId="InternetLink">
    <w:name w:val="Internet Link"/>
    <w:basedOn w:val="CaptionChar"/>
    <w:rPr>
      <w:color w:val="C0143C"/>
    </w:rPr>
  </w:style>
  <w:style w:type="paragraph" w:customStyle="1" w:styleId="Heading">
    <w:name w:val="Heading"/>
    <w:basedOn w:val="Normal"/>
    <w:next w:val="BodyText"/>
    <w:qFormat/>
    <w:pPr>
      <w:keepNext/>
      <w:spacing w:before="240" w:after="120"/>
    </w:pPr>
    <w:rPr>
      <w:rFonts w:ascii="Liberation Sans" w:eastAsia="Microsoft YaHei" w:hAnsi="Liberation Sans" w:cs="Arial Unicode MS"/>
      <w:sz w:val="28"/>
      <w:szCs w:val="28"/>
    </w:rPr>
  </w:style>
  <w:style w:type="paragraph" w:styleId="BodyText">
    <w:name w:val="Body Text"/>
    <w:basedOn w:val="Normal"/>
    <w:qFormat/>
    <w:pPr>
      <w:spacing w:before="180" w:after="180"/>
      <w:jc w:val="both"/>
    </w:pPr>
  </w:style>
  <w:style w:type="paragraph" w:styleId="List">
    <w:name w:val="List"/>
    <w:basedOn w:val="BodyText"/>
    <w:rPr>
      <w:rFonts w:cs="Arial Unicode MS"/>
    </w:rPr>
  </w:style>
  <w:style w:type="paragraph" w:styleId="Caption">
    <w:name w:val="caption"/>
    <w:basedOn w:val="Normal"/>
    <w:link w:val="CaptionChar"/>
    <w:qFormat/>
    <w:pPr>
      <w:spacing w:after="120"/>
    </w:pPr>
    <w:rPr>
      <w:i/>
    </w:rPr>
  </w:style>
  <w:style w:type="paragraph" w:customStyle="1" w:styleId="Index">
    <w:name w:val="Index"/>
    <w:basedOn w:val="Normal"/>
    <w:qFormat/>
    <w:pPr>
      <w:suppressLineNumbers/>
    </w:pPr>
    <w:rPr>
      <w:rFonts w:cs="Arial Unicode MS"/>
    </w:rPr>
  </w:style>
  <w:style w:type="paragraph" w:customStyle="1" w:styleId="FirstParagraph">
    <w:name w:val="First Paragraph"/>
    <w:basedOn w:val="BodyText"/>
    <w:qFormat/>
  </w:style>
  <w:style w:type="paragraph" w:customStyle="1" w:styleId="Compact">
    <w:name w:val="Compact"/>
    <w:basedOn w:val="BodyText"/>
    <w:qFormat/>
    <w:pPr>
      <w:spacing w:before="36" w:after="36"/>
    </w:pPr>
  </w:style>
  <w:style w:type="paragraph" w:styleId="Title">
    <w:name w:val="Title"/>
    <w:basedOn w:val="Normal"/>
    <w:qFormat/>
    <w:pPr>
      <w:keepNext/>
      <w:keepLines/>
      <w:spacing w:before="480" w:after="240"/>
    </w:pPr>
    <w:rPr>
      <w:rFonts w:asciiTheme="majorHAnsi" w:eastAsiaTheme="majorEastAsia" w:hAnsiTheme="majorHAnsi" w:cstheme="majorBidi"/>
      <w:b/>
      <w:bCs/>
      <w:color w:val="C0143C"/>
      <w:sz w:val="36"/>
      <w:szCs w:val="36"/>
    </w:rPr>
  </w:style>
  <w:style w:type="paragraph" w:styleId="Subtitle">
    <w:name w:val="Subtitle"/>
    <w:basedOn w:val="Title"/>
    <w:qFormat/>
    <w:pPr>
      <w:spacing w:before="240"/>
      <w:jc w:val="center"/>
    </w:pPr>
    <w:rPr>
      <w:sz w:val="30"/>
      <w:szCs w:val="30"/>
    </w:rPr>
  </w:style>
  <w:style w:type="paragraph" w:customStyle="1" w:styleId="Author">
    <w:name w:val="Author"/>
    <w:qFormat/>
    <w:pPr>
      <w:keepNext/>
      <w:keepLines/>
      <w:jc w:val="center"/>
    </w:pPr>
    <w:rPr>
      <w:rFonts w:eastAsiaTheme="minorHAnsi"/>
      <w:color w:val="00000A"/>
      <w:sz w:val="24"/>
    </w:rPr>
  </w:style>
  <w:style w:type="paragraph" w:styleId="Date">
    <w:name w:val="Date"/>
    <w:qFormat/>
    <w:pPr>
      <w:keepNext/>
      <w:keepLines/>
      <w:jc w:val="center"/>
    </w:pPr>
    <w:rPr>
      <w:rFonts w:eastAsiaTheme="minorHAnsi"/>
      <w:color w:val="00000A"/>
      <w:sz w:val="24"/>
    </w:rPr>
  </w:style>
  <w:style w:type="paragraph" w:customStyle="1" w:styleId="Abstract">
    <w:name w:val="Abstract"/>
    <w:basedOn w:val="Normal"/>
    <w:qFormat/>
    <w:pPr>
      <w:keepNext/>
      <w:keepLines/>
      <w:spacing w:before="300" w:after="300"/>
    </w:pPr>
    <w:rPr>
      <w:sz w:val="20"/>
      <w:szCs w:val="20"/>
    </w:rPr>
  </w:style>
  <w:style w:type="paragraph" w:styleId="Bibliography">
    <w:name w:val="Bibliography"/>
    <w:basedOn w:val="Normal"/>
    <w:qFormat/>
  </w:style>
  <w:style w:type="paragraph" w:styleId="BlockText">
    <w:name w:val="Block Text"/>
    <w:basedOn w:val="BodyText"/>
    <w:uiPriority w:val="9"/>
    <w:unhideWhenUsed/>
    <w:qFormat/>
    <w:pPr>
      <w:spacing w:before="100" w:after="100"/>
    </w:pPr>
    <w:rPr>
      <w:rFonts w:asciiTheme="majorHAnsi" w:eastAsiaTheme="majorEastAsia" w:hAnsiTheme="majorHAnsi" w:cstheme="majorBidi"/>
      <w:bCs/>
      <w:sz w:val="20"/>
      <w:szCs w:val="20"/>
    </w:rPr>
  </w:style>
  <w:style w:type="paragraph" w:styleId="FootnoteText">
    <w:name w:val="footnote text"/>
    <w:basedOn w:val="Normal"/>
    <w:uiPriority w:val="9"/>
    <w:unhideWhenUsed/>
    <w:qFormat/>
  </w:style>
  <w:style w:type="paragraph" w:customStyle="1" w:styleId="DefinitionTerm">
    <w:name w:val="Definition Term"/>
    <w:basedOn w:val="Normal"/>
    <w:qFormat/>
    <w:pPr>
      <w:keepNext/>
      <w:keepLines/>
      <w:spacing w:after="0"/>
    </w:pPr>
    <w:rPr>
      <w:b/>
    </w:rPr>
  </w:style>
  <w:style w:type="paragraph" w:customStyle="1" w:styleId="Definition">
    <w:name w:val="Definition"/>
    <w:basedOn w:val="Normal"/>
    <w:qFormat/>
  </w:style>
  <w:style w:type="paragraph" w:customStyle="1" w:styleId="TableCaption">
    <w:name w:val="Table Caption"/>
    <w:basedOn w:val="Caption"/>
    <w:qFormat/>
    <w:pPr>
      <w:keepNext/>
    </w:pPr>
  </w:style>
  <w:style w:type="paragraph" w:customStyle="1" w:styleId="ImageCaption">
    <w:name w:val="Image Caption"/>
    <w:basedOn w:val="Caption"/>
    <w:qFormat/>
  </w:style>
  <w:style w:type="paragraph" w:customStyle="1" w:styleId="Figure">
    <w:name w:val="Figure"/>
    <w:basedOn w:val="Normal"/>
    <w:qFormat/>
  </w:style>
  <w:style w:type="paragraph" w:customStyle="1" w:styleId="FigurewithCaption">
    <w:name w:val="Figure with Caption"/>
    <w:basedOn w:val="Figure"/>
    <w:qFormat/>
    <w:pPr>
      <w:keepNext/>
    </w:pPr>
  </w:style>
  <w:style w:type="paragraph" w:styleId="TOCHeading">
    <w:name w:val="TOC Heading"/>
    <w:basedOn w:val="Heading1"/>
    <w:uiPriority w:val="39"/>
    <w:unhideWhenUsed/>
    <w:qFormat/>
    <w:pPr>
      <w:spacing w:before="240" w:line="259" w:lineRule="auto"/>
    </w:pPr>
    <w:rPr>
      <w:b w:val="0"/>
      <w:bCs w:val="0"/>
    </w:rPr>
  </w:style>
  <w:style w:type="paragraph" w:customStyle="1" w:styleId="Disclaimer">
    <w:name w:val="Disclaimer"/>
    <w:basedOn w:val="Normal"/>
    <w:qFormat/>
    <w:pPr>
      <w:pBdr>
        <w:top w:val="single" w:sz="2" w:space="1" w:color="000001"/>
        <w:left w:val="single" w:sz="2" w:space="1" w:color="000001"/>
        <w:bottom w:val="single" w:sz="2" w:space="1" w:color="000001"/>
        <w:right w:val="single" w:sz="2" w:space="1" w:color="000001"/>
      </w:pBdr>
      <w:shd w:val="clear" w:color="auto" w:fill="DDDDDD"/>
      <w:spacing w:before="101" w:after="101"/>
      <w:jc w:val="both"/>
    </w:pPr>
  </w:style>
  <w:style w:type="paragraph" w:customStyle="1" w:styleId="BlackStrips">
    <w:name w:val="Black Strips"/>
    <w:basedOn w:val="Normal"/>
    <w:qFormat/>
    <w:pPr>
      <w:shd w:val="clear" w:color="auto" w:fill="000000"/>
      <w:jc w:val="center"/>
    </w:pPr>
    <w:rPr>
      <w:color w:val="FFFFFF"/>
    </w:rPr>
  </w:style>
  <w:style w:type="paragraph" w:customStyle="1" w:styleId="DisclaimerBold">
    <w:name w:val="Disclaimer Bold"/>
    <w:basedOn w:val="Disclaimer"/>
    <w:qFormat/>
    <w:pPr>
      <w:jc w:val="left"/>
    </w:pPr>
    <w:rPr>
      <w:b/>
    </w:rPr>
  </w:style>
  <w:style w:type="paragraph" w:customStyle="1" w:styleId="ReadOnline">
    <w:name w:val="Read Online"/>
    <w:basedOn w:val="Normal"/>
    <w:qFormat/>
    <w:pPr>
      <w:jc w:val="center"/>
    </w:pPr>
    <w:rPr>
      <w:sz w:val="28"/>
      <w:u w:val="single"/>
    </w:rPr>
  </w:style>
  <w:style w:type="paragraph" w:customStyle="1" w:styleId="SourceCode">
    <w:name w:val="Source Code"/>
    <w:basedOn w:val="Normal"/>
    <w:link w:val="VerbatimChar"/>
    <w:pPr>
      <w:wordWrap w:val="0"/>
    </w:pPr>
  </w:style>
  <w:style w:type="character" w:customStyle="1" w:styleId="KeywordTok">
    <w:name w:val="KeywordTok"/>
    <w:basedOn w:val="VerbatimChar"/>
    <w:rPr>
      <w:rFonts w:ascii="Consolas" w:hAnsi="Consolas"/>
      <w:b/>
      <w:color w:val="007020"/>
      <w:sz w:val="22"/>
    </w:rPr>
  </w:style>
  <w:style w:type="character" w:customStyle="1" w:styleId="DataTypeTok">
    <w:name w:val="DataTypeTok"/>
    <w:basedOn w:val="VerbatimChar"/>
    <w:rPr>
      <w:rFonts w:ascii="Consolas" w:hAnsi="Consolas"/>
      <w:color w:val="902000"/>
      <w:sz w:val="22"/>
    </w:rPr>
  </w:style>
  <w:style w:type="character" w:customStyle="1" w:styleId="DecValTok">
    <w:name w:val="DecValTok"/>
    <w:basedOn w:val="VerbatimChar"/>
    <w:rPr>
      <w:rFonts w:ascii="Consolas" w:hAnsi="Consolas"/>
      <w:color w:val="40A070"/>
      <w:sz w:val="22"/>
    </w:rPr>
  </w:style>
  <w:style w:type="character" w:customStyle="1" w:styleId="BaseNTok">
    <w:name w:val="BaseNTok"/>
    <w:basedOn w:val="VerbatimChar"/>
    <w:rPr>
      <w:rFonts w:ascii="Consolas" w:hAnsi="Consolas"/>
      <w:color w:val="40A070"/>
      <w:sz w:val="22"/>
    </w:rPr>
  </w:style>
  <w:style w:type="character" w:customStyle="1" w:styleId="FloatTok">
    <w:name w:val="FloatTok"/>
    <w:basedOn w:val="VerbatimChar"/>
    <w:rPr>
      <w:rFonts w:ascii="Consolas" w:hAnsi="Consolas"/>
      <w:color w:val="40A070"/>
      <w:sz w:val="22"/>
    </w:rPr>
  </w:style>
  <w:style w:type="character" w:customStyle="1" w:styleId="ConstantTok">
    <w:name w:val="ConstantTok"/>
    <w:basedOn w:val="VerbatimChar"/>
    <w:rPr>
      <w:rFonts w:ascii="Consolas" w:hAnsi="Consolas"/>
      <w:color w:val="880000"/>
      <w:sz w:val="22"/>
    </w:rPr>
  </w:style>
  <w:style w:type="character" w:customStyle="1" w:styleId="CharTok">
    <w:name w:val="CharTok"/>
    <w:basedOn w:val="VerbatimChar"/>
    <w:rPr>
      <w:rFonts w:ascii="Consolas" w:hAnsi="Consolas"/>
      <w:color w:val="4070A0"/>
      <w:sz w:val="22"/>
    </w:rPr>
  </w:style>
  <w:style w:type="character" w:customStyle="1" w:styleId="SpecialCharTok">
    <w:name w:val="SpecialCharTok"/>
    <w:basedOn w:val="VerbatimChar"/>
    <w:rPr>
      <w:rFonts w:ascii="Consolas" w:hAnsi="Consolas"/>
      <w:color w:val="4070A0"/>
      <w:sz w:val="22"/>
    </w:rPr>
  </w:style>
  <w:style w:type="character" w:customStyle="1" w:styleId="StringTok">
    <w:name w:val="StringTok"/>
    <w:basedOn w:val="VerbatimChar"/>
    <w:rPr>
      <w:rFonts w:ascii="Consolas" w:hAnsi="Consolas"/>
      <w:color w:val="4070A0"/>
      <w:sz w:val="22"/>
    </w:rPr>
  </w:style>
  <w:style w:type="character" w:customStyle="1" w:styleId="VerbatimStringTok">
    <w:name w:val="VerbatimStringTok"/>
    <w:basedOn w:val="VerbatimChar"/>
    <w:rPr>
      <w:rFonts w:ascii="Consolas" w:hAnsi="Consolas"/>
      <w:color w:val="4070A0"/>
      <w:sz w:val="22"/>
    </w:rPr>
  </w:style>
  <w:style w:type="character" w:customStyle="1" w:styleId="SpecialStringTok">
    <w:name w:val="SpecialStringTok"/>
    <w:basedOn w:val="VerbatimChar"/>
    <w:rPr>
      <w:rFonts w:ascii="Consolas" w:hAnsi="Consolas"/>
      <w:color w:val="BB6688"/>
      <w:sz w:val="22"/>
    </w:rPr>
  </w:style>
  <w:style w:type="character" w:customStyle="1" w:styleId="ImportTok">
    <w:name w:val="ImportTok"/>
    <w:basedOn w:val="VerbatimChar"/>
    <w:rPr>
      <w:rFonts w:ascii="Consolas" w:hAnsi="Consolas"/>
      <w:sz w:val="22"/>
    </w:rPr>
  </w:style>
  <w:style w:type="character" w:customStyle="1" w:styleId="CommentTok">
    <w:name w:val="CommentTok"/>
    <w:basedOn w:val="VerbatimChar"/>
    <w:rPr>
      <w:rFonts w:ascii="Consolas" w:hAnsi="Consolas"/>
      <w:i/>
      <w:color w:val="60A0B0"/>
      <w:sz w:val="22"/>
    </w:rPr>
  </w:style>
  <w:style w:type="character" w:customStyle="1" w:styleId="DocumentationTok">
    <w:name w:val="DocumentationTok"/>
    <w:basedOn w:val="VerbatimChar"/>
    <w:rPr>
      <w:rFonts w:ascii="Consolas" w:hAnsi="Consolas"/>
      <w:i/>
      <w:color w:val="BA2121"/>
      <w:sz w:val="22"/>
    </w:rPr>
  </w:style>
  <w:style w:type="character" w:customStyle="1" w:styleId="AnnotationTok">
    <w:name w:val="AnnotationTok"/>
    <w:basedOn w:val="VerbatimChar"/>
    <w:rPr>
      <w:rFonts w:ascii="Consolas" w:hAnsi="Consolas"/>
      <w:b/>
      <w:i/>
      <w:color w:val="60A0B0"/>
      <w:sz w:val="22"/>
    </w:rPr>
  </w:style>
  <w:style w:type="character" w:customStyle="1" w:styleId="CommentVarTok">
    <w:name w:val="CommentVarTok"/>
    <w:basedOn w:val="VerbatimChar"/>
    <w:rPr>
      <w:rFonts w:ascii="Consolas" w:hAnsi="Consolas"/>
      <w:b/>
      <w:i/>
      <w:color w:val="60A0B0"/>
      <w:sz w:val="22"/>
    </w:rPr>
  </w:style>
  <w:style w:type="character" w:customStyle="1" w:styleId="OtherTok">
    <w:name w:val="OtherTok"/>
    <w:basedOn w:val="VerbatimChar"/>
    <w:rPr>
      <w:rFonts w:ascii="Consolas" w:hAnsi="Consolas"/>
      <w:color w:val="007020"/>
      <w:sz w:val="22"/>
    </w:rPr>
  </w:style>
  <w:style w:type="character" w:customStyle="1" w:styleId="FunctionTok">
    <w:name w:val="FunctionTok"/>
    <w:basedOn w:val="VerbatimChar"/>
    <w:rPr>
      <w:rFonts w:ascii="Consolas" w:hAnsi="Consolas"/>
      <w:color w:val="06287E"/>
      <w:sz w:val="22"/>
    </w:rPr>
  </w:style>
  <w:style w:type="character" w:customStyle="1" w:styleId="VariableTok">
    <w:name w:val="VariableTok"/>
    <w:basedOn w:val="VerbatimChar"/>
    <w:rPr>
      <w:rFonts w:ascii="Consolas" w:hAnsi="Consolas"/>
      <w:color w:val="19177C"/>
      <w:sz w:val="22"/>
    </w:rPr>
  </w:style>
  <w:style w:type="character" w:customStyle="1" w:styleId="ControlFlowTok">
    <w:name w:val="ControlFlowTok"/>
    <w:basedOn w:val="VerbatimChar"/>
    <w:rPr>
      <w:rFonts w:ascii="Consolas" w:hAnsi="Consolas"/>
      <w:b/>
      <w:color w:val="007020"/>
      <w:sz w:val="22"/>
    </w:rPr>
  </w:style>
  <w:style w:type="character" w:customStyle="1" w:styleId="OperatorTok">
    <w:name w:val="OperatorTok"/>
    <w:basedOn w:val="VerbatimChar"/>
    <w:rPr>
      <w:rFonts w:ascii="Consolas" w:hAnsi="Consolas"/>
      <w:color w:val="666666"/>
      <w:sz w:val="22"/>
    </w:rPr>
  </w:style>
  <w:style w:type="character" w:customStyle="1" w:styleId="BuiltInTok">
    <w:name w:val="BuiltInTok"/>
    <w:basedOn w:val="VerbatimChar"/>
    <w:rPr>
      <w:rFonts w:ascii="Consolas" w:hAnsi="Consolas"/>
      <w:sz w:val="22"/>
    </w:rPr>
  </w:style>
  <w:style w:type="character" w:customStyle="1" w:styleId="ExtensionTok">
    <w:name w:val="ExtensionTok"/>
    <w:basedOn w:val="VerbatimChar"/>
    <w:rPr>
      <w:rFonts w:ascii="Consolas" w:hAnsi="Consolas"/>
      <w:sz w:val="22"/>
    </w:rPr>
  </w:style>
  <w:style w:type="character" w:customStyle="1" w:styleId="PreprocessorTok">
    <w:name w:val="PreprocessorTok"/>
    <w:basedOn w:val="VerbatimChar"/>
    <w:rPr>
      <w:rFonts w:ascii="Consolas" w:hAnsi="Consolas"/>
      <w:color w:val="BC7A00"/>
      <w:sz w:val="22"/>
    </w:rPr>
  </w:style>
  <w:style w:type="character" w:customStyle="1" w:styleId="AttributeTok">
    <w:name w:val="AttributeTok"/>
    <w:basedOn w:val="VerbatimChar"/>
    <w:rPr>
      <w:rFonts w:ascii="Consolas" w:hAnsi="Consolas"/>
      <w:color w:val="7D9029"/>
      <w:sz w:val="22"/>
    </w:rPr>
  </w:style>
  <w:style w:type="character" w:customStyle="1" w:styleId="RegionMarkerTok">
    <w:name w:val="RegionMarkerTok"/>
    <w:basedOn w:val="VerbatimChar"/>
    <w:rPr>
      <w:rFonts w:ascii="Consolas" w:hAnsi="Consolas"/>
      <w:sz w:val="22"/>
    </w:rPr>
  </w:style>
  <w:style w:type="character" w:customStyle="1" w:styleId="InformationTok">
    <w:name w:val="InformationTok"/>
    <w:basedOn w:val="VerbatimChar"/>
    <w:rPr>
      <w:rFonts w:ascii="Consolas" w:hAnsi="Consolas"/>
      <w:b/>
      <w:i/>
      <w:color w:val="60A0B0"/>
      <w:sz w:val="22"/>
    </w:rPr>
  </w:style>
  <w:style w:type="character" w:customStyle="1" w:styleId="WarningTok">
    <w:name w:val="WarningTok"/>
    <w:basedOn w:val="VerbatimChar"/>
    <w:rPr>
      <w:rFonts w:ascii="Consolas" w:hAnsi="Consolas"/>
      <w:b/>
      <w:i/>
      <w:color w:val="60A0B0"/>
      <w:sz w:val="22"/>
    </w:rPr>
  </w:style>
  <w:style w:type="character" w:customStyle="1" w:styleId="AlertTok">
    <w:name w:val="AlertTok"/>
    <w:basedOn w:val="VerbatimChar"/>
    <w:rPr>
      <w:rFonts w:ascii="Consolas" w:hAnsi="Consolas"/>
      <w:b/>
      <w:color w:val="FF0000"/>
      <w:sz w:val="22"/>
    </w:rPr>
  </w:style>
  <w:style w:type="character" w:customStyle="1" w:styleId="ErrorTok">
    <w:name w:val="ErrorTok"/>
    <w:basedOn w:val="VerbatimChar"/>
    <w:rPr>
      <w:rFonts w:ascii="Consolas" w:hAnsi="Consolas"/>
      <w:b/>
      <w:color w:val="FF0000"/>
      <w:sz w:val="22"/>
    </w:rPr>
  </w:style>
  <w:style w:type="character" w:customStyle="1" w:styleId="NormalTok">
    <w:name w:val="NormalTok"/>
    <w:basedOn w:val="VerbatimChar"/>
    <w:rPr>
      <w:rFonts w:ascii="Consolas" w:hAnsi="Consolas"/>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hkex.com.hk/-/media/HKEX-Market/News/Market-Consultations/2016-Present/August-2024-Further-Expand-the-Paperless/Consultation-Paper/cp202408_c.pdf"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www.charltonslaw.com.cn/xiang-gang-lian-jiao-suo-jiu-jin-yi-bu-kuo-da-qi-wu-zhi-hua-shang-shi-ji-zhi-jin-xing-zi-xun"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unsubscribe@charltonslaw.com?subject=unsubscribe%20-Hong%20Kong%20Law-" TargetMode="External"/><Relationship Id="rId5" Type="http://schemas.openxmlformats.org/officeDocument/2006/relationships/footnotes" Target="footnotes.xml"/><Relationship Id="rId10" Type="http://schemas.openxmlformats.org/officeDocument/2006/relationships/hyperlink" Target="https://www.hkex.com.hk/-/media/HKEX-Market/News/Market-Consultations/2016-Present/August-2019-Codification-of-General-Waivers/Consultation-Paper/cp201908.pdf" TargetMode="External"/><Relationship Id="rId4" Type="http://schemas.openxmlformats.org/officeDocument/2006/relationships/webSettings" Target="webSettings.xml"/><Relationship Id="rId9" Type="http://schemas.openxmlformats.org/officeDocument/2006/relationships/hyperlink" Target="https://www.charltonslaw.com.cn/cai-jing-shi-wu-ji-ku-wu-ju-jiu-xiang-gang-gong-si-yi-wu-zhi-hua-fang-shi-tong-xun-zhan-kai-gong-zhong-zi-xu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48</TotalTime>
  <Pages>6</Pages>
  <Words>1134</Words>
  <Characters>6466</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
    </vt:vector>
  </TitlesOfParts>
  <Company>Charltons</Company>
  <LinksUpToDate>false</LinksUpToDate>
  <CharactersWithSpaces>7585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cp:lastModifiedBy>Tails Kun Yin Xiang</cp:lastModifiedBy>
  <cp:revision>5</cp:revision>
  <dcterms:created xsi:type="dcterms:W3CDTF">2025-05-16T03:47:00Z</dcterms:created>
  <dcterms:modified xsi:type="dcterms:W3CDTF">2025-05-16T04:13:00Z</dcterms:modified>
</cp:coreProperties>
</file>