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3D" w:rsidRDefault="005855A4">
      <w:pPr>
        <w:pStyle w:val="BlackStrips"/>
      </w:pPr>
      <w:r>
        <w:t xml:space="preserve">Charltons - </w:t>
      </w:r>
      <w:r>
        <w:t>香港法律</w:t>
      </w:r>
      <w:r>
        <w:t xml:space="preserve"> - 2025</w:t>
      </w:r>
      <w:r>
        <w:t>年</w:t>
      </w:r>
      <w:r>
        <w:t>6</w:t>
      </w:r>
      <w:r>
        <w:t>月</w:t>
      </w:r>
      <w:r>
        <w:t>2</w:t>
      </w:r>
      <w:r>
        <w:t>日</w:t>
      </w:r>
    </w:p>
    <w:p w:rsidR="00B50D3D" w:rsidRDefault="005855A4">
      <w:pPr>
        <w:pStyle w:val="ReadOnline"/>
      </w:pPr>
      <w:hyperlink r:id="rId7">
        <w:r>
          <w:t>online version</w:t>
        </w:r>
      </w:hyperlink>
    </w:p>
    <w:p w:rsidR="00B50D3D" w:rsidRDefault="005855A4">
      <w:pPr>
        <w:pStyle w:val="Title"/>
      </w:pPr>
      <w:r>
        <w:t>香港法院责令</w:t>
      </w:r>
      <w:r>
        <w:t>JPEX</w:t>
      </w:r>
      <w:r>
        <w:t>向客户返还</w:t>
      </w:r>
      <w:r>
        <w:t>247,498</w:t>
      </w:r>
      <w:r>
        <w:t>泰达币</w:t>
      </w:r>
    </w:p>
    <w:p w:rsidR="00B50D3D" w:rsidRDefault="005855A4">
      <w:pPr>
        <w:pStyle w:val="FirstParagraph"/>
        <w:rPr>
          <w:lang w:eastAsia="zh-CN"/>
        </w:rPr>
      </w:pPr>
      <w:r>
        <w:rPr>
          <w:lang w:eastAsia="zh-CN"/>
        </w:rPr>
        <w:t>香港区域法院已对无牌加密货币交易平台</w:t>
      </w:r>
      <w:r>
        <w:rPr>
          <w:lang w:eastAsia="zh-CN"/>
        </w:rPr>
        <w:t>JPEX</w:t>
      </w:r>
      <w:r>
        <w:rPr>
          <w:lang w:eastAsia="zh-CN"/>
        </w:rPr>
        <w:t>的运营者作出</w:t>
      </w:r>
      <w:hyperlink r:id="rId8">
        <w:r>
          <w:rPr>
            <w:lang w:eastAsia="zh-CN"/>
          </w:rPr>
          <w:t>欠动判決</w:t>
        </w:r>
      </w:hyperlink>
      <w:hyperlink w:anchor="footnote-598-1">
        <w:r>
          <w:rPr>
            <w:vertAlign w:val="superscript"/>
            <w:lang w:eastAsia="zh-CN"/>
          </w:rPr>
          <w:t>1</w:t>
        </w:r>
      </w:hyperlink>
      <w:r>
        <w:rPr>
          <w:lang w:eastAsia="zh-CN"/>
        </w:rPr>
        <w:t>。这是由两名原告提起的针对</w:t>
      </w:r>
      <w:r>
        <w:rPr>
          <w:lang w:eastAsia="zh-CN"/>
        </w:rPr>
        <w:t>JPEX</w:t>
      </w:r>
      <w:r>
        <w:rPr>
          <w:lang w:eastAsia="zh-CN"/>
        </w:rPr>
        <w:t>平台的首起民事诉讼，这两名原告无法提取他们在该平台存入的</w:t>
      </w:r>
      <w:r>
        <w:rPr>
          <w:lang w:eastAsia="zh-CN"/>
        </w:rPr>
        <w:t>247,498</w:t>
      </w:r>
      <w:r>
        <w:rPr>
          <w:lang w:eastAsia="zh-CN"/>
        </w:rPr>
        <w:t>泰达币（</w:t>
      </w:r>
      <w:r>
        <w:rPr>
          <w:lang w:eastAsia="zh-CN"/>
        </w:rPr>
        <w:t xml:space="preserve">USDT </w:t>
      </w:r>
      <w:r>
        <w:rPr>
          <w:lang w:eastAsia="zh-CN"/>
        </w:rPr>
        <w:t>Tether</w:t>
      </w:r>
      <w:r>
        <w:rPr>
          <w:lang w:eastAsia="zh-CN"/>
        </w:rPr>
        <w:t>）。该案件涉及七名被告，包括</w:t>
      </w:r>
      <w:r>
        <w:rPr>
          <w:lang w:eastAsia="zh-CN"/>
        </w:rPr>
        <w:t>JPEX</w:t>
      </w:r>
      <w:r>
        <w:rPr>
          <w:lang w:eastAsia="zh-CN"/>
        </w:rPr>
        <w:t>平台的运营方</w:t>
      </w:r>
      <w:r>
        <w:rPr>
          <w:lang w:eastAsia="zh-CN"/>
        </w:rPr>
        <w:t>JP-EX Crypto Asset Platform Pty Ltd</w:t>
      </w:r>
      <w:r>
        <w:rPr>
          <w:lang w:eastAsia="zh-CN"/>
        </w:rPr>
        <w:t>以及在香港注册成立的</w:t>
      </w:r>
      <w:r w:rsidR="00362D6A">
        <w:rPr>
          <w:rFonts w:eastAsiaTheme="minorEastAsia" w:hint="eastAsia"/>
          <w:lang w:eastAsia="zh-CN"/>
        </w:rPr>
        <w:t xml:space="preserve"> </w:t>
      </w:r>
      <w:r>
        <w:rPr>
          <w:lang w:eastAsia="zh-CN"/>
        </w:rPr>
        <w:t>Web3.0 Technical Support Limited</w:t>
      </w:r>
      <w:r>
        <w:rPr>
          <w:lang w:eastAsia="zh-CN"/>
        </w:rPr>
        <w:t>（统称</w:t>
      </w:r>
      <w:r>
        <w:rPr>
          <w:b/>
          <w:lang w:eastAsia="zh-CN"/>
        </w:rPr>
        <w:t>JPEX</w:t>
      </w:r>
      <w:r>
        <w:rPr>
          <w:lang w:eastAsia="zh-CN"/>
        </w:rPr>
        <w:t>）。在这一很可能对其他试图挽回在</w:t>
      </w:r>
      <w:r>
        <w:rPr>
          <w:lang w:eastAsia="zh-CN"/>
        </w:rPr>
        <w:t>JPEX</w:t>
      </w:r>
      <w:r>
        <w:rPr>
          <w:lang w:eastAsia="zh-CN"/>
        </w:rPr>
        <w:t>平台所遭受损失的投资者具有重要意义的判决中，法院责令</w:t>
      </w:r>
      <w:r>
        <w:rPr>
          <w:lang w:eastAsia="zh-CN"/>
        </w:rPr>
        <w:t>JPEX</w:t>
      </w:r>
      <w:r>
        <w:rPr>
          <w:lang w:eastAsia="zh-CN"/>
        </w:rPr>
        <w:t>向原告交付所存入的泰达币，或者以其他方式向他们支付合理补偿。</w:t>
      </w:r>
    </w:p>
    <w:p w:rsidR="00B50D3D" w:rsidRDefault="005855A4">
      <w:pPr>
        <w:pStyle w:val="BodyText"/>
        <w:rPr>
          <w:lang w:eastAsia="zh-CN"/>
        </w:rPr>
      </w:pPr>
      <w:r>
        <w:rPr>
          <w:lang w:eastAsia="zh-CN"/>
        </w:rPr>
        <w:t>该案件所涉及的事件发生在</w:t>
      </w:r>
      <w:r>
        <w:rPr>
          <w:lang w:eastAsia="zh-CN"/>
        </w:rPr>
        <w:t>2023</w:t>
      </w:r>
      <w:r>
        <w:rPr>
          <w:lang w:eastAsia="zh-CN"/>
        </w:rPr>
        <w:t>年</w:t>
      </w:r>
      <w:r>
        <w:rPr>
          <w:lang w:eastAsia="zh-CN"/>
        </w:rPr>
        <w:t>7</w:t>
      </w:r>
      <w:r>
        <w:rPr>
          <w:lang w:eastAsia="zh-CN"/>
        </w:rPr>
        <w:t>月至</w:t>
      </w:r>
      <w:r>
        <w:rPr>
          <w:lang w:eastAsia="zh-CN"/>
        </w:rPr>
        <w:t>9</w:t>
      </w:r>
      <w:r>
        <w:rPr>
          <w:lang w:eastAsia="zh-CN"/>
        </w:rPr>
        <w:t>月期间。于</w:t>
      </w:r>
      <w:r>
        <w:rPr>
          <w:lang w:eastAsia="zh-CN"/>
        </w:rPr>
        <w:t>2023</w:t>
      </w:r>
      <w:r>
        <w:rPr>
          <w:lang w:eastAsia="zh-CN"/>
        </w:rPr>
        <w:t>年</w:t>
      </w:r>
      <w:r>
        <w:rPr>
          <w:lang w:eastAsia="zh-CN"/>
        </w:rPr>
        <w:t>9</w:t>
      </w:r>
      <w:r>
        <w:rPr>
          <w:lang w:eastAsia="zh-CN"/>
        </w:rPr>
        <w:t>月，香港证券及期货事务监察委员会（</w:t>
      </w:r>
      <w:r>
        <w:rPr>
          <w:b/>
          <w:lang w:eastAsia="zh-CN"/>
        </w:rPr>
        <w:t>证监会</w:t>
      </w:r>
      <w:r>
        <w:rPr>
          <w:lang w:eastAsia="zh-CN"/>
        </w:rPr>
        <w:t>）发布了两份声明，</w:t>
      </w:r>
      <w:r>
        <w:rPr>
          <w:lang w:eastAsia="zh-CN"/>
        </w:rPr>
        <w:t>警告投资者警惕</w:t>
      </w:r>
      <w:r>
        <w:rPr>
          <w:lang w:eastAsia="zh-CN"/>
        </w:rPr>
        <w:t>JPEX</w:t>
      </w:r>
      <w:r>
        <w:rPr>
          <w:lang w:eastAsia="zh-CN"/>
        </w:rPr>
        <w:t>及其他相关方的可疑活动。该等声明还警告称，</w:t>
      </w:r>
      <w:r>
        <w:rPr>
          <w:lang w:eastAsia="zh-CN"/>
        </w:rPr>
        <w:t>JPEX</w:t>
      </w:r>
      <w:r>
        <w:rPr>
          <w:lang w:eastAsia="zh-CN"/>
        </w:rPr>
        <w:t>没有且也未曾申请在香港获得运营虚拟资产交易平台的牌照，并且与它所宣称的情况相反，它也未获得迪拜虚拟资产监管局颁发的牌照。截至</w:t>
      </w:r>
      <w:r>
        <w:rPr>
          <w:lang w:eastAsia="zh-CN"/>
        </w:rPr>
        <w:t>2024</w:t>
      </w:r>
      <w:r>
        <w:rPr>
          <w:lang w:eastAsia="zh-CN"/>
        </w:rPr>
        <w:t>年</w:t>
      </w:r>
      <w:r>
        <w:rPr>
          <w:lang w:eastAsia="zh-CN"/>
        </w:rPr>
        <w:t>4</w:t>
      </w:r>
      <w:r>
        <w:rPr>
          <w:lang w:eastAsia="zh-CN"/>
        </w:rPr>
        <w:t>月，据报道，香港警方已逮捕了</w:t>
      </w:r>
      <w:r>
        <w:rPr>
          <w:lang w:eastAsia="zh-CN"/>
        </w:rPr>
        <w:t>70</w:t>
      </w:r>
      <w:r>
        <w:rPr>
          <w:lang w:eastAsia="zh-CN"/>
        </w:rPr>
        <w:t>多名据称与</w:t>
      </w:r>
      <w:r>
        <w:rPr>
          <w:lang w:eastAsia="zh-CN"/>
        </w:rPr>
        <w:t>JPEX</w:t>
      </w:r>
      <w:r>
        <w:rPr>
          <w:lang w:eastAsia="zh-CN"/>
        </w:rPr>
        <w:t>丑闻有关的人员，该丑闻据称涉及</w:t>
      </w:r>
      <w:r>
        <w:rPr>
          <w:lang w:eastAsia="zh-CN"/>
        </w:rPr>
        <w:t>2,600</w:t>
      </w:r>
      <w:r>
        <w:rPr>
          <w:lang w:eastAsia="zh-CN"/>
        </w:rPr>
        <w:t>多名受害者，造成的损失超过</w:t>
      </w:r>
      <w:r>
        <w:rPr>
          <w:lang w:eastAsia="zh-CN"/>
        </w:rPr>
        <w:t>16</w:t>
      </w:r>
      <w:r>
        <w:rPr>
          <w:lang w:eastAsia="zh-CN"/>
        </w:rPr>
        <w:t>亿港元</w:t>
      </w:r>
      <w:hyperlink w:anchor="footnote-598-2">
        <w:r>
          <w:rPr>
            <w:vertAlign w:val="superscript"/>
            <w:lang w:eastAsia="zh-CN"/>
          </w:rPr>
          <w:t>2</w:t>
        </w:r>
      </w:hyperlink>
      <w:r>
        <w:rPr>
          <w:lang w:eastAsia="zh-CN"/>
        </w:rPr>
        <w:t>。欲了解更多关于证监会针对</w:t>
      </w:r>
      <w:r>
        <w:rPr>
          <w:lang w:eastAsia="zh-CN"/>
        </w:rPr>
        <w:t>JPEX</w:t>
      </w:r>
      <w:r>
        <w:rPr>
          <w:lang w:eastAsia="zh-CN"/>
        </w:rPr>
        <w:t>发出的警告的相关信息，请查阅我们的时事通讯</w:t>
      </w:r>
      <w:hyperlink r:id="rId9">
        <w:r w:rsidRPr="00362D6A">
          <w:rPr>
            <w:color w:val="FF0000"/>
            <w:u w:val="single"/>
            <w:lang w:eastAsia="zh-CN"/>
          </w:rPr>
          <w:t>香港警方逮捕</w:t>
        </w:r>
        <w:r w:rsidRPr="00362D6A">
          <w:rPr>
            <w:color w:val="FF0000"/>
            <w:u w:val="single"/>
            <w:lang w:eastAsia="zh-CN"/>
          </w:rPr>
          <w:t>JPEX</w:t>
        </w:r>
        <w:r w:rsidRPr="00362D6A">
          <w:rPr>
            <w:color w:val="FF0000"/>
            <w:u w:val="single"/>
            <w:lang w:eastAsia="zh-CN"/>
          </w:rPr>
          <w:t>丑闻的嫌疑人</w:t>
        </w:r>
      </w:hyperlink>
      <w:r>
        <w:rPr>
          <w:lang w:eastAsia="zh-CN"/>
        </w:rPr>
        <w:t>。</w:t>
      </w:r>
    </w:p>
    <w:p w:rsidR="00B50D3D" w:rsidRPr="00362D6A" w:rsidRDefault="005855A4">
      <w:pPr>
        <w:pStyle w:val="BodyText"/>
        <w:rPr>
          <w:b/>
          <w:color w:val="FF0000"/>
          <w:lang w:eastAsia="zh-CN"/>
        </w:rPr>
      </w:pPr>
      <w:r w:rsidRPr="00362D6A">
        <w:rPr>
          <w:b/>
          <w:color w:val="FF0000"/>
          <w:lang w:eastAsia="zh-CN"/>
        </w:rPr>
        <w:t xml:space="preserve">JPEX: </w:t>
      </w:r>
      <w:r w:rsidRPr="00362D6A">
        <w:rPr>
          <w:b/>
          <w:color w:val="FF0000"/>
          <w:lang w:eastAsia="zh-CN"/>
        </w:rPr>
        <w:t>事实</w:t>
      </w:r>
    </w:p>
    <w:p w:rsidR="00B50D3D" w:rsidRDefault="005855A4">
      <w:pPr>
        <w:pStyle w:val="BodyText"/>
        <w:rPr>
          <w:lang w:eastAsia="zh-CN"/>
        </w:rPr>
      </w:pPr>
      <w:r>
        <w:rPr>
          <w:lang w:eastAsia="zh-CN"/>
        </w:rPr>
        <w:t>本案的原告是</w:t>
      </w:r>
      <w:r>
        <w:rPr>
          <w:lang w:eastAsia="zh-CN"/>
        </w:rPr>
        <w:t>JPEX</w:t>
      </w:r>
      <w:r>
        <w:rPr>
          <w:lang w:eastAsia="zh-CN"/>
        </w:rPr>
        <w:t>平台的注册用户，他们将</w:t>
      </w:r>
      <w:r>
        <w:rPr>
          <w:lang w:eastAsia="zh-CN"/>
        </w:rPr>
        <w:t>247,498</w:t>
      </w:r>
      <w:r>
        <w:rPr>
          <w:lang w:eastAsia="zh-CN"/>
        </w:rPr>
        <w:t>泰达币存入了他们认为是与在</w:t>
      </w:r>
      <w:r>
        <w:rPr>
          <w:lang w:eastAsia="zh-CN"/>
        </w:rPr>
        <w:t>JPEX</w:t>
      </w:r>
      <w:r>
        <w:rPr>
          <w:lang w:eastAsia="zh-CN"/>
        </w:rPr>
        <w:t>平台注册的账户相对应的钱包中。尽管原告能够登录账户，但平台并未向他们提供这些钱包的私钥。</w:t>
      </w:r>
      <w:r>
        <w:rPr>
          <w:lang w:eastAsia="zh-CN"/>
        </w:rPr>
        <w:t>2023</w:t>
      </w:r>
      <w:r>
        <w:rPr>
          <w:lang w:eastAsia="zh-CN"/>
        </w:rPr>
        <w:t>年</w:t>
      </w:r>
      <w:r>
        <w:rPr>
          <w:lang w:eastAsia="zh-CN"/>
        </w:rPr>
        <w:t>9</w:t>
      </w:r>
      <w:r>
        <w:rPr>
          <w:lang w:eastAsia="zh-CN"/>
        </w:rPr>
        <w:t>月</w:t>
      </w:r>
      <w:r>
        <w:rPr>
          <w:lang w:eastAsia="zh-CN"/>
        </w:rPr>
        <w:t>15</w:t>
      </w:r>
      <w:r>
        <w:rPr>
          <w:lang w:eastAsia="zh-CN"/>
        </w:rPr>
        <w:t>日和</w:t>
      </w:r>
      <w:r>
        <w:rPr>
          <w:lang w:eastAsia="zh-CN"/>
        </w:rPr>
        <w:t>27</w:t>
      </w:r>
      <w:r>
        <w:rPr>
          <w:lang w:eastAsia="zh-CN"/>
        </w:rPr>
        <w:t>日，原告向</w:t>
      </w:r>
      <w:r>
        <w:rPr>
          <w:lang w:eastAsia="zh-CN"/>
        </w:rPr>
        <w:t>JPEX</w:t>
      </w:r>
      <w:r>
        <w:rPr>
          <w:lang w:eastAsia="zh-CN"/>
        </w:rPr>
        <w:t>提交了紧急提取其泰达币的申请，但</w:t>
      </w:r>
      <w:r>
        <w:rPr>
          <w:lang w:eastAsia="zh-CN"/>
        </w:rPr>
        <w:t>JPEX</w:t>
      </w:r>
      <w:r>
        <w:rPr>
          <w:lang w:eastAsia="zh-CN"/>
        </w:rPr>
        <w:t>未能返还他们的泰</w:t>
      </w:r>
      <w:r>
        <w:rPr>
          <w:lang w:eastAsia="zh-CN"/>
        </w:rPr>
        <w:t>达币。结果发现，</w:t>
      </w:r>
      <w:r>
        <w:rPr>
          <w:lang w:eastAsia="zh-CN"/>
        </w:rPr>
        <w:t>JPEX</w:t>
      </w:r>
      <w:r>
        <w:rPr>
          <w:lang w:eastAsia="zh-CN"/>
        </w:rPr>
        <w:t>在原告存入泰达币后的五分钟内，在未征求原告的授权的情况下，将存入原告钱包的泰达币转走。原告声称，</w:t>
      </w:r>
      <w:r>
        <w:rPr>
          <w:lang w:eastAsia="zh-CN"/>
        </w:rPr>
        <w:t>JPEX</w:t>
      </w:r>
      <w:r>
        <w:rPr>
          <w:lang w:eastAsia="zh-CN"/>
        </w:rPr>
        <w:t>以明示信托的方式持有这些泰达币，并且未经他们同意就转移泰达币，从而违反了其作为受托人的职责。</w:t>
      </w:r>
      <w:r>
        <w:rPr>
          <w:lang w:eastAsia="zh-CN"/>
        </w:rPr>
        <w:t>JPEX</w:t>
      </w:r>
      <w:r>
        <w:rPr>
          <w:lang w:eastAsia="zh-CN"/>
        </w:rPr>
        <w:t>未出席庭审，也未提交答辩状。</w:t>
      </w:r>
    </w:p>
    <w:p w:rsidR="00B50D3D" w:rsidRPr="00362D6A" w:rsidRDefault="005855A4">
      <w:pPr>
        <w:pStyle w:val="BodyText"/>
        <w:rPr>
          <w:b/>
          <w:color w:val="FF0000"/>
          <w:lang w:eastAsia="zh-CN"/>
        </w:rPr>
      </w:pPr>
      <w:r w:rsidRPr="00362D6A">
        <w:rPr>
          <w:b/>
          <w:color w:val="FF0000"/>
          <w:lang w:eastAsia="zh-CN"/>
        </w:rPr>
        <w:t xml:space="preserve">JPEX: </w:t>
      </w:r>
      <w:r w:rsidRPr="00362D6A">
        <w:rPr>
          <w:b/>
          <w:color w:val="FF0000"/>
          <w:lang w:eastAsia="zh-CN"/>
        </w:rPr>
        <w:t>信托问题</w:t>
      </w:r>
    </w:p>
    <w:p w:rsidR="00B50D3D" w:rsidRDefault="005855A4">
      <w:pPr>
        <w:pStyle w:val="BodyText"/>
      </w:pPr>
      <w:r>
        <w:rPr>
          <w:lang w:eastAsia="zh-CN"/>
        </w:rPr>
        <w:t>该判决所涉及的首要问题是，</w:t>
      </w:r>
      <w:r>
        <w:rPr>
          <w:lang w:eastAsia="zh-CN"/>
        </w:rPr>
        <w:t>JPEX</w:t>
      </w:r>
      <w:r>
        <w:rPr>
          <w:lang w:eastAsia="zh-CN"/>
        </w:rPr>
        <w:t>是否以明示信托的方式为原告持有这些泰达币。</w:t>
      </w:r>
      <w:r>
        <w:t>法官援引了</w:t>
      </w:r>
      <w:r>
        <w:rPr>
          <w:i/>
        </w:rPr>
        <w:t xml:space="preserve">Re Gatecoin Ltd </w:t>
      </w:r>
      <w:r>
        <w:rPr>
          <w:i/>
        </w:rPr>
        <w:t>（</w:t>
      </w:r>
      <w:r>
        <w:rPr>
          <w:i/>
        </w:rPr>
        <w:t>in Liq</w:t>
      </w:r>
      <w:r>
        <w:rPr>
          <w:i/>
        </w:rPr>
        <w:t>）</w:t>
      </w:r>
      <w:r>
        <w:t>[2023] 2 HKLRD 1079</w:t>
      </w:r>
      <w:r>
        <w:t>（</w:t>
      </w:r>
      <w:r>
        <w:rPr>
          <w:b/>
        </w:rPr>
        <w:t>Re. Gatecoin Ltd</w:t>
      </w:r>
      <w:r>
        <w:rPr>
          <w:b/>
        </w:rPr>
        <w:t>一案</w:t>
      </w:r>
      <w:r>
        <w:t>）作为依据，指出加密货</w:t>
      </w:r>
      <w:r>
        <w:t>币属于能够构成信托的标的</w:t>
      </w:r>
      <w:r>
        <w:t xml:space="preserve"> “</w:t>
      </w:r>
      <w:r>
        <w:t>财产</w:t>
      </w:r>
      <w:r>
        <w:t>”</w:t>
      </w:r>
      <w:r>
        <w:t>，同时还引用了</w:t>
      </w:r>
      <w:hyperlink r:id="rId10">
        <w:r w:rsidRPr="005855A4">
          <w:rPr>
            <w:i/>
            <w:color w:val="FF0000"/>
            <w:u w:val="single"/>
          </w:rPr>
          <w:t>Feng Bo v Dela Cruz Anabelle-Gamoso</w:t>
        </w:r>
      </w:hyperlink>
      <w:r>
        <w:t xml:space="preserve"> [2024] HKCFI 1819</w:t>
      </w:r>
      <w:r>
        <w:t>（</w:t>
      </w:r>
      <w:r>
        <w:rPr>
          <w:b/>
        </w:rPr>
        <w:t>Feng Bo</w:t>
      </w:r>
      <w:r>
        <w:rPr>
          <w:b/>
        </w:rPr>
        <w:t>一案</w:t>
      </w:r>
      <w:r>
        <w:t>），该案判定泰达币明确属于能够构成信托的标的财产。</w:t>
      </w:r>
    </w:p>
    <w:p w:rsidR="00B50D3D" w:rsidRDefault="005855A4">
      <w:pPr>
        <w:pStyle w:val="BodyText"/>
        <w:rPr>
          <w:lang w:eastAsia="zh-CN"/>
        </w:rPr>
      </w:pPr>
      <w:r>
        <w:rPr>
          <w:lang w:eastAsia="zh-CN"/>
        </w:rPr>
        <w:t>在</w:t>
      </w:r>
      <w:r>
        <w:rPr>
          <w:lang w:eastAsia="zh-CN"/>
        </w:rPr>
        <w:t>Re. Gatecoin Ltd</w:t>
      </w:r>
      <w:r>
        <w:rPr>
          <w:lang w:eastAsia="zh-CN"/>
        </w:rPr>
        <w:t>一案中，法官认为，要设立明示信托，必须具备</w:t>
      </w:r>
      <w:r>
        <w:rPr>
          <w:lang w:eastAsia="zh-CN"/>
        </w:rPr>
        <w:t>“</w:t>
      </w:r>
      <w:r>
        <w:rPr>
          <w:lang w:eastAsia="zh-CN"/>
        </w:rPr>
        <w:t>三个确定性</w:t>
      </w:r>
      <w:r>
        <w:rPr>
          <w:lang w:eastAsia="zh-CN"/>
        </w:rPr>
        <w:t>”</w:t>
      </w:r>
      <w:r>
        <w:rPr>
          <w:lang w:eastAsia="zh-CN"/>
        </w:rPr>
        <w:t xml:space="preserve">—— </w:t>
      </w:r>
      <w:r>
        <w:rPr>
          <w:lang w:eastAsia="zh-CN"/>
        </w:rPr>
        <w:t>标的确定性、对象确定性和意图确定性。基于</w:t>
      </w:r>
      <w:r>
        <w:rPr>
          <w:lang w:eastAsia="zh-CN"/>
        </w:rPr>
        <w:t>JPEX</w:t>
      </w:r>
      <w:r>
        <w:rPr>
          <w:lang w:eastAsia="zh-CN"/>
        </w:rPr>
        <w:t>案中所陈述的事实，法官认定这三个确定性均已具备。所考虑的主要因素如下：</w:t>
      </w:r>
    </w:p>
    <w:p w:rsidR="00B50D3D" w:rsidRDefault="005855A4">
      <w:pPr>
        <w:pStyle w:val="BodyText"/>
        <w:rPr>
          <w:lang w:eastAsia="zh-CN"/>
        </w:rPr>
      </w:pPr>
      <w:r>
        <w:rPr>
          <w:b/>
          <w:i/>
          <w:lang w:eastAsia="zh-CN"/>
        </w:rPr>
        <w:t>标的确定性（即信托所涉及的财产）</w:t>
      </w:r>
    </w:p>
    <w:p w:rsidR="00B50D3D" w:rsidRDefault="005855A4">
      <w:pPr>
        <w:pStyle w:val="Compact"/>
        <w:numPr>
          <w:ilvl w:val="0"/>
          <w:numId w:val="3"/>
        </w:numPr>
        <w:rPr>
          <w:lang w:eastAsia="zh-CN"/>
        </w:rPr>
      </w:pPr>
      <w:r>
        <w:rPr>
          <w:lang w:eastAsia="zh-CN"/>
        </w:rPr>
        <w:t>泰达币属于能够构成信托标的的财产；</w:t>
      </w:r>
    </w:p>
    <w:p w:rsidR="00B50D3D" w:rsidRDefault="005855A4">
      <w:pPr>
        <w:pStyle w:val="Compact"/>
        <w:numPr>
          <w:ilvl w:val="0"/>
          <w:numId w:val="3"/>
        </w:numPr>
        <w:rPr>
          <w:lang w:eastAsia="zh-CN"/>
        </w:rPr>
      </w:pPr>
      <w:r>
        <w:rPr>
          <w:lang w:eastAsia="zh-CN"/>
        </w:rPr>
        <w:t>JPEX</w:t>
      </w:r>
      <w:r>
        <w:rPr>
          <w:lang w:eastAsia="zh-CN"/>
        </w:rPr>
        <w:t>宣称自己是在运营一个加密货币交易平台；</w:t>
      </w:r>
    </w:p>
    <w:p w:rsidR="00B50D3D" w:rsidRDefault="005855A4">
      <w:pPr>
        <w:pStyle w:val="Compact"/>
        <w:numPr>
          <w:ilvl w:val="0"/>
          <w:numId w:val="3"/>
        </w:numPr>
        <w:rPr>
          <w:lang w:eastAsia="zh-CN"/>
        </w:rPr>
      </w:pPr>
      <w:r>
        <w:rPr>
          <w:lang w:eastAsia="zh-CN"/>
        </w:rPr>
        <w:t>作为一家加密货币交易所，</w:t>
      </w:r>
      <w:r>
        <w:rPr>
          <w:lang w:eastAsia="zh-CN"/>
        </w:rPr>
        <w:t>JPEX</w:t>
      </w:r>
      <w:r>
        <w:rPr>
          <w:lang w:eastAsia="zh-CN"/>
        </w:rPr>
        <w:t>会记录并记载每个账户内加密货币的余额及交易情况；</w:t>
      </w:r>
    </w:p>
    <w:p w:rsidR="00B50D3D" w:rsidRDefault="005855A4">
      <w:pPr>
        <w:pStyle w:val="Compact"/>
        <w:numPr>
          <w:ilvl w:val="0"/>
          <w:numId w:val="3"/>
        </w:numPr>
        <w:rPr>
          <w:lang w:eastAsia="zh-CN"/>
        </w:rPr>
      </w:pPr>
      <w:r>
        <w:rPr>
          <w:lang w:eastAsia="zh-CN"/>
        </w:rPr>
        <w:t>在泰达币被转出之前，原告存入的泰达币被清晰地分隔开并存放于他们各自的钱包中；并且</w:t>
      </w:r>
    </w:p>
    <w:p w:rsidR="00B50D3D" w:rsidRDefault="005855A4">
      <w:pPr>
        <w:pStyle w:val="Compact"/>
        <w:numPr>
          <w:ilvl w:val="0"/>
          <w:numId w:val="3"/>
        </w:numPr>
        <w:rPr>
          <w:lang w:eastAsia="zh-CN"/>
        </w:rPr>
      </w:pPr>
      <w:r>
        <w:rPr>
          <w:lang w:eastAsia="zh-CN"/>
        </w:rPr>
        <w:t>即便原告存入的泰达币已被转出并存储在</w:t>
      </w:r>
      <w:r>
        <w:rPr>
          <w:lang w:eastAsia="zh-CN"/>
        </w:rPr>
        <w:t>JPEX</w:t>
      </w:r>
      <w:r>
        <w:rPr>
          <w:lang w:eastAsia="zh-CN"/>
        </w:rPr>
        <w:t>的冷钱包中，只要受益人的相应份额是明确的，对于可替代物整体中</w:t>
      </w:r>
      <w:r>
        <w:rPr>
          <w:lang w:eastAsia="zh-CN"/>
        </w:rPr>
        <w:t>的一部分设立信托时，仍然可以具备标的确定性。</w:t>
      </w:r>
    </w:p>
    <w:p w:rsidR="00B50D3D" w:rsidRDefault="005855A4">
      <w:pPr>
        <w:pStyle w:val="FirstParagraph"/>
        <w:rPr>
          <w:lang w:eastAsia="zh-CN"/>
        </w:rPr>
      </w:pPr>
      <w:r>
        <w:rPr>
          <w:b/>
          <w:i/>
          <w:lang w:eastAsia="zh-CN"/>
        </w:rPr>
        <w:t>对象确定性（即信托的受益人）</w:t>
      </w:r>
    </w:p>
    <w:p w:rsidR="00B50D3D" w:rsidRDefault="005855A4">
      <w:pPr>
        <w:pStyle w:val="Compact"/>
        <w:numPr>
          <w:ilvl w:val="0"/>
          <w:numId w:val="4"/>
        </w:numPr>
        <w:rPr>
          <w:lang w:eastAsia="zh-CN"/>
        </w:rPr>
      </w:pPr>
      <w:r>
        <w:rPr>
          <w:lang w:eastAsia="zh-CN"/>
        </w:rPr>
        <w:lastRenderedPageBreak/>
        <w:t>信托的受益人是明确的，而且从</w:t>
      </w:r>
      <w:r>
        <w:rPr>
          <w:lang w:eastAsia="zh-CN"/>
        </w:rPr>
        <w:t>JPEX</w:t>
      </w:r>
      <w:r>
        <w:rPr>
          <w:lang w:eastAsia="zh-CN"/>
        </w:rPr>
        <w:t>平台所记录的原告账户余额中可以清楚地看出其诉求的范围。</w:t>
      </w:r>
    </w:p>
    <w:p w:rsidR="00B50D3D" w:rsidRDefault="005855A4">
      <w:pPr>
        <w:pStyle w:val="FirstParagraph"/>
        <w:rPr>
          <w:lang w:eastAsia="zh-CN"/>
        </w:rPr>
      </w:pPr>
      <w:r>
        <w:rPr>
          <w:b/>
          <w:i/>
          <w:lang w:eastAsia="zh-CN"/>
        </w:rPr>
        <w:t>意图的确定性（即存在设立信托的共同意图）</w:t>
      </w:r>
    </w:p>
    <w:p w:rsidR="00B50D3D" w:rsidRDefault="005855A4">
      <w:pPr>
        <w:pStyle w:val="Compact"/>
        <w:numPr>
          <w:ilvl w:val="0"/>
          <w:numId w:val="5"/>
        </w:numPr>
        <w:rPr>
          <w:lang w:eastAsia="zh-CN"/>
        </w:rPr>
      </w:pPr>
      <w:r>
        <w:rPr>
          <w:lang w:eastAsia="zh-CN"/>
        </w:rPr>
        <w:t>在创建交易平台却未向平台用户分配私钥的情况下，</w:t>
      </w:r>
      <w:r>
        <w:rPr>
          <w:lang w:eastAsia="zh-CN"/>
        </w:rPr>
        <w:t>JPEX</w:t>
      </w:r>
      <w:r>
        <w:rPr>
          <w:lang w:eastAsia="zh-CN"/>
        </w:rPr>
        <w:t>表明其有意以信托方式持有用户存入的加密货币；</w:t>
      </w:r>
    </w:p>
    <w:p w:rsidR="00B50D3D" w:rsidRDefault="005855A4">
      <w:pPr>
        <w:pStyle w:val="Compact"/>
        <w:numPr>
          <w:ilvl w:val="0"/>
          <w:numId w:val="5"/>
        </w:numPr>
        <w:rPr>
          <w:lang w:eastAsia="zh-CN"/>
        </w:rPr>
      </w:pPr>
      <w:r>
        <w:rPr>
          <w:lang w:eastAsia="zh-CN"/>
        </w:rPr>
        <w:t>JPEX</w:t>
      </w:r>
      <w:r>
        <w:rPr>
          <w:lang w:eastAsia="zh-CN"/>
        </w:rPr>
        <w:t>在其网站上所做的表述以及所使用的词汇</w:t>
      </w:r>
      <w:r>
        <w:rPr>
          <w:lang w:eastAsia="zh-CN"/>
        </w:rPr>
        <w:t>——“</w:t>
      </w:r>
      <w:r>
        <w:rPr>
          <w:lang w:eastAsia="zh-CN"/>
        </w:rPr>
        <w:t>客户资金</w:t>
      </w:r>
      <w:r>
        <w:rPr>
          <w:lang w:eastAsia="zh-CN"/>
        </w:rPr>
        <w:t>”</w:t>
      </w:r>
      <w:r>
        <w:rPr>
          <w:lang w:eastAsia="zh-CN"/>
        </w:rPr>
        <w:t>、</w:t>
      </w:r>
      <w:r>
        <w:rPr>
          <w:lang w:eastAsia="zh-CN"/>
        </w:rPr>
        <w:t>“</w:t>
      </w:r>
      <w:r>
        <w:rPr>
          <w:lang w:eastAsia="zh-CN"/>
        </w:rPr>
        <w:t>顾客资金</w:t>
      </w:r>
      <w:r>
        <w:rPr>
          <w:lang w:eastAsia="zh-CN"/>
        </w:rPr>
        <w:t>”</w:t>
      </w:r>
      <w:r>
        <w:rPr>
          <w:lang w:eastAsia="zh-CN"/>
        </w:rPr>
        <w:t>、</w:t>
      </w:r>
      <w:r>
        <w:rPr>
          <w:lang w:eastAsia="zh-CN"/>
        </w:rPr>
        <w:t>“</w:t>
      </w:r>
      <w:r>
        <w:rPr>
          <w:lang w:eastAsia="zh-CN"/>
        </w:rPr>
        <w:t>用户财产</w:t>
      </w:r>
      <w:r>
        <w:rPr>
          <w:lang w:eastAsia="zh-CN"/>
        </w:rPr>
        <w:t>”</w:t>
      </w:r>
      <w:r>
        <w:rPr>
          <w:lang w:eastAsia="zh-CN"/>
        </w:rPr>
        <w:t>、</w:t>
      </w:r>
      <w:r>
        <w:rPr>
          <w:lang w:eastAsia="zh-CN"/>
        </w:rPr>
        <w:t>“</w:t>
      </w:r>
      <w:r>
        <w:rPr>
          <w:lang w:eastAsia="zh-CN"/>
        </w:rPr>
        <w:t>所有用户资产</w:t>
      </w:r>
      <w:r>
        <w:rPr>
          <w:lang w:eastAsia="zh-CN"/>
        </w:rPr>
        <w:t>”</w:t>
      </w:r>
      <w:r>
        <w:rPr>
          <w:lang w:eastAsia="zh-CN"/>
        </w:rPr>
        <w:t>、</w:t>
      </w:r>
      <w:r>
        <w:rPr>
          <w:lang w:eastAsia="zh-CN"/>
        </w:rPr>
        <w:t>“</w:t>
      </w:r>
      <w:r>
        <w:rPr>
          <w:lang w:eastAsia="zh-CN"/>
        </w:rPr>
        <w:t>顾客资产</w:t>
      </w:r>
      <w:r>
        <w:rPr>
          <w:lang w:eastAsia="zh-CN"/>
        </w:rPr>
        <w:t xml:space="preserve">” </w:t>
      </w:r>
      <w:r>
        <w:rPr>
          <w:lang w:eastAsia="zh-CN"/>
        </w:rPr>
        <w:t>以及</w:t>
      </w:r>
      <w:r>
        <w:rPr>
          <w:lang w:eastAsia="zh-CN"/>
        </w:rPr>
        <w:t xml:space="preserve"> “</w:t>
      </w:r>
      <w:r>
        <w:rPr>
          <w:lang w:eastAsia="zh-CN"/>
        </w:rPr>
        <w:t>您账户的安全与资产</w:t>
      </w:r>
      <w:r>
        <w:rPr>
          <w:lang w:eastAsia="zh-CN"/>
        </w:rPr>
        <w:t>”——</w:t>
      </w:r>
      <w:r>
        <w:rPr>
          <w:lang w:eastAsia="zh-CN"/>
        </w:rPr>
        <w:t>经恰当解释后，可以确认存入钱包的加密货币的受益所</w:t>
      </w:r>
      <w:r>
        <w:rPr>
          <w:lang w:eastAsia="zh-CN"/>
        </w:rPr>
        <w:t>有权属于</w:t>
      </w:r>
      <w:r>
        <w:rPr>
          <w:lang w:eastAsia="zh-CN"/>
        </w:rPr>
        <w:t>JPEX</w:t>
      </w:r>
      <w:r>
        <w:rPr>
          <w:lang w:eastAsia="zh-CN"/>
        </w:rPr>
        <w:t>平台的用户；</w:t>
      </w:r>
    </w:p>
    <w:p w:rsidR="00B50D3D" w:rsidRDefault="005855A4">
      <w:pPr>
        <w:pStyle w:val="Compact"/>
        <w:numPr>
          <w:ilvl w:val="0"/>
          <w:numId w:val="5"/>
        </w:numPr>
        <w:rPr>
          <w:lang w:eastAsia="zh-CN"/>
        </w:rPr>
      </w:pPr>
      <w:r>
        <w:rPr>
          <w:lang w:eastAsia="zh-CN"/>
        </w:rPr>
        <w:t>JPEX</w:t>
      </w:r>
      <w:r>
        <w:rPr>
          <w:lang w:eastAsia="zh-CN"/>
        </w:rPr>
        <w:t>宣称自己是一个为用户提供加密货币交易平台的加密货币交易所，而不是一个</w:t>
      </w:r>
      <w:r>
        <w:rPr>
          <w:lang w:eastAsia="zh-CN"/>
        </w:rPr>
        <w:t>JPEX</w:t>
      </w:r>
      <w:r>
        <w:rPr>
          <w:lang w:eastAsia="zh-CN"/>
        </w:rPr>
        <w:t>通过其出售加密货币以获利的平台；并且</w:t>
      </w:r>
    </w:p>
    <w:p w:rsidR="00B50D3D" w:rsidRDefault="005855A4">
      <w:pPr>
        <w:pStyle w:val="Compact"/>
        <w:numPr>
          <w:ilvl w:val="0"/>
          <w:numId w:val="5"/>
        </w:numPr>
        <w:rPr>
          <w:lang w:eastAsia="zh-CN"/>
        </w:rPr>
      </w:pPr>
      <w:r>
        <w:rPr>
          <w:lang w:eastAsia="zh-CN"/>
        </w:rPr>
        <w:t>在将</w:t>
      </w:r>
      <w:r>
        <w:rPr>
          <w:lang w:eastAsia="zh-CN"/>
        </w:rPr>
        <w:t>247,498</w:t>
      </w:r>
      <w:r>
        <w:rPr>
          <w:lang w:eastAsia="zh-CN"/>
        </w:rPr>
        <w:t>泰达币存入原告的钱包时，原告有意将这些泰达币委托给</w:t>
      </w:r>
      <w:r>
        <w:rPr>
          <w:lang w:eastAsia="zh-CN"/>
        </w:rPr>
        <w:t>JPEX</w:t>
      </w:r>
      <w:r>
        <w:rPr>
          <w:lang w:eastAsia="zh-CN"/>
        </w:rPr>
        <w:t>，并且也确实将其委托给了</w:t>
      </w:r>
      <w:r>
        <w:rPr>
          <w:lang w:eastAsia="zh-CN"/>
        </w:rPr>
        <w:t>JPEX</w:t>
      </w:r>
      <w:r>
        <w:rPr>
          <w:lang w:eastAsia="zh-CN"/>
        </w:rPr>
        <w:t>，目的是为了进行加密货币的存储、交易和投资以获取利润。</w:t>
      </w:r>
    </w:p>
    <w:p w:rsidR="00B50D3D" w:rsidRPr="005855A4" w:rsidRDefault="005855A4">
      <w:pPr>
        <w:pStyle w:val="FirstParagraph"/>
        <w:rPr>
          <w:b/>
          <w:color w:val="FF0000"/>
          <w:lang w:eastAsia="zh-CN"/>
        </w:rPr>
      </w:pPr>
      <w:r w:rsidRPr="005855A4">
        <w:rPr>
          <w:b/>
          <w:color w:val="FF0000"/>
          <w:lang w:eastAsia="zh-CN"/>
        </w:rPr>
        <w:t xml:space="preserve">JPEX: </w:t>
      </w:r>
      <w:r w:rsidRPr="005855A4">
        <w:rPr>
          <w:b/>
          <w:color w:val="FF0000"/>
          <w:lang w:eastAsia="zh-CN"/>
        </w:rPr>
        <w:t>裁决</w:t>
      </w:r>
    </w:p>
    <w:p w:rsidR="00B50D3D" w:rsidRDefault="005855A4">
      <w:pPr>
        <w:pStyle w:val="BodyText"/>
        <w:rPr>
          <w:lang w:eastAsia="zh-CN"/>
        </w:rPr>
      </w:pPr>
      <w:r>
        <w:rPr>
          <w:lang w:eastAsia="zh-CN"/>
        </w:rPr>
        <w:t>法院认定，</w:t>
      </w:r>
      <w:r>
        <w:rPr>
          <w:lang w:eastAsia="zh-CN"/>
        </w:rPr>
        <w:t>JPEX</w:t>
      </w:r>
      <w:r>
        <w:rPr>
          <w:lang w:eastAsia="zh-CN"/>
        </w:rPr>
        <w:t>为原告以明示信托的方式持有</w:t>
      </w:r>
      <w:r>
        <w:rPr>
          <w:lang w:eastAsia="zh-CN"/>
        </w:rPr>
        <w:t>247,498</w:t>
      </w:r>
      <w:r>
        <w:rPr>
          <w:lang w:eastAsia="zh-CN"/>
        </w:rPr>
        <w:t>枚泰达币。法院援引了新西兰的</w:t>
      </w:r>
      <w:hyperlink r:id="rId11">
        <w:r w:rsidRPr="005855A4">
          <w:rPr>
            <w:i/>
            <w:color w:val="FF0000"/>
            <w:u w:val="single"/>
            <w:lang w:eastAsia="zh-CN"/>
          </w:rPr>
          <w:t>Ruscoe v Cryptopia Ltd</w:t>
        </w:r>
        <w:r w:rsidRPr="005855A4">
          <w:rPr>
            <w:i/>
            <w:color w:val="FF0000"/>
            <w:u w:val="single"/>
            <w:lang w:eastAsia="zh-CN"/>
          </w:rPr>
          <w:t>（</w:t>
        </w:r>
        <w:r w:rsidRPr="005855A4">
          <w:rPr>
            <w:i/>
            <w:color w:val="FF0000"/>
            <w:u w:val="single"/>
            <w:lang w:eastAsia="zh-CN"/>
          </w:rPr>
          <w:t>in Liquidation</w:t>
        </w:r>
        <w:r w:rsidRPr="005855A4">
          <w:rPr>
            <w:i/>
            <w:color w:val="FF0000"/>
            <w:u w:val="single"/>
            <w:lang w:eastAsia="zh-CN"/>
          </w:rPr>
          <w:t>）</w:t>
        </w:r>
        <w:r w:rsidRPr="005855A4">
          <w:rPr>
            <w:color w:val="FF0000"/>
            <w:u w:val="single"/>
            <w:lang w:eastAsia="zh-CN"/>
          </w:rPr>
          <w:t xml:space="preserve">[2020] NZCH </w:t>
        </w:r>
        <w:bookmarkStart w:id="0" w:name="_GoBack"/>
        <w:bookmarkEnd w:id="0"/>
        <w:r w:rsidRPr="005855A4">
          <w:rPr>
            <w:color w:val="FF0000"/>
            <w:u w:val="single"/>
            <w:lang w:eastAsia="zh-CN"/>
          </w:rPr>
          <w:t>935</w:t>
        </w:r>
      </w:hyperlink>
      <w:r>
        <w:rPr>
          <w:lang w:eastAsia="zh-CN"/>
        </w:rPr>
        <w:t>一案，该案同样认定，加密货币交易平台</w:t>
      </w:r>
      <w:r>
        <w:rPr>
          <w:lang w:eastAsia="zh-CN"/>
        </w:rPr>
        <w:t>Cryptopia Ltd</w:t>
      </w:r>
      <w:r>
        <w:rPr>
          <w:lang w:eastAsia="zh-CN"/>
        </w:rPr>
        <w:t>为账户持有人以明示信托的方式持有加密货币，并将该加密货币交易平台作为受托人的主要职责描述为</w:t>
      </w:r>
      <w:r>
        <w:rPr>
          <w:i/>
          <w:lang w:eastAsia="zh-CN"/>
        </w:rPr>
        <w:t>“</w:t>
      </w:r>
      <w:r>
        <w:rPr>
          <w:i/>
          <w:lang w:eastAsia="zh-CN"/>
        </w:rPr>
        <w:t>作为账户持有人的受托人持有每组数字资产，遵循他们的指示，并让各个账户持有人能够根据</w:t>
      </w:r>
      <w:r>
        <w:rPr>
          <w:i/>
          <w:lang w:eastAsia="zh-CN"/>
        </w:rPr>
        <w:t>Crypt</w:t>
      </w:r>
      <w:r>
        <w:rPr>
          <w:i/>
          <w:lang w:eastAsia="zh-CN"/>
        </w:rPr>
        <w:t>opia</w:t>
      </w:r>
      <w:r>
        <w:rPr>
          <w:i/>
          <w:lang w:eastAsia="zh-CN"/>
        </w:rPr>
        <w:t>为此目的所创建的系统相应地增加或减少其在相关信托中的受益权益</w:t>
      </w:r>
      <w:r>
        <w:rPr>
          <w:i/>
          <w:lang w:eastAsia="zh-CN"/>
        </w:rPr>
        <w:t>”</w:t>
      </w:r>
      <w:r>
        <w:rPr>
          <w:lang w:eastAsia="zh-CN"/>
        </w:rPr>
        <w:t xml:space="preserve"> </w:t>
      </w:r>
      <w:hyperlink w:anchor="footnote-598-3">
        <w:r>
          <w:rPr>
            <w:vertAlign w:val="superscript"/>
            <w:lang w:eastAsia="zh-CN"/>
          </w:rPr>
          <w:t>3</w:t>
        </w:r>
      </w:hyperlink>
      <w:r>
        <w:rPr>
          <w:lang w:eastAsia="zh-CN"/>
        </w:rPr>
        <w:t>。</w:t>
      </w:r>
    </w:p>
    <w:p w:rsidR="00B50D3D" w:rsidRDefault="005855A4">
      <w:pPr>
        <w:pStyle w:val="BodyText"/>
        <w:rPr>
          <w:lang w:eastAsia="zh-CN"/>
        </w:rPr>
      </w:pPr>
      <w:r>
        <w:rPr>
          <w:lang w:eastAsia="zh-CN"/>
        </w:rPr>
        <w:t>法院认定</w:t>
      </w:r>
      <w:r>
        <w:rPr>
          <w:lang w:eastAsia="zh-CN"/>
        </w:rPr>
        <w:t>JPEX</w:t>
      </w:r>
      <w:r>
        <w:rPr>
          <w:lang w:eastAsia="zh-CN"/>
        </w:rPr>
        <w:t>在以下方面违反了其作为受托人的职责：</w:t>
      </w:r>
    </w:p>
    <w:p w:rsidR="00B50D3D" w:rsidRDefault="005855A4">
      <w:pPr>
        <w:pStyle w:val="Compact"/>
        <w:numPr>
          <w:ilvl w:val="0"/>
          <w:numId w:val="6"/>
        </w:numPr>
        <w:rPr>
          <w:lang w:eastAsia="zh-CN"/>
        </w:rPr>
      </w:pPr>
      <w:r>
        <w:rPr>
          <w:lang w:eastAsia="zh-CN"/>
        </w:rPr>
        <w:t>在未获原告授权的情况下转移了原告的泰达币；并且</w:t>
      </w:r>
    </w:p>
    <w:p w:rsidR="00B50D3D" w:rsidRDefault="005855A4">
      <w:pPr>
        <w:pStyle w:val="Compact"/>
        <w:numPr>
          <w:ilvl w:val="0"/>
          <w:numId w:val="6"/>
        </w:numPr>
        <w:rPr>
          <w:lang w:eastAsia="zh-CN"/>
        </w:rPr>
      </w:pPr>
      <w:r>
        <w:rPr>
          <w:lang w:eastAsia="zh-CN"/>
        </w:rPr>
        <w:t>尽管原告提出了提取要求，但未能且及</w:t>
      </w:r>
      <w:r>
        <w:rPr>
          <w:lang w:eastAsia="zh-CN"/>
        </w:rPr>
        <w:t xml:space="preserve"> / </w:t>
      </w:r>
      <w:r>
        <w:rPr>
          <w:lang w:eastAsia="zh-CN"/>
        </w:rPr>
        <w:t>或拒绝将泰达币返还给原告。</w:t>
      </w:r>
    </w:p>
    <w:p w:rsidR="00B50D3D" w:rsidRDefault="005855A4">
      <w:pPr>
        <w:pStyle w:val="FirstParagraph"/>
        <w:rPr>
          <w:lang w:eastAsia="zh-CN"/>
        </w:rPr>
      </w:pPr>
      <w:r>
        <w:rPr>
          <w:lang w:eastAsia="zh-CN"/>
        </w:rPr>
        <w:t>法院对</w:t>
      </w:r>
      <w:r>
        <w:rPr>
          <w:lang w:eastAsia="zh-CN"/>
        </w:rPr>
        <w:t>JPEX</w:t>
      </w:r>
      <w:r>
        <w:rPr>
          <w:lang w:eastAsia="zh-CN"/>
        </w:rPr>
        <w:t>作出欠动判决，责令其将</w:t>
      </w:r>
      <w:r>
        <w:rPr>
          <w:lang w:eastAsia="zh-CN"/>
        </w:rPr>
        <w:t>247,498</w:t>
      </w:r>
      <w:r>
        <w:rPr>
          <w:lang w:eastAsia="zh-CN"/>
        </w:rPr>
        <w:t>枚泰达币交付给原告；若这些泰达币已无法追踪，则需向原告支付合理补偿。法院还颁布了一项禁令，以防止</w:t>
      </w:r>
      <w:r>
        <w:rPr>
          <w:lang w:eastAsia="zh-CN"/>
        </w:rPr>
        <w:t>JPEX</w:t>
      </w:r>
      <w:r>
        <w:rPr>
          <w:lang w:eastAsia="zh-CN"/>
        </w:rPr>
        <w:t>在未经原告同意的情况下处置或处理这些泰达币存款。</w:t>
      </w:r>
    </w:p>
    <w:p w:rsidR="00B50D3D" w:rsidRDefault="005855A4">
      <w:pPr>
        <w:pStyle w:val="BodyText"/>
      </w:pPr>
      <w:hyperlink w:anchor="footnote-598-1-backlink">
        <w:r>
          <w:t>1</w:t>
        </w:r>
      </w:hyperlink>
      <w:r>
        <w:t xml:space="preserve"> Chan Wing Yan v. JP-EX Crypto Asset Platform Pty Ltd and Others [2024] HKDC 1628</w:t>
      </w:r>
    </w:p>
    <w:p w:rsidR="00B50D3D" w:rsidRDefault="005855A4">
      <w:pPr>
        <w:pStyle w:val="BodyText"/>
        <w:rPr>
          <w:lang w:eastAsia="zh-CN"/>
        </w:rPr>
      </w:pPr>
      <w:hyperlink w:anchor="footnote-598-2-backlink">
        <w:r>
          <w:rPr>
            <w:lang w:eastAsia="zh-CN"/>
          </w:rPr>
          <w:t>2</w:t>
        </w:r>
      </w:hyperlink>
      <w:r>
        <w:rPr>
          <w:lang w:eastAsia="zh-CN"/>
        </w:rPr>
        <w:t xml:space="preserve"> </w:t>
      </w:r>
      <w:r>
        <w:rPr>
          <w:lang w:eastAsia="zh-CN"/>
        </w:rPr>
        <w:t>《南华早报》，</w:t>
      </w:r>
      <w:r>
        <w:rPr>
          <w:lang w:eastAsia="zh-CN"/>
        </w:rPr>
        <w:t>“</w:t>
      </w:r>
      <w:r>
        <w:rPr>
          <w:lang w:eastAsia="zh-CN"/>
        </w:rPr>
        <w:t>香港</w:t>
      </w:r>
      <w:r>
        <w:rPr>
          <w:lang w:eastAsia="zh-CN"/>
        </w:rPr>
        <w:t>JPEX</w:t>
      </w:r>
      <w:r>
        <w:rPr>
          <w:lang w:eastAsia="zh-CN"/>
        </w:rPr>
        <w:t>加密货币丑闻：已有</w:t>
      </w:r>
      <w:r>
        <w:rPr>
          <w:lang w:eastAsia="zh-CN"/>
        </w:rPr>
        <w:t>72</w:t>
      </w:r>
      <w:r>
        <w:rPr>
          <w:lang w:eastAsia="zh-CN"/>
        </w:rPr>
        <w:t>人被捕，</w:t>
      </w:r>
      <w:r>
        <w:rPr>
          <w:lang w:eastAsia="zh-CN"/>
        </w:rPr>
        <w:t>2.28</w:t>
      </w:r>
      <w:r>
        <w:rPr>
          <w:lang w:eastAsia="zh-CN"/>
        </w:rPr>
        <w:t>亿港元资产被冻结</w:t>
      </w:r>
      <w:r>
        <w:rPr>
          <w:lang w:eastAsia="zh-CN"/>
        </w:rPr>
        <w:t>” 2024</w:t>
      </w:r>
      <w:r>
        <w:rPr>
          <w:lang w:eastAsia="zh-CN"/>
        </w:rPr>
        <w:t>年</w:t>
      </w:r>
      <w:r>
        <w:rPr>
          <w:lang w:eastAsia="zh-CN"/>
        </w:rPr>
        <w:t>4</w:t>
      </w:r>
      <w:r>
        <w:rPr>
          <w:lang w:eastAsia="zh-CN"/>
        </w:rPr>
        <w:t>月</w:t>
      </w:r>
    </w:p>
    <w:p w:rsidR="00B50D3D" w:rsidRDefault="005855A4">
      <w:pPr>
        <w:pStyle w:val="BodyText"/>
      </w:pPr>
      <w:hyperlink w:anchor="footnote-598-3-backlink">
        <w:r>
          <w:t>3</w:t>
        </w:r>
      </w:hyperlink>
      <w:r>
        <w:t xml:space="preserve"> Ruscoe v Cryptopia Ltd (in Liquidation)</w:t>
      </w:r>
      <w:r>
        <w:t>一案中第</w:t>
      </w:r>
      <w:r>
        <w:t>196</w:t>
      </w:r>
      <w:r>
        <w:t>段</w:t>
      </w:r>
    </w:p>
    <w:p w:rsidR="00B50D3D" w:rsidRDefault="005855A4">
      <w:pPr>
        <w:pStyle w:val="DisclaimerBold"/>
        <w:rPr>
          <w:lang w:eastAsia="zh-CN"/>
        </w:rPr>
      </w:pPr>
      <w:r>
        <w:rPr>
          <w:lang w:eastAsia="zh-CN"/>
        </w:rPr>
        <w:t>此法讯仅为提供相关资料信息之用，其内容并</w:t>
      </w:r>
    </w:p>
    <w:p w:rsidR="00B50D3D" w:rsidRDefault="005855A4">
      <w:pPr>
        <w:pStyle w:val="Disclaimer"/>
        <w:rPr>
          <w:lang w:eastAsia="zh-CN"/>
        </w:rPr>
      </w:pPr>
      <w:r>
        <w:rPr>
          <w:lang w:eastAsia="zh-CN"/>
        </w:rPr>
        <w:t>不构成法律建议及个案的法律分析。</w:t>
      </w:r>
    </w:p>
    <w:p w:rsidR="00B50D3D" w:rsidRDefault="005855A4">
      <w:pPr>
        <w:pStyle w:val="Disclaimer"/>
        <w:rPr>
          <w:lang w:eastAsia="zh-CN"/>
        </w:rPr>
      </w:pPr>
      <w:r>
        <w:rPr>
          <w:lang w:eastAsia="zh-CN"/>
        </w:rPr>
        <w:t>此法讯的发送并不是为了在易周律师行与用户或浏览者之间建立一种律师与客户之关系。</w:t>
      </w:r>
    </w:p>
    <w:p w:rsidR="00B50D3D" w:rsidRDefault="005855A4">
      <w:pPr>
        <w:pStyle w:val="Disclaimer"/>
        <w:rPr>
          <w:lang w:eastAsia="zh-CN"/>
        </w:rPr>
      </w:pPr>
      <w:r>
        <w:rPr>
          <w:lang w:eastAsia="zh-CN"/>
        </w:rPr>
        <w:t>易周律师行并不对</w:t>
      </w:r>
      <w:r>
        <w:rPr>
          <w:lang w:eastAsia="zh-CN"/>
        </w:rPr>
        <w:t>可从互联网获得的任何第三方内容负责。</w:t>
      </w:r>
    </w:p>
    <w:p w:rsidR="00B50D3D" w:rsidRDefault="005855A4">
      <w:pPr>
        <w:pStyle w:val="Disclaimer"/>
        <w:rPr>
          <w:lang w:eastAsia="zh-CN"/>
        </w:rPr>
      </w:pPr>
      <w:r>
        <w:rPr>
          <w:lang w:eastAsia="zh-CN"/>
        </w:rPr>
        <w:t>如你不希望再收到易周法讯，请发送电邮至</w:t>
      </w:r>
      <w:r>
        <w:rPr>
          <w:lang w:eastAsia="zh-CN"/>
        </w:rPr>
        <w:t xml:space="preserve">  </w:t>
      </w:r>
      <w:hyperlink r:id="rId12">
        <w:r>
          <w:rPr>
            <w:lang w:eastAsia="zh-CN"/>
          </w:rPr>
          <w:t>unsubscribe@charltonslaw.com</w:t>
        </w:r>
      </w:hyperlink>
    </w:p>
    <w:p w:rsidR="00B50D3D" w:rsidRDefault="005855A4">
      <w:pPr>
        <w:pStyle w:val="BlackStrips"/>
      </w:pPr>
      <w:r>
        <w:t xml:space="preserve">Charltons - </w:t>
      </w:r>
      <w:r>
        <w:t>香港法律</w:t>
      </w:r>
      <w:r>
        <w:t xml:space="preserve"> - 2025</w:t>
      </w:r>
      <w:r>
        <w:t>年</w:t>
      </w:r>
      <w:r>
        <w:t>6</w:t>
      </w:r>
      <w:r>
        <w:t>月</w:t>
      </w:r>
      <w:r>
        <w:t>2</w:t>
      </w:r>
      <w:r>
        <w:t>日</w:t>
      </w:r>
    </w:p>
    <w:sectPr w:rsidR="00B50D3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855A4">
      <w:pPr>
        <w:spacing w:after="0"/>
      </w:pPr>
      <w:r>
        <w:separator/>
      </w:r>
    </w:p>
  </w:endnote>
  <w:endnote w:type="continuationSeparator" w:id="0">
    <w:p w:rsidR="00000000" w:rsidRDefault="005855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D3D" w:rsidRDefault="005855A4">
      <w:r>
        <w:separator/>
      </w:r>
    </w:p>
  </w:footnote>
  <w:footnote w:type="continuationSeparator" w:id="0">
    <w:p w:rsidR="00B50D3D" w:rsidRDefault="00585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513E49F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3004761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6182288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362D6A"/>
    <w:rsid w:val="004E29B3"/>
    <w:rsid w:val="005855A4"/>
    <w:rsid w:val="00590D07"/>
    <w:rsid w:val="00784D58"/>
    <w:rsid w:val="008D6863"/>
    <w:rsid w:val="00B50D3D"/>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8049"/>
  <w15:docId w15:val="{E572DFB4-9DBC-4E7B-999E-6C4967D7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ref.judiciary.hk/lrs/common/search/search_result_detail_frame.jsp?DIS=163837&amp;QS=%28%7BChan+Wing+Yan%7D+%25parties%29&amp;TP=J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tonslaw.com.cn/xiang-gang-fa-yuan-ze-ling-jpexxiang-ke-hu-fan-huan-247498tai-da-bi"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stice.govt.nz/jdo_documents/workspace___SpacesStore_e58d36af_d708_45cb_a474_6b08bd75ace9.pdf" TargetMode="External"/><Relationship Id="rId5" Type="http://schemas.openxmlformats.org/officeDocument/2006/relationships/footnotes" Target="footnotes.xml"/><Relationship Id="rId10" Type="http://schemas.openxmlformats.org/officeDocument/2006/relationships/hyperlink" Target="https://legalref.judiciary.hk/lrs/common/ju/ju_frame.jsp?DIS=161326&amp;currpage=T" TargetMode="External"/><Relationship Id="rId4" Type="http://schemas.openxmlformats.org/officeDocument/2006/relationships/webSettings" Target="webSettings.xml"/><Relationship Id="rId9" Type="http://schemas.openxmlformats.org/officeDocument/2006/relationships/hyperlink" Target="https://www.charltonslaw.com.cn/xiang-gang-jing-fang-dai-bu-jpex-chou-wen-xian-f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2025-06-02T07:16:00Z</dcterms:created>
  <dcterms:modified xsi:type="dcterms:W3CDTF">2025-06-02T07:49:00Z</dcterms:modified>
</cp:coreProperties>
</file>