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D5" w:rsidRDefault="00A35E49">
      <w:pPr>
        <w:pStyle w:val="BlackStrips"/>
      </w:pPr>
      <w:r>
        <w:t xml:space="preserve">Charltons - </w:t>
      </w:r>
      <w:r>
        <w:t>香港法律</w:t>
      </w:r>
      <w:r>
        <w:t xml:space="preserve"> - 2025</w:t>
      </w:r>
      <w:r>
        <w:t>年</w:t>
      </w:r>
      <w:r>
        <w:t>12</w:t>
      </w:r>
      <w:r>
        <w:t>月</w:t>
      </w:r>
      <w:r>
        <w:t>3</w:t>
      </w:r>
      <w:r>
        <w:t>日</w:t>
      </w:r>
    </w:p>
    <w:p w:rsidR="00577CD5" w:rsidRDefault="00A35E49">
      <w:pPr>
        <w:pStyle w:val="ReadOnline"/>
      </w:pPr>
      <w:hyperlink r:id="rId7">
        <w:r>
          <w:t>online version</w:t>
        </w:r>
      </w:hyperlink>
    </w:p>
    <w:p w:rsidR="00577CD5" w:rsidRDefault="00A35E49">
      <w:pPr>
        <w:pStyle w:val="Title"/>
      </w:pPr>
      <w:r>
        <w:t>香港联交所上市监管及规则执行通讯：关于上市公司董事职责的</w:t>
      </w:r>
      <w:r>
        <w:t>“</w:t>
      </w:r>
      <w:r>
        <w:t>常见误解</w:t>
      </w:r>
      <w:r>
        <w:t>”</w:t>
      </w:r>
    </w:p>
    <w:p w:rsidR="00577CD5" w:rsidRDefault="00A35E49">
      <w:pPr>
        <w:pStyle w:val="FirstParagraph"/>
        <w:rPr>
          <w:lang w:eastAsia="zh-CN"/>
        </w:rPr>
      </w:pPr>
      <w:r>
        <w:rPr>
          <w:lang w:eastAsia="zh-CN"/>
        </w:rPr>
        <w:t>2025</w:t>
      </w:r>
      <w:r>
        <w:rPr>
          <w:lang w:eastAsia="zh-CN"/>
        </w:rPr>
        <w:t>年</w:t>
      </w:r>
      <w:r>
        <w:rPr>
          <w:lang w:eastAsia="zh-CN"/>
        </w:rPr>
        <w:t>11</w:t>
      </w:r>
      <w:r>
        <w:rPr>
          <w:lang w:eastAsia="zh-CN"/>
        </w:rPr>
        <w:t>月，香港联合交易所有限公司（</w:t>
      </w:r>
      <w:r>
        <w:rPr>
          <w:b/>
          <w:lang w:eastAsia="zh-CN"/>
        </w:rPr>
        <w:t>联交所</w:t>
      </w:r>
      <w:r>
        <w:rPr>
          <w:lang w:eastAsia="zh-CN"/>
        </w:rPr>
        <w:t>）发布了</w:t>
      </w:r>
      <w:hyperlink r:id="rId8">
        <w:r w:rsidRPr="00212639">
          <w:rPr>
            <w:color w:val="FF0000"/>
            <w:u w:val="single"/>
            <w:lang w:eastAsia="zh-CN"/>
          </w:rPr>
          <w:t>《上市监管及规则执行通讯》第</w:t>
        </w:r>
        <w:r w:rsidRPr="00212639">
          <w:rPr>
            <w:color w:val="FF0000"/>
            <w:u w:val="single"/>
            <w:lang w:eastAsia="zh-CN"/>
          </w:rPr>
          <w:t>13</w:t>
        </w:r>
        <w:r w:rsidRPr="00212639">
          <w:rPr>
            <w:color w:val="FF0000"/>
            <w:u w:val="single"/>
            <w:lang w:eastAsia="zh-CN"/>
          </w:rPr>
          <w:t>期</w:t>
        </w:r>
      </w:hyperlink>
      <w:r>
        <w:rPr>
          <w:lang w:eastAsia="zh-CN"/>
        </w:rPr>
        <w:t>，阐述了联交所所指的关于董事职责</w:t>
      </w:r>
      <w:r>
        <w:rPr>
          <w:lang w:eastAsia="zh-CN"/>
        </w:rPr>
        <w:t>及其他企业管治事宜的</w:t>
      </w:r>
      <w:r>
        <w:rPr>
          <w:lang w:eastAsia="zh-CN"/>
        </w:rPr>
        <w:t>“</w:t>
      </w:r>
      <w:r>
        <w:rPr>
          <w:lang w:eastAsia="zh-CN"/>
        </w:rPr>
        <w:t>常见误解</w:t>
      </w:r>
      <w:r>
        <w:rPr>
          <w:lang w:eastAsia="zh-CN"/>
        </w:rPr>
        <w:t>”</w:t>
      </w:r>
      <w:r>
        <w:rPr>
          <w:lang w:eastAsia="zh-CN"/>
        </w:rPr>
        <w:t>。该通讯援引了近期的联交所纪律个案、香港法院判决以及《香港联合交易所有限公司证券上市规则》（</w:t>
      </w:r>
      <w:r>
        <w:rPr>
          <w:b/>
          <w:lang w:eastAsia="zh-CN"/>
        </w:rPr>
        <w:t>《上市规则》</w:t>
      </w:r>
      <w:r>
        <w:rPr>
          <w:lang w:eastAsia="zh-CN"/>
        </w:rPr>
        <w:t>），在六个关键领域阐明了董事的义务与责任：职责转授、依赖专业意见、商业利益与遵守《上市规则》的对照、独立非执行董事在维持内部监控方面的角色、经股东投票罢免的董事不得获重新委任，以及公司秘书作为良好企业管治的把关者。</w:t>
      </w:r>
    </w:p>
    <w:p w:rsidR="00577CD5" w:rsidRDefault="00A35E49">
      <w:pPr>
        <w:pStyle w:val="BodyText"/>
        <w:rPr>
          <w:lang w:eastAsia="zh-CN"/>
        </w:rPr>
      </w:pPr>
      <w:r>
        <w:rPr>
          <w:lang w:eastAsia="zh-CN"/>
        </w:rPr>
        <w:t>联交所强调，董事对于制定在香港联交所上市的公司的管治框架和战略方向至关重要。对董事职责的误解可能为董事及联交所上市公司带来重大的法律、监管及财务后果。该指引郑重</w:t>
      </w:r>
      <w:r>
        <w:rPr>
          <w:lang w:eastAsia="zh-CN"/>
        </w:rPr>
        <w:t>提醒董事其根据香港法律与《上市规则》所负有的持续责任。</w:t>
      </w:r>
    </w:p>
    <w:p w:rsidR="00577CD5" w:rsidRDefault="00A35E49">
      <w:pPr>
        <w:pStyle w:val="Heading2"/>
        <w:rPr>
          <w:lang w:eastAsia="zh-CN"/>
        </w:rPr>
      </w:pPr>
      <w:bookmarkStart w:id="0" w:name="联交所上市公司董事职责的转授"/>
      <w:r>
        <w:rPr>
          <w:lang w:eastAsia="zh-CN"/>
        </w:rPr>
        <w:t>联交所上市公司董事职责的转授</w:t>
      </w:r>
      <w:bookmarkEnd w:id="0"/>
    </w:p>
    <w:p w:rsidR="00577CD5" w:rsidRDefault="00A35E49">
      <w:pPr>
        <w:pStyle w:val="FirstParagraph"/>
        <w:rPr>
          <w:lang w:eastAsia="zh-CN"/>
        </w:rPr>
      </w:pPr>
      <w:r>
        <w:rPr>
          <w:lang w:eastAsia="zh-CN"/>
        </w:rPr>
        <w:t>联交所阐明了一个常见误解，即认为转授职责即可免除董事的责任。董事有时辩称，既然某项工作或责任已转授他人，而获委派人士又未就任何问题向他们发出警示，他们根本无法防止或发现联交所上市公司违反《上市规则》或蒙受资产损失。</w:t>
      </w:r>
    </w:p>
    <w:p w:rsidR="00577CD5" w:rsidRDefault="00A35E49">
      <w:pPr>
        <w:pStyle w:val="BodyText"/>
      </w:pPr>
      <w:r>
        <w:rPr>
          <w:lang w:eastAsia="zh-CN"/>
        </w:rPr>
        <w:t>联交所确认，虽然转授或分工是允许的，但董事仍保留一项核心的、不可转授的责任，即在履行董事职责时以合理的技能、谨慎和勤勉行事。</w:t>
      </w:r>
      <w:r>
        <w:t>董事应：</w:t>
      </w:r>
    </w:p>
    <w:p w:rsidR="00577CD5" w:rsidRDefault="00A35E49">
      <w:pPr>
        <w:pStyle w:val="Compact"/>
        <w:numPr>
          <w:ilvl w:val="0"/>
          <w:numId w:val="3"/>
        </w:numPr>
        <w:rPr>
          <w:lang w:eastAsia="zh-CN"/>
        </w:rPr>
      </w:pPr>
      <w:r>
        <w:rPr>
          <w:lang w:eastAsia="zh-CN"/>
        </w:rPr>
        <w:t>确保转授职责是合理的，特别应考虑获委派人士在该事项方面的知识和能力；及</w:t>
      </w:r>
    </w:p>
    <w:p w:rsidR="00577CD5" w:rsidRDefault="00A35E49">
      <w:pPr>
        <w:pStyle w:val="Compact"/>
        <w:numPr>
          <w:ilvl w:val="0"/>
          <w:numId w:val="3"/>
        </w:numPr>
        <w:rPr>
          <w:lang w:eastAsia="zh-CN"/>
        </w:rPr>
      </w:pPr>
      <w:r>
        <w:rPr>
          <w:lang w:eastAsia="zh-CN"/>
        </w:rPr>
        <w:t>在转</w:t>
      </w:r>
      <w:r>
        <w:rPr>
          <w:lang w:eastAsia="zh-CN"/>
        </w:rPr>
        <w:t>授职责后，积极监督所转授职能的履行情况，包括持续充分了解转授事宜，并且若发现任何欠妥事宜须立即跟进。</w:t>
      </w:r>
    </w:p>
    <w:p w:rsidR="00577CD5" w:rsidRPr="00212639" w:rsidRDefault="00A35E49">
      <w:pPr>
        <w:pStyle w:val="Heading3"/>
        <w:rPr>
          <w:color w:val="auto"/>
          <w:lang w:eastAsia="zh-CN"/>
        </w:rPr>
      </w:pPr>
      <w:bookmarkStart w:id="1" w:name="遵守联交所上市规则"/>
      <w:r w:rsidRPr="00212639">
        <w:rPr>
          <w:i/>
          <w:color w:val="auto"/>
          <w:lang w:eastAsia="zh-CN"/>
        </w:rPr>
        <w:t>遵守联交所《上市规则》</w:t>
      </w:r>
      <w:bookmarkEnd w:id="1"/>
    </w:p>
    <w:p w:rsidR="00577CD5" w:rsidRDefault="00A35E49">
      <w:pPr>
        <w:pStyle w:val="FirstParagraph"/>
      </w:pPr>
      <w:r>
        <w:rPr>
          <w:lang w:eastAsia="zh-CN"/>
        </w:rPr>
        <w:t>在遵守《上市规则》方面，对于进行证券交易的联交所上市公司，董事应确保交易活动的详情及进展被定期和及时地向董事会上报，以确认和遵守《上市规则》的规定。</w:t>
      </w:r>
      <w:r>
        <w:t>为此，董事应：</w:t>
      </w:r>
    </w:p>
    <w:p w:rsidR="00577CD5" w:rsidRDefault="00A35E49">
      <w:pPr>
        <w:pStyle w:val="Compact"/>
        <w:numPr>
          <w:ilvl w:val="0"/>
          <w:numId w:val="4"/>
        </w:numPr>
        <w:rPr>
          <w:lang w:eastAsia="zh-CN"/>
        </w:rPr>
      </w:pPr>
      <w:r>
        <w:rPr>
          <w:lang w:eastAsia="zh-CN"/>
        </w:rPr>
        <w:t>确保获委派进行操作的人士熟悉《上市规则》，特别是关于须予公布的交易的规定；及</w:t>
      </w:r>
    </w:p>
    <w:p w:rsidR="00577CD5" w:rsidRDefault="00A35E49">
      <w:pPr>
        <w:pStyle w:val="Compact"/>
        <w:numPr>
          <w:ilvl w:val="0"/>
          <w:numId w:val="4"/>
        </w:numPr>
        <w:rPr>
          <w:lang w:eastAsia="zh-CN"/>
        </w:rPr>
      </w:pPr>
      <w:r>
        <w:rPr>
          <w:lang w:eastAsia="zh-CN"/>
        </w:rPr>
        <w:t>制定充分和具体的内部监控和程序，尤其是以防止及发现不合规行为。</w:t>
      </w:r>
    </w:p>
    <w:p w:rsidR="00577CD5" w:rsidRDefault="00A35E49">
      <w:pPr>
        <w:pStyle w:val="FirstParagraph"/>
        <w:rPr>
          <w:lang w:eastAsia="zh-CN"/>
        </w:rPr>
      </w:pPr>
      <w:r>
        <w:rPr>
          <w:lang w:eastAsia="zh-CN"/>
        </w:rPr>
        <w:t>更广泛而言，当公司秘书获授予处理联交所上市公司的合规事宜时，董事应采取足够行动监</w:t>
      </w:r>
      <w:r>
        <w:rPr>
          <w:lang w:eastAsia="zh-CN"/>
        </w:rPr>
        <w:t>察和跟进相关事宜，以确保公司秘书将妥善履行获授予的职责。若董事未能采取足够行动，而公司秘书又未能按照授权促使联交所上市公司遵守《上市规则》，则至少应受到公开谴责。此原则应用于联交所</w:t>
      </w:r>
      <w:hyperlink r:id="rId9">
        <w:r w:rsidRPr="00212639">
          <w:rPr>
            <w:color w:val="FF0000"/>
            <w:u w:val="single"/>
            <w:lang w:eastAsia="zh-CN"/>
          </w:rPr>
          <w:t>2025</w:t>
        </w:r>
        <w:r w:rsidRPr="00212639">
          <w:rPr>
            <w:color w:val="FF0000"/>
            <w:u w:val="single"/>
            <w:lang w:eastAsia="zh-CN"/>
          </w:rPr>
          <w:t>年</w:t>
        </w:r>
        <w:r w:rsidRPr="00212639">
          <w:rPr>
            <w:color w:val="FF0000"/>
            <w:u w:val="single"/>
            <w:lang w:eastAsia="zh-CN"/>
          </w:rPr>
          <w:t>11</w:t>
        </w:r>
        <w:r w:rsidRPr="00212639">
          <w:rPr>
            <w:color w:val="FF0000"/>
            <w:u w:val="single"/>
            <w:lang w:eastAsia="zh-CN"/>
          </w:rPr>
          <w:t>月的新闻稿</w:t>
        </w:r>
      </w:hyperlink>
      <w:r>
        <w:rPr>
          <w:lang w:eastAsia="zh-CN"/>
        </w:rPr>
        <w:t>中。</w:t>
      </w:r>
    </w:p>
    <w:p w:rsidR="00577CD5" w:rsidRPr="00212639" w:rsidRDefault="00A35E49">
      <w:pPr>
        <w:pStyle w:val="Heading3"/>
        <w:rPr>
          <w:color w:val="auto"/>
          <w:lang w:eastAsia="zh-CN"/>
        </w:rPr>
      </w:pPr>
      <w:bookmarkStart w:id="2" w:name="保障联交所上市公司的资产"/>
      <w:r w:rsidRPr="00212639">
        <w:rPr>
          <w:i/>
          <w:color w:val="auto"/>
          <w:lang w:eastAsia="zh-CN"/>
        </w:rPr>
        <w:t>保障联交所上市公司的资产</w:t>
      </w:r>
      <w:bookmarkEnd w:id="2"/>
    </w:p>
    <w:p w:rsidR="00577CD5" w:rsidRDefault="00A35E49">
      <w:pPr>
        <w:pStyle w:val="FirstParagraph"/>
        <w:rPr>
          <w:lang w:eastAsia="zh-CN"/>
        </w:rPr>
      </w:pPr>
      <w:r>
        <w:rPr>
          <w:lang w:eastAsia="zh-CN"/>
        </w:rPr>
        <w:t>对于从事放债业务的联交所上市</w:t>
      </w:r>
      <w:r>
        <w:rPr>
          <w:lang w:eastAsia="zh-CN"/>
        </w:rPr>
        <w:t>公司，董事应尽量降低因借款人未能偿还贷款和利息而可能造成金钱或减值亏损的可能性。在将日常营运转授予特定人士时，董事应（包括但不限于）：</w:t>
      </w:r>
    </w:p>
    <w:p w:rsidR="00577CD5" w:rsidRDefault="00A35E49">
      <w:pPr>
        <w:pStyle w:val="Compact"/>
        <w:numPr>
          <w:ilvl w:val="0"/>
          <w:numId w:val="5"/>
        </w:numPr>
        <w:rPr>
          <w:lang w:eastAsia="zh-CN"/>
        </w:rPr>
      </w:pPr>
      <w:r>
        <w:rPr>
          <w:lang w:eastAsia="zh-CN"/>
        </w:rPr>
        <w:lastRenderedPageBreak/>
        <w:t>确保公司设有足够和具体的内部监控及程序，例如关于</w:t>
      </w:r>
      <w:r w:rsidR="00212639">
        <w:rPr>
          <w:lang w:eastAsia="zh-CN"/>
        </w:rPr>
        <w:t>(i)</w:t>
      </w:r>
      <w:r>
        <w:rPr>
          <w:lang w:eastAsia="zh-CN"/>
        </w:rPr>
        <w:t>尽职审查；</w:t>
      </w:r>
      <w:r w:rsidR="00212639">
        <w:rPr>
          <w:lang w:eastAsia="zh-CN"/>
        </w:rPr>
        <w:t>(ii)</w:t>
      </w:r>
      <w:r>
        <w:rPr>
          <w:lang w:eastAsia="zh-CN"/>
        </w:rPr>
        <w:t>信贷风险及担保是否充足的评估（包括为确保其可执行性而采取的措施）；及</w:t>
      </w:r>
      <w:r w:rsidR="00212639">
        <w:rPr>
          <w:lang w:eastAsia="zh-CN"/>
        </w:rPr>
        <w:t>(iii)</w:t>
      </w:r>
      <w:r>
        <w:rPr>
          <w:lang w:eastAsia="zh-CN"/>
        </w:rPr>
        <w:t>于授出贷款时及于贷款期内持续评估贷款条款及延长贷款的合理性等；及</w:t>
      </w:r>
    </w:p>
    <w:p w:rsidR="00577CD5" w:rsidRDefault="00A35E49">
      <w:pPr>
        <w:pStyle w:val="Compact"/>
        <w:numPr>
          <w:ilvl w:val="0"/>
          <w:numId w:val="5"/>
        </w:numPr>
        <w:rPr>
          <w:lang w:eastAsia="zh-CN"/>
        </w:rPr>
      </w:pPr>
      <w:r>
        <w:rPr>
          <w:lang w:eastAsia="zh-CN"/>
        </w:rPr>
        <w:t>维持对业务营运的充分监督，例如（包括）取得及审阅定期更新的数据（营运和财务上），并及时于董事会会议上上报及讨论他们注意到的问题。</w:t>
      </w:r>
    </w:p>
    <w:p w:rsidR="00577CD5" w:rsidRDefault="00A35E49">
      <w:pPr>
        <w:pStyle w:val="FirstParagraph"/>
        <w:rPr>
          <w:lang w:eastAsia="zh-CN"/>
        </w:rPr>
      </w:pPr>
      <w:r>
        <w:rPr>
          <w:lang w:eastAsia="zh-CN"/>
        </w:rPr>
        <w:t>如</w:t>
      </w:r>
      <w:r>
        <w:rPr>
          <w:lang w:eastAsia="zh-CN"/>
        </w:rPr>
        <w:t>联交所</w:t>
      </w:r>
      <w:hyperlink r:id="rId10">
        <w:r w:rsidRPr="00212639">
          <w:rPr>
            <w:color w:val="FF0000"/>
            <w:u w:val="single"/>
            <w:lang w:eastAsia="zh-CN"/>
          </w:rPr>
          <w:t>2025</w:t>
        </w:r>
        <w:r w:rsidRPr="00212639">
          <w:rPr>
            <w:color w:val="FF0000"/>
            <w:u w:val="single"/>
            <w:lang w:eastAsia="zh-CN"/>
          </w:rPr>
          <w:t>年</w:t>
        </w:r>
        <w:r w:rsidRPr="00212639">
          <w:rPr>
            <w:color w:val="FF0000"/>
            <w:u w:val="single"/>
            <w:lang w:eastAsia="zh-CN"/>
          </w:rPr>
          <w:t>10</w:t>
        </w:r>
        <w:r w:rsidRPr="00212639">
          <w:rPr>
            <w:color w:val="FF0000"/>
            <w:u w:val="single"/>
            <w:lang w:eastAsia="zh-CN"/>
          </w:rPr>
          <w:t>月</w:t>
        </w:r>
        <w:r w:rsidRPr="00212639">
          <w:rPr>
            <w:color w:val="FF0000"/>
            <w:u w:val="single"/>
            <w:lang w:eastAsia="zh-CN"/>
          </w:rPr>
          <w:t>8</w:t>
        </w:r>
        <w:r w:rsidRPr="00212639">
          <w:rPr>
            <w:color w:val="FF0000"/>
            <w:u w:val="single"/>
            <w:lang w:eastAsia="zh-CN"/>
          </w:rPr>
          <w:t>日新闻稿</w:t>
        </w:r>
      </w:hyperlink>
      <w:r>
        <w:rPr>
          <w:lang w:eastAsia="zh-CN"/>
        </w:rPr>
        <w:t>所述，过往曾有董事因未能履行这些职责而被施加董事不适合性声明（</w:t>
      </w:r>
      <w:r>
        <w:rPr>
          <w:lang w:eastAsia="zh-CN"/>
        </w:rPr>
        <w:t>DUS</w:t>
      </w:r>
      <w:r>
        <w:rPr>
          <w:lang w:eastAsia="zh-CN"/>
        </w:rPr>
        <w:t>）。</w:t>
      </w:r>
    </w:p>
    <w:p w:rsidR="00577CD5" w:rsidRDefault="00A35E49">
      <w:pPr>
        <w:pStyle w:val="BodyText"/>
        <w:rPr>
          <w:lang w:eastAsia="zh-CN"/>
        </w:rPr>
      </w:pPr>
      <w:r>
        <w:rPr>
          <w:lang w:eastAsia="zh-CN"/>
        </w:rPr>
        <w:t>同样，若联交所上市公司将其持有的合营企业的营运转授予合伙人，董事仍有义务积极跟进并对合营企业的业务和事务给予充分监督。过度依赖合伙人可能产生一个助长违规行为的环境，进而导致合营</w:t>
      </w:r>
      <w:r>
        <w:rPr>
          <w:lang w:eastAsia="zh-CN"/>
        </w:rPr>
        <w:t>企业资产的损失。香港法院已有先例对未能履行有关责任的董事发出取消董事资格令，如联交所</w:t>
      </w:r>
      <w:hyperlink r:id="rId11">
        <w:r w:rsidRPr="00E3254C">
          <w:rPr>
            <w:color w:val="FF0000"/>
            <w:u w:val="single"/>
            <w:lang w:eastAsia="zh-CN"/>
          </w:rPr>
          <w:t>2021</w:t>
        </w:r>
        <w:r w:rsidRPr="00E3254C">
          <w:rPr>
            <w:color w:val="FF0000"/>
            <w:u w:val="single"/>
            <w:lang w:eastAsia="zh-CN"/>
          </w:rPr>
          <w:t>年</w:t>
        </w:r>
        <w:r w:rsidRPr="00E3254C">
          <w:rPr>
            <w:color w:val="FF0000"/>
            <w:u w:val="single"/>
            <w:lang w:eastAsia="zh-CN"/>
          </w:rPr>
          <w:t>5</w:t>
        </w:r>
        <w:r w:rsidRPr="00E3254C">
          <w:rPr>
            <w:color w:val="FF0000"/>
            <w:u w:val="single"/>
            <w:lang w:eastAsia="zh-CN"/>
          </w:rPr>
          <w:t>月</w:t>
        </w:r>
        <w:r w:rsidRPr="00E3254C">
          <w:rPr>
            <w:color w:val="FF0000"/>
            <w:u w:val="single"/>
            <w:lang w:eastAsia="zh-CN"/>
          </w:rPr>
          <w:t>26</w:t>
        </w:r>
        <w:r w:rsidRPr="00E3254C">
          <w:rPr>
            <w:color w:val="FF0000"/>
            <w:u w:val="single"/>
            <w:lang w:eastAsia="zh-CN"/>
          </w:rPr>
          <w:t>日新闻稿</w:t>
        </w:r>
      </w:hyperlink>
      <w:r>
        <w:rPr>
          <w:lang w:eastAsia="zh-CN"/>
        </w:rPr>
        <w:t>及</w:t>
      </w:r>
      <w:hyperlink r:id="rId12">
        <w:r w:rsidRPr="00E3254C">
          <w:rPr>
            <w:color w:val="FF0000"/>
            <w:u w:val="single"/>
            <w:lang w:eastAsia="zh-CN"/>
          </w:rPr>
          <w:t>2025</w:t>
        </w:r>
        <w:r w:rsidRPr="00E3254C">
          <w:rPr>
            <w:color w:val="FF0000"/>
            <w:u w:val="single"/>
            <w:lang w:eastAsia="zh-CN"/>
          </w:rPr>
          <w:t>年</w:t>
        </w:r>
        <w:r w:rsidRPr="00E3254C">
          <w:rPr>
            <w:color w:val="FF0000"/>
            <w:u w:val="single"/>
            <w:lang w:eastAsia="zh-CN"/>
          </w:rPr>
          <w:t>1</w:t>
        </w:r>
        <w:r w:rsidRPr="00E3254C">
          <w:rPr>
            <w:color w:val="FF0000"/>
            <w:u w:val="single"/>
            <w:lang w:eastAsia="zh-CN"/>
          </w:rPr>
          <w:t>月</w:t>
        </w:r>
        <w:r w:rsidRPr="00E3254C">
          <w:rPr>
            <w:color w:val="FF0000"/>
            <w:u w:val="single"/>
            <w:lang w:eastAsia="zh-CN"/>
          </w:rPr>
          <w:t>27</w:t>
        </w:r>
        <w:r w:rsidRPr="00E3254C">
          <w:rPr>
            <w:color w:val="FF0000"/>
            <w:u w:val="single"/>
            <w:lang w:eastAsia="zh-CN"/>
          </w:rPr>
          <w:t>日原讼法庭判决</w:t>
        </w:r>
        <w:r w:rsidRPr="00E3254C">
          <w:rPr>
            <w:color w:val="FF0000"/>
            <w:u w:val="single"/>
            <w:lang w:eastAsia="zh-CN"/>
          </w:rPr>
          <w:t xml:space="preserve"> [2025] HKCFI 466</w:t>
        </w:r>
      </w:hyperlink>
      <w:r>
        <w:rPr>
          <w:lang w:eastAsia="zh-CN"/>
        </w:rPr>
        <w:t>所引用。</w:t>
      </w:r>
    </w:p>
    <w:p w:rsidR="00577CD5" w:rsidRPr="00E3254C" w:rsidRDefault="00A35E49">
      <w:pPr>
        <w:pStyle w:val="Heading3"/>
        <w:rPr>
          <w:color w:val="auto"/>
          <w:lang w:eastAsia="zh-CN"/>
        </w:rPr>
      </w:pPr>
      <w:bookmarkStart w:id="3" w:name="危险讯号的处理"/>
      <w:r w:rsidRPr="00E3254C">
        <w:rPr>
          <w:i/>
          <w:color w:val="auto"/>
          <w:lang w:eastAsia="zh-CN"/>
        </w:rPr>
        <w:t>危险讯号的处理</w:t>
      </w:r>
      <w:bookmarkEnd w:id="3"/>
    </w:p>
    <w:p w:rsidR="00577CD5" w:rsidRDefault="00A35E49">
      <w:pPr>
        <w:pStyle w:val="FirstParagraph"/>
        <w:rPr>
          <w:lang w:eastAsia="zh-CN"/>
        </w:rPr>
      </w:pPr>
      <w:r>
        <w:rPr>
          <w:lang w:eastAsia="zh-CN"/>
        </w:rPr>
        <w:t>联交所强调了一些案例，在这些案例中，若董事能够就违规行为的危险讯号及时采取充分行动，联交所上市公司本可以避免（或不再进一步）提供未经授权或其他违规的财务资助；在财务报表或其他刊物中作错误陈述；或作出规避《上市规则》及内部监控的行为。</w:t>
      </w:r>
    </w:p>
    <w:p w:rsidR="00577CD5" w:rsidRDefault="00A35E49">
      <w:pPr>
        <w:pStyle w:val="BodyText"/>
        <w:rPr>
          <w:lang w:eastAsia="zh-CN"/>
        </w:rPr>
      </w:pPr>
      <w:r>
        <w:rPr>
          <w:lang w:eastAsia="zh-CN"/>
        </w:rPr>
        <w:t>一旦察觉危</w:t>
      </w:r>
      <w:r>
        <w:rPr>
          <w:lang w:eastAsia="zh-CN"/>
        </w:rPr>
        <w:t>险讯号，董事应立即将相关事项上报董事会，而董事会则应及时地：</w:t>
      </w:r>
    </w:p>
    <w:p w:rsidR="00577CD5" w:rsidRDefault="00A35E49">
      <w:pPr>
        <w:pStyle w:val="Compact"/>
        <w:numPr>
          <w:ilvl w:val="0"/>
          <w:numId w:val="6"/>
        </w:numPr>
        <w:rPr>
          <w:lang w:eastAsia="zh-CN"/>
        </w:rPr>
      </w:pPr>
      <w:r>
        <w:rPr>
          <w:lang w:eastAsia="zh-CN"/>
        </w:rPr>
        <w:t>作出充分查询以查明事实，而不是未经查证就全盘接纳涉嫌违规者的表面陈述；</w:t>
      </w:r>
    </w:p>
    <w:p w:rsidR="00577CD5" w:rsidRDefault="00A35E49">
      <w:pPr>
        <w:pStyle w:val="Compact"/>
        <w:numPr>
          <w:ilvl w:val="0"/>
          <w:numId w:val="6"/>
        </w:numPr>
        <w:rPr>
          <w:lang w:eastAsia="zh-CN"/>
        </w:rPr>
      </w:pPr>
      <w:r>
        <w:rPr>
          <w:lang w:eastAsia="zh-CN"/>
        </w:rPr>
        <w:t>采取行动防止违规行为发生或再次发生（例如召开董事会会议以制定行动方案及／或寻求专业意见）。单是指示涉嫌违规者不要重复违规，而没有采取积极措施以阻止这些行为再次发生（例如撤销容许他们如此行事的权力）显然并不足够；及</w:t>
      </w:r>
    </w:p>
    <w:p w:rsidR="00577CD5" w:rsidRDefault="00A35E49">
      <w:pPr>
        <w:pStyle w:val="Compact"/>
        <w:numPr>
          <w:ilvl w:val="0"/>
          <w:numId w:val="6"/>
        </w:numPr>
        <w:rPr>
          <w:lang w:eastAsia="zh-CN"/>
        </w:rPr>
      </w:pPr>
      <w:r>
        <w:rPr>
          <w:lang w:eastAsia="zh-CN"/>
        </w:rPr>
        <w:t>调查违规行为如何发生，检视联交所上市公司的风险管理和内部监控措施可有缺失，并作出补救。</w:t>
      </w:r>
    </w:p>
    <w:p w:rsidR="00577CD5" w:rsidRDefault="00A35E49">
      <w:pPr>
        <w:pStyle w:val="FirstParagraph"/>
        <w:rPr>
          <w:lang w:eastAsia="zh-CN"/>
        </w:rPr>
      </w:pPr>
      <w:r>
        <w:rPr>
          <w:lang w:eastAsia="zh-CN"/>
        </w:rPr>
        <w:t>此观点获香港法院在其</w:t>
      </w:r>
      <w:hyperlink r:id="rId13">
        <w:r w:rsidRPr="00E3254C">
          <w:rPr>
            <w:color w:val="FF0000"/>
            <w:u w:val="single"/>
            <w:lang w:eastAsia="zh-CN"/>
          </w:rPr>
          <w:t>2020</w:t>
        </w:r>
        <w:r w:rsidRPr="00E3254C">
          <w:rPr>
            <w:color w:val="FF0000"/>
            <w:u w:val="single"/>
            <w:lang w:eastAsia="zh-CN"/>
          </w:rPr>
          <w:t>年</w:t>
        </w:r>
        <w:r w:rsidRPr="00E3254C">
          <w:rPr>
            <w:color w:val="FF0000"/>
            <w:u w:val="single"/>
            <w:lang w:eastAsia="zh-CN"/>
          </w:rPr>
          <w:t>5</w:t>
        </w:r>
        <w:r w:rsidRPr="00E3254C">
          <w:rPr>
            <w:color w:val="FF0000"/>
            <w:u w:val="single"/>
            <w:lang w:eastAsia="zh-CN"/>
          </w:rPr>
          <w:t>月</w:t>
        </w:r>
        <w:r w:rsidRPr="00E3254C">
          <w:rPr>
            <w:color w:val="FF0000"/>
            <w:u w:val="single"/>
            <w:lang w:eastAsia="zh-CN"/>
          </w:rPr>
          <w:t>7</w:t>
        </w:r>
        <w:r w:rsidRPr="00E3254C">
          <w:rPr>
            <w:color w:val="FF0000"/>
            <w:u w:val="single"/>
            <w:lang w:eastAsia="zh-CN"/>
          </w:rPr>
          <w:t>日的判决</w:t>
        </w:r>
        <w:r w:rsidRPr="00E3254C">
          <w:rPr>
            <w:color w:val="FF0000"/>
            <w:u w:val="single"/>
            <w:lang w:eastAsia="zh-CN"/>
          </w:rPr>
          <w:t xml:space="preserve"> [2020] HKCFI 675</w:t>
        </w:r>
      </w:hyperlink>
      <w:r>
        <w:rPr>
          <w:lang w:eastAsia="zh-CN"/>
        </w:rPr>
        <w:t>中认可。</w:t>
      </w:r>
    </w:p>
    <w:p w:rsidR="00577CD5" w:rsidRPr="00E3254C" w:rsidRDefault="00A35E49">
      <w:pPr>
        <w:pStyle w:val="Heading3"/>
        <w:rPr>
          <w:color w:val="auto"/>
          <w:lang w:eastAsia="zh-CN"/>
        </w:rPr>
      </w:pPr>
      <w:bookmarkStart w:id="4" w:name="独立判断"/>
      <w:r w:rsidRPr="00E3254C">
        <w:rPr>
          <w:i/>
          <w:color w:val="auto"/>
          <w:lang w:eastAsia="zh-CN"/>
        </w:rPr>
        <w:t>独立判断</w:t>
      </w:r>
      <w:bookmarkEnd w:id="4"/>
    </w:p>
    <w:p w:rsidR="00577CD5" w:rsidRDefault="00A35E49">
      <w:pPr>
        <w:pStyle w:val="FirstParagraph"/>
        <w:rPr>
          <w:lang w:eastAsia="zh-CN"/>
        </w:rPr>
      </w:pPr>
      <w:r>
        <w:rPr>
          <w:lang w:eastAsia="zh-CN"/>
        </w:rPr>
        <w:t>联交所强调，每名董事必须自行独立判断那些需要其批准的交易是否符合联交所上市公司的利益及《上市规则》。一名董事仅仅依赖另一董事或管理层成员先前的审批而例行公事地做出批准决定</w:t>
      </w:r>
      <w:r>
        <w:rPr>
          <w:lang w:eastAsia="zh-CN"/>
        </w:rPr>
        <w:t>，显然是疏忽职守的行为，并可能导致被施加董事不适合性声明，如联交所</w:t>
      </w:r>
      <w:hyperlink r:id="rId14">
        <w:r w:rsidRPr="00E3254C">
          <w:rPr>
            <w:color w:val="FF0000"/>
            <w:u w:val="single"/>
            <w:lang w:eastAsia="zh-CN"/>
          </w:rPr>
          <w:t>2024</w:t>
        </w:r>
        <w:r w:rsidRPr="00E3254C">
          <w:rPr>
            <w:color w:val="FF0000"/>
            <w:u w:val="single"/>
            <w:lang w:eastAsia="zh-CN"/>
          </w:rPr>
          <w:t>年</w:t>
        </w:r>
        <w:r w:rsidRPr="00E3254C">
          <w:rPr>
            <w:color w:val="FF0000"/>
            <w:u w:val="single"/>
            <w:lang w:eastAsia="zh-CN"/>
          </w:rPr>
          <w:t>9</w:t>
        </w:r>
        <w:r w:rsidRPr="00E3254C">
          <w:rPr>
            <w:color w:val="FF0000"/>
            <w:u w:val="single"/>
            <w:lang w:eastAsia="zh-CN"/>
          </w:rPr>
          <w:t>月</w:t>
        </w:r>
        <w:r w:rsidRPr="00E3254C">
          <w:rPr>
            <w:color w:val="FF0000"/>
            <w:u w:val="single"/>
            <w:lang w:eastAsia="zh-CN"/>
          </w:rPr>
          <w:t>10</w:t>
        </w:r>
        <w:r w:rsidRPr="00E3254C">
          <w:rPr>
            <w:color w:val="FF0000"/>
            <w:u w:val="single"/>
            <w:lang w:eastAsia="zh-CN"/>
          </w:rPr>
          <w:t>日新闻稿</w:t>
        </w:r>
      </w:hyperlink>
      <w:r>
        <w:rPr>
          <w:lang w:eastAsia="zh-CN"/>
        </w:rPr>
        <w:t>所应用。</w:t>
      </w:r>
    </w:p>
    <w:p w:rsidR="00577CD5" w:rsidRDefault="00A35E49">
      <w:pPr>
        <w:pStyle w:val="Heading2"/>
        <w:rPr>
          <w:lang w:eastAsia="zh-CN"/>
        </w:rPr>
      </w:pPr>
      <w:bookmarkStart w:id="5" w:name="联交所上市公司对专业意见的依赖"/>
      <w:r>
        <w:rPr>
          <w:lang w:eastAsia="zh-CN"/>
        </w:rPr>
        <w:t>联交所上市公司对专业意见的依赖</w:t>
      </w:r>
      <w:bookmarkEnd w:id="5"/>
    </w:p>
    <w:p w:rsidR="00577CD5" w:rsidRDefault="00A35E49">
      <w:pPr>
        <w:pStyle w:val="FirstParagraph"/>
        <w:rPr>
          <w:lang w:eastAsia="zh-CN"/>
        </w:rPr>
      </w:pPr>
      <w:r>
        <w:rPr>
          <w:lang w:eastAsia="zh-CN"/>
        </w:rPr>
        <w:t>联交所阐明的另一个常见误解是，认为董事若按专业顾问的意见行事，便不能被追究任何由此产生的问题。</w:t>
      </w:r>
    </w:p>
    <w:p w:rsidR="00577CD5" w:rsidRDefault="00A35E49">
      <w:pPr>
        <w:pStyle w:val="BodyText"/>
        <w:rPr>
          <w:lang w:eastAsia="zh-CN"/>
        </w:rPr>
      </w:pPr>
      <w:r>
        <w:rPr>
          <w:lang w:eastAsia="zh-CN"/>
        </w:rPr>
        <w:t>联交所确认，采纳专业意见必须有合理基础。董事须自行判断这些意见是否可靠和充足（例如委聘范围以及顾问是否具备所需的专业知识、能力和资源），且按这些意见行事前，须抱有适当的怀疑态度和运用常识，作出适当查询。</w:t>
      </w:r>
    </w:p>
    <w:p w:rsidR="00577CD5" w:rsidRDefault="00A35E49">
      <w:pPr>
        <w:pStyle w:val="BodyText"/>
        <w:rPr>
          <w:lang w:eastAsia="zh-CN"/>
        </w:rPr>
      </w:pPr>
      <w:r>
        <w:rPr>
          <w:lang w:eastAsia="zh-CN"/>
        </w:rPr>
        <w:t>在联交所强调的一个案例中，曾有董事受到制裁，因为他们未有质疑地依赖专业估值师的土地估值，并将其列入联交所上市公司的财务报表，尽管发现该估值意味着土地价值于短短六个月内飙升七倍。有关增幅最终被证实为并无根据，因此相关财务报表严重不正确、不准确及具误导成分。</w:t>
      </w:r>
    </w:p>
    <w:p w:rsidR="00577CD5" w:rsidRDefault="00A35E49">
      <w:pPr>
        <w:pStyle w:val="BodyText"/>
        <w:rPr>
          <w:lang w:eastAsia="zh-CN"/>
        </w:rPr>
      </w:pPr>
      <w:r>
        <w:rPr>
          <w:lang w:eastAsia="zh-CN"/>
        </w:rPr>
        <w:t>有关董事被裁定未有履行董事职责，因为他们没有：</w:t>
      </w:r>
    </w:p>
    <w:p w:rsidR="00577CD5" w:rsidRDefault="00A35E49">
      <w:pPr>
        <w:pStyle w:val="Compact"/>
        <w:numPr>
          <w:ilvl w:val="0"/>
          <w:numId w:val="7"/>
        </w:numPr>
        <w:rPr>
          <w:lang w:eastAsia="zh-CN"/>
        </w:rPr>
      </w:pPr>
      <w:r>
        <w:rPr>
          <w:lang w:eastAsia="zh-CN"/>
        </w:rPr>
        <w:lastRenderedPageBreak/>
        <w:t>向估</w:t>
      </w:r>
      <w:r>
        <w:rPr>
          <w:lang w:eastAsia="zh-CN"/>
        </w:rPr>
        <w:t>值师作出适当查询（例如查询所采纳的假设、估值方法及用作比较的数据）以证明估值大幅跃升的合理性；及／或</w:t>
      </w:r>
    </w:p>
    <w:p w:rsidR="00577CD5" w:rsidRDefault="00A35E49">
      <w:pPr>
        <w:pStyle w:val="Compact"/>
        <w:numPr>
          <w:ilvl w:val="0"/>
          <w:numId w:val="7"/>
        </w:numPr>
        <w:rPr>
          <w:lang w:eastAsia="zh-CN"/>
        </w:rPr>
      </w:pPr>
      <w:r>
        <w:rPr>
          <w:lang w:eastAsia="zh-CN"/>
        </w:rPr>
        <w:t>于刊发财务报表前就大幅增值是否合理咨询联交所上市公司的核数师或其他专业顾问。</w:t>
      </w:r>
    </w:p>
    <w:p w:rsidR="00577CD5" w:rsidRDefault="00A35E49">
      <w:pPr>
        <w:pStyle w:val="FirstParagraph"/>
        <w:rPr>
          <w:lang w:eastAsia="zh-CN"/>
        </w:rPr>
      </w:pPr>
      <w:r>
        <w:rPr>
          <w:lang w:eastAsia="zh-CN"/>
        </w:rPr>
        <w:t>此案例引用自联交所</w:t>
      </w:r>
      <w:hyperlink r:id="rId15">
        <w:r w:rsidRPr="00E3254C">
          <w:rPr>
            <w:color w:val="FF0000"/>
            <w:u w:val="single"/>
            <w:lang w:eastAsia="zh-CN"/>
          </w:rPr>
          <w:t>2024</w:t>
        </w:r>
        <w:r w:rsidRPr="00E3254C">
          <w:rPr>
            <w:color w:val="FF0000"/>
            <w:u w:val="single"/>
            <w:lang w:eastAsia="zh-CN"/>
          </w:rPr>
          <w:t>年</w:t>
        </w:r>
        <w:r w:rsidRPr="00E3254C">
          <w:rPr>
            <w:color w:val="FF0000"/>
            <w:u w:val="single"/>
            <w:lang w:eastAsia="zh-CN"/>
          </w:rPr>
          <w:t>7</w:t>
        </w:r>
        <w:r w:rsidRPr="00E3254C">
          <w:rPr>
            <w:color w:val="FF0000"/>
            <w:u w:val="single"/>
            <w:lang w:eastAsia="zh-CN"/>
          </w:rPr>
          <w:t>月</w:t>
        </w:r>
        <w:r w:rsidRPr="00E3254C">
          <w:rPr>
            <w:color w:val="FF0000"/>
            <w:u w:val="single"/>
            <w:lang w:eastAsia="zh-CN"/>
          </w:rPr>
          <w:t>8</w:t>
        </w:r>
        <w:r w:rsidRPr="00E3254C">
          <w:rPr>
            <w:color w:val="FF0000"/>
            <w:u w:val="single"/>
            <w:lang w:eastAsia="zh-CN"/>
          </w:rPr>
          <w:t>日的新闻稿</w:t>
        </w:r>
      </w:hyperlink>
      <w:r>
        <w:rPr>
          <w:lang w:eastAsia="zh-CN"/>
        </w:rPr>
        <w:t>。</w:t>
      </w:r>
    </w:p>
    <w:p w:rsidR="00577CD5" w:rsidRDefault="00A35E49">
      <w:pPr>
        <w:pStyle w:val="Heading2"/>
        <w:rPr>
          <w:lang w:eastAsia="zh-CN"/>
        </w:rPr>
      </w:pPr>
      <w:bookmarkStart w:id="6" w:name="商业利益与遵守上市规则的对照"/>
      <w:r>
        <w:rPr>
          <w:lang w:eastAsia="zh-CN"/>
        </w:rPr>
        <w:t>商业利益与遵守《上市规则》的对照</w:t>
      </w:r>
      <w:bookmarkEnd w:id="6"/>
    </w:p>
    <w:p w:rsidR="00577CD5" w:rsidRDefault="00A35E49">
      <w:pPr>
        <w:pStyle w:val="FirstParagraph"/>
        <w:rPr>
          <w:lang w:eastAsia="zh-CN"/>
        </w:rPr>
      </w:pPr>
      <w:r>
        <w:rPr>
          <w:lang w:eastAsia="zh-CN"/>
        </w:rPr>
        <w:t>联</w:t>
      </w:r>
      <w:r>
        <w:rPr>
          <w:lang w:eastAsia="zh-CN"/>
        </w:rPr>
        <w:t>交所阐明了当商业利益与监管合规两者有冲突时，对董事试图以商业考虑为由合理化违反《上市规则》合规的行为的处理结果。</w:t>
      </w:r>
    </w:p>
    <w:p w:rsidR="00577CD5" w:rsidRDefault="00A35E49">
      <w:pPr>
        <w:pStyle w:val="BodyText"/>
        <w:rPr>
          <w:lang w:eastAsia="zh-CN"/>
        </w:rPr>
      </w:pPr>
      <w:r>
        <w:rPr>
          <w:lang w:eastAsia="zh-CN"/>
        </w:rPr>
        <w:t>联交所明确表示，商业原因不能凌驾于遵守《上市规则》的责任之上；《上市规则》旨在维持有秩序、信息灵通和公平的证券市场，并保障股东及其他公众投资者。公然或罔顾后果地漠视《上市规则》的规定将招致《上市规则》下最严厉的制裁。</w:t>
      </w:r>
    </w:p>
    <w:p w:rsidR="00577CD5" w:rsidRDefault="00A35E49">
      <w:pPr>
        <w:pStyle w:val="BodyText"/>
        <w:rPr>
          <w:lang w:eastAsia="zh-CN"/>
        </w:rPr>
      </w:pPr>
      <w:r>
        <w:rPr>
          <w:lang w:eastAsia="zh-CN"/>
        </w:rPr>
        <w:t>以下案例引发了对相关董事是否适合担任该职务的疑虑：</w:t>
      </w:r>
    </w:p>
    <w:p w:rsidR="00577CD5" w:rsidRDefault="00A35E49">
      <w:pPr>
        <w:pStyle w:val="Compact"/>
        <w:numPr>
          <w:ilvl w:val="0"/>
          <w:numId w:val="8"/>
        </w:numPr>
      </w:pPr>
      <w:r>
        <w:rPr>
          <w:lang w:eastAsia="zh-CN"/>
        </w:rPr>
        <w:t>一名董事促使联交所上市公司在不遵守《上市规则》的情况下执行非常重大的出售事项。尽管其坚称出售事项会带来商业利益，包括声称可能使该</w:t>
      </w:r>
      <w:r>
        <w:rPr>
          <w:lang w:eastAsia="zh-CN"/>
        </w:rPr>
        <w:t>联交所上市公司在俄罗斯面临的制裁风险降至最低，以及得到较目标公司公平价值高出</w:t>
      </w:r>
      <w:r>
        <w:rPr>
          <w:lang w:eastAsia="zh-CN"/>
        </w:rPr>
        <w:t>30%</w:t>
      </w:r>
      <w:r>
        <w:rPr>
          <w:lang w:eastAsia="zh-CN"/>
        </w:rPr>
        <w:t>的溢价，但其行为并不正当。</w:t>
      </w:r>
      <w:r>
        <w:t>此原则应用于联交所</w:t>
      </w:r>
      <w:hyperlink r:id="rId16">
        <w:r w:rsidRPr="00E3254C">
          <w:rPr>
            <w:color w:val="FF0000"/>
            <w:u w:val="single"/>
          </w:rPr>
          <w:t>2025</w:t>
        </w:r>
        <w:r w:rsidRPr="00E3254C">
          <w:rPr>
            <w:color w:val="FF0000"/>
            <w:u w:val="single"/>
          </w:rPr>
          <w:t>年</w:t>
        </w:r>
        <w:r w:rsidRPr="00E3254C">
          <w:rPr>
            <w:color w:val="FF0000"/>
            <w:u w:val="single"/>
          </w:rPr>
          <w:t>9</w:t>
        </w:r>
        <w:r w:rsidRPr="00E3254C">
          <w:rPr>
            <w:color w:val="FF0000"/>
            <w:u w:val="single"/>
          </w:rPr>
          <w:t>月</w:t>
        </w:r>
        <w:r w:rsidRPr="00E3254C">
          <w:rPr>
            <w:color w:val="FF0000"/>
            <w:u w:val="single"/>
          </w:rPr>
          <w:t>15</w:t>
        </w:r>
        <w:r w:rsidRPr="00E3254C">
          <w:rPr>
            <w:color w:val="FF0000"/>
            <w:u w:val="single"/>
          </w:rPr>
          <w:t>日的新闻稿</w:t>
        </w:r>
      </w:hyperlink>
      <w:r>
        <w:t>中。</w:t>
      </w:r>
    </w:p>
    <w:p w:rsidR="00577CD5" w:rsidRDefault="00A35E49">
      <w:pPr>
        <w:pStyle w:val="Compact"/>
        <w:numPr>
          <w:ilvl w:val="0"/>
          <w:numId w:val="8"/>
        </w:numPr>
        <w:rPr>
          <w:lang w:eastAsia="zh-CN"/>
        </w:rPr>
      </w:pPr>
      <w:r>
        <w:rPr>
          <w:lang w:eastAsia="zh-CN"/>
        </w:rPr>
        <w:t>迫切的资金需求被认为不足以合理化董事促使联交所上市公司在不遵守《规则》的情况下处置资产的行为，如联交所</w:t>
      </w:r>
      <w:hyperlink r:id="rId17">
        <w:r w:rsidRPr="00E3254C">
          <w:rPr>
            <w:color w:val="FF0000"/>
            <w:u w:val="single"/>
            <w:lang w:eastAsia="zh-CN"/>
          </w:rPr>
          <w:t>2025</w:t>
        </w:r>
        <w:r w:rsidRPr="00E3254C">
          <w:rPr>
            <w:color w:val="FF0000"/>
            <w:u w:val="single"/>
            <w:lang w:eastAsia="zh-CN"/>
          </w:rPr>
          <w:t>年</w:t>
        </w:r>
        <w:r w:rsidRPr="00E3254C">
          <w:rPr>
            <w:color w:val="FF0000"/>
            <w:u w:val="single"/>
            <w:lang w:eastAsia="zh-CN"/>
          </w:rPr>
          <w:t>3</w:t>
        </w:r>
        <w:r w:rsidRPr="00E3254C">
          <w:rPr>
            <w:color w:val="FF0000"/>
            <w:u w:val="single"/>
            <w:lang w:eastAsia="zh-CN"/>
          </w:rPr>
          <w:t>月</w:t>
        </w:r>
        <w:r w:rsidRPr="00E3254C">
          <w:rPr>
            <w:color w:val="FF0000"/>
            <w:u w:val="single"/>
            <w:lang w:eastAsia="zh-CN"/>
          </w:rPr>
          <w:t>6</w:t>
        </w:r>
        <w:r w:rsidRPr="00E3254C">
          <w:rPr>
            <w:color w:val="FF0000"/>
            <w:u w:val="single"/>
            <w:lang w:eastAsia="zh-CN"/>
          </w:rPr>
          <w:t>日新闻稿</w:t>
        </w:r>
      </w:hyperlink>
      <w:r>
        <w:rPr>
          <w:lang w:eastAsia="zh-CN"/>
        </w:rPr>
        <w:t>所引用。</w:t>
      </w:r>
    </w:p>
    <w:p w:rsidR="00577CD5" w:rsidRDefault="00A35E49">
      <w:pPr>
        <w:pStyle w:val="Heading2"/>
        <w:rPr>
          <w:lang w:eastAsia="zh-CN"/>
        </w:rPr>
      </w:pPr>
      <w:bookmarkStart w:id="7" w:name="联交所上市公司独立非执行董事在内部监控方面的角色"/>
      <w:r>
        <w:rPr>
          <w:lang w:eastAsia="zh-CN"/>
        </w:rPr>
        <w:t>联交所上市公司独立非执行董事在内部监控方面的角色</w:t>
      </w:r>
      <w:bookmarkEnd w:id="7"/>
    </w:p>
    <w:p w:rsidR="00577CD5" w:rsidRDefault="00A35E49">
      <w:pPr>
        <w:pStyle w:val="FirstParagraph"/>
        <w:rPr>
          <w:lang w:eastAsia="zh-CN"/>
        </w:rPr>
      </w:pPr>
      <w:r>
        <w:rPr>
          <w:lang w:eastAsia="zh-CN"/>
        </w:rPr>
        <w:t>联交所已阐明独立非执行董事在内部监控方面的义务。为了否认对违规行为的责任，一些独立非执行董事辩称：</w:t>
      </w:r>
    </w:p>
    <w:p w:rsidR="00577CD5" w:rsidRDefault="00A35E49">
      <w:pPr>
        <w:pStyle w:val="Compact"/>
        <w:numPr>
          <w:ilvl w:val="0"/>
          <w:numId w:val="9"/>
        </w:numPr>
        <w:rPr>
          <w:lang w:eastAsia="zh-CN"/>
        </w:rPr>
      </w:pPr>
      <w:r>
        <w:rPr>
          <w:lang w:eastAsia="zh-CN"/>
        </w:rPr>
        <w:t>他们对违规行为甚至联交所上市公司的实际运作并不知情；及</w:t>
      </w:r>
    </w:p>
    <w:p w:rsidR="00577CD5" w:rsidRDefault="00A35E49">
      <w:pPr>
        <w:pStyle w:val="Compact"/>
        <w:numPr>
          <w:ilvl w:val="0"/>
          <w:numId w:val="9"/>
        </w:numPr>
        <w:rPr>
          <w:lang w:eastAsia="zh-CN"/>
        </w:rPr>
      </w:pPr>
      <w:r>
        <w:rPr>
          <w:lang w:eastAsia="zh-CN"/>
        </w:rPr>
        <w:t>他们有权依赖管理层进行或监</w:t>
      </w:r>
      <w:r>
        <w:rPr>
          <w:lang w:eastAsia="zh-CN"/>
        </w:rPr>
        <w:t>察现有内部监控及程序的运作。</w:t>
      </w:r>
    </w:p>
    <w:p w:rsidR="00577CD5" w:rsidRDefault="00A35E49">
      <w:pPr>
        <w:pStyle w:val="FirstParagraph"/>
        <w:rPr>
          <w:lang w:eastAsia="zh-CN"/>
        </w:rPr>
      </w:pPr>
      <w:r>
        <w:rPr>
          <w:lang w:eastAsia="zh-CN"/>
        </w:rPr>
        <w:t>他们也辩称，在管理层凌驾于内部监控之上的情况下，即使内部监控措施足够，发生违规行为仍属无可避免。</w:t>
      </w:r>
    </w:p>
    <w:p w:rsidR="00577CD5" w:rsidRDefault="00A35E49">
      <w:pPr>
        <w:pStyle w:val="BodyText"/>
        <w:rPr>
          <w:lang w:eastAsia="zh-CN"/>
        </w:rPr>
      </w:pPr>
      <w:r>
        <w:rPr>
          <w:lang w:eastAsia="zh-CN"/>
        </w:rPr>
        <w:t>联交所确认，董事（执行及非执行）以应有技能、谨慎和勤勉行事的责任相同，亦有相同的受信责任，并必须积极参与联交所上市公司的业务运营和事务。独立非执行董事通常是审核委员会的成员（《上市规则》规定委员会须由独立非执行董事担任主席），而委员会的首要职责是监察及确保管理层建立及维持足够有效的内部监控系统。</w:t>
      </w:r>
    </w:p>
    <w:p w:rsidR="00577CD5" w:rsidRDefault="00A35E49">
      <w:pPr>
        <w:pStyle w:val="BodyText"/>
        <w:rPr>
          <w:lang w:eastAsia="zh-CN"/>
        </w:rPr>
      </w:pPr>
      <w:r>
        <w:rPr>
          <w:lang w:eastAsia="zh-CN"/>
        </w:rPr>
        <w:t>在一个案例中，独立非执行董事（亦为审核委员会成员）被认为未能就发行人的首席营运总监及财</w:t>
      </w:r>
      <w:r>
        <w:rPr>
          <w:lang w:eastAsia="zh-CN"/>
        </w:rPr>
        <w:t>务总监所进行的交易及安排建立和维持有效的内部监控，而两者对该集团的管理及资金拥有巨大的控制权（包括在未经董事批准或知悉的情况下提供贷款和垫款）。独立非执行董事亦无促使首席营运总监及财务总监就《上市规则》接受定期和足够的培训。这导致该联交所上市公司提供的贷款产生重大减值亏损。此案例引用自联交所</w:t>
      </w:r>
      <w:hyperlink r:id="rId18">
        <w:r w:rsidRPr="00E3254C">
          <w:rPr>
            <w:color w:val="FF0000"/>
            <w:u w:val="single"/>
            <w:lang w:eastAsia="zh-CN"/>
          </w:rPr>
          <w:t>2020</w:t>
        </w:r>
        <w:r w:rsidRPr="00E3254C">
          <w:rPr>
            <w:color w:val="FF0000"/>
            <w:u w:val="single"/>
            <w:lang w:eastAsia="zh-CN"/>
          </w:rPr>
          <w:t>年</w:t>
        </w:r>
        <w:r w:rsidRPr="00E3254C">
          <w:rPr>
            <w:color w:val="FF0000"/>
            <w:u w:val="single"/>
            <w:lang w:eastAsia="zh-CN"/>
          </w:rPr>
          <w:t>5</w:t>
        </w:r>
        <w:r w:rsidRPr="00E3254C">
          <w:rPr>
            <w:color w:val="FF0000"/>
            <w:u w:val="single"/>
            <w:lang w:eastAsia="zh-CN"/>
          </w:rPr>
          <w:t>月</w:t>
        </w:r>
        <w:r w:rsidRPr="00E3254C">
          <w:rPr>
            <w:color w:val="FF0000"/>
            <w:u w:val="single"/>
            <w:lang w:eastAsia="zh-CN"/>
          </w:rPr>
          <w:t>13</w:t>
        </w:r>
        <w:r w:rsidRPr="00E3254C">
          <w:rPr>
            <w:color w:val="FF0000"/>
            <w:u w:val="single"/>
            <w:lang w:eastAsia="zh-CN"/>
          </w:rPr>
          <w:t>日的纪律行动声明</w:t>
        </w:r>
      </w:hyperlink>
      <w:r>
        <w:rPr>
          <w:lang w:eastAsia="zh-CN"/>
        </w:rPr>
        <w:t>及</w:t>
      </w:r>
      <w:hyperlink r:id="rId19">
        <w:r w:rsidRPr="00E3254C">
          <w:rPr>
            <w:color w:val="FF0000"/>
            <w:u w:val="single"/>
            <w:lang w:eastAsia="zh-CN"/>
          </w:rPr>
          <w:t>2020</w:t>
        </w:r>
        <w:r w:rsidRPr="00E3254C">
          <w:rPr>
            <w:color w:val="FF0000"/>
            <w:u w:val="single"/>
            <w:lang w:eastAsia="zh-CN"/>
          </w:rPr>
          <w:t>年</w:t>
        </w:r>
        <w:r w:rsidRPr="00E3254C">
          <w:rPr>
            <w:color w:val="FF0000"/>
            <w:u w:val="single"/>
            <w:lang w:eastAsia="zh-CN"/>
          </w:rPr>
          <w:t>5</w:t>
        </w:r>
        <w:r w:rsidRPr="00E3254C">
          <w:rPr>
            <w:color w:val="FF0000"/>
            <w:u w:val="single"/>
            <w:lang w:eastAsia="zh-CN"/>
          </w:rPr>
          <w:t>月</w:t>
        </w:r>
        <w:r w:rsidRPr="00E3254C">
          <w:rPr>
            <w:color w:val="FF0000"/>
            <w:u w:val="single"/>
            <w:lang w:eastAsia="zh-CN"/>
          </w:rPr>
          <w:t>7</w:t>
        </w:r>
        <w:r w:rsidRPr="00E3254C">
          <w:rPr>
            <w:color w:val="FF0000"/>
            <w:u w:val="single"/>
            <w:lang w:eastAsia="zh-CN"/>
          </w:rPr>
          <w:t>日原讼法庭判决</w:t>
        </w:r>
        <w:r w:rsidRPr="00E3254C">
          <w:rPr>
            <w:color w:val="FF0000"/>
            <w:u w:val="single"/>
            <w:lang w:eastAsia="zh-CN"/>
          </w:rPr>
          <w:t xml:space="preserve"> [2020] HKCFI675</w:t>
        </w:r>
      </w:hyperlink>
      <w:r>
        <w:rPr>
          <w:lang w:eastAsia="zh-CN"/>
        </w:rPr>
        <w:t>。</w:t>
      </w:r>
    </w:p>
    <w:p w:rsidR="00577CD5" w:rsidRDefault="00A35E49">
      <w:pPr>
        <w:pStyle w:val="BodyText"/>
        <w:rPr>
          <w:lang w:eastAsia="zh-CN"/>
        </w:rPr>
      </w:pPr>
      <w:r>
        <w:rPr>
          <w:lang w:eastAsia="zh-CN"/>
        </w:rPr>
        <w:t>在另一个案例中，独立非执行董事被认为未能确保在联交所上市公司开展新收购的放债业务之前或之时设立足够的内部监控。仅设有一般的内部监控政策不足以证明独立非执行董事已妥善地履行其董事职责，尤其是当该内部监控政策并不足够。即使管理层在放债业务方面有丰富经验，亦不代表独立非执行董事不用行使独立判断和监督董事会的行为以履行职责。此案例引用自联交所</w:t>
      </w:r>
      <w:hyperlink r:id="rId20">
        <w:r w:rsidRPr="00E3254C">
          <w:rPr>
            <w:color w:val="FF0000"/>
            <w:u w:val="single"/>
            <w:lang w:eastAsia="zh-CN"/>
          </w:rPr>
          <w:t>2023</w:t>
        </w:r>
        <w:r w:rsidRPr="00E3254C">
          <w:rPr>
            <w:color w:val="FF0000"/>
            <w:u w:val="single"/>
            <w:lang w:eastAsia="zh-CN"/>
          </w:rPr>
          <w:t>年</w:t>
        </w:r>
        <w:r w:rsidRPr="00E3254C">
          <w:rPr>
            <w:color w:val="FF0000"/>
            <w:u w:val="single"/>
            <w:lang w:eastAsia="zh-CN"/>
          </w:rPr>
          <w:t>12</w:t>
        </w:r>
        <w:r w:rsidRPr="00E3254C">
          <w:rPr>
            <w:color w:val="FF0000"/>
            <w:u w:val="single"/>
            <w:lang w:eastAsia="zh-CN"/>
          </w:rPr>
          <w:t>月</w:t>
        </w:r>
        <w:r w:rsidRPr="00E3254C">
          <w:rPr>
            <w:color w:val="FF0000"/>
            <w:u w:val="single"/>
            <w:lang w:eastAsia="zh-CN"/>
          </w:rPr>
          <w:t>4</w:t>
        </w:r>
        <w:r w:rsidRPr="00E3254C">
          <w:rPr>
            <w:color w:val="FF0000"/>
            <w:u w:val="single"/>
            <w:lang w:eastAsia="zh-CN"/>
          </w:rPr>
          <w:t>日的新闻稿</w:t>
        </w:r>
      </w:hyperlink>
      <w:r>
        <w:rPr>
          <w:lang w:eastAsia="zh-CN"/>
        </w:rPr>
        <w:t>及</w:t>
      </w:r>
      <w:hyperlink r:id="rId21">
        <w:r w:rsidRPr="00E3254C">
          <w:rPr>
            <w:color w:val="FF0000"/>
            <w:u w:val="single"/>
            <w:lang w:eastAsia="zh-CN"/>
          </w:rPr>
          <w:t>2023</w:t>
        </w:r>
        <w:r w:rsidRPr="00E3254C">
          <w:rPr>
            <w:color w:val="FF0000"/>
            <w:u w:val="single"/>
            <w:lang w:eastAsia="zh-CN"/>
          </w:rPr>
          <w:t>年</w:t>
        </w:r>
        <w:r w:rsidRPr="00E3254C">
          <w:rPr>
            <w:color w:val="FF0000"/>
            <w:u w:val="single"/>
            <w:lang w:eastAsia="zh-CN"/>
          </w:rPr>
          <w:t>11</w:t>
        </w:r>
        <w:r w:rsidRPr="00E3254C">
          <w:rPr>
            <w:color w:val="FF0000"/>
            <w:u w:val="single"/>
            <w:lang w:eastAsia="zh-CN"/>
          </w:rPr>
          <w:t>月</w:t>
        </w:r>
        <w:r w:rsidRPr="00E3254C">
          <w:rPr>
            <w:color w:val="FF0000"/>
            <w:u w:val="single"/>
            <w:lang w:eastAsia="zh-CN"/>
          </w:rPr>
          <w:t>27</w:t>
        </w:r>
        <w:r w:rsidRPr="00E3254C">
          <w:rPr>
            <w:color w:val="FF0000"/>
            <w:u w:val="single"/>
            <w:lang w:eastAsia="zh-CN"/>
          </w:rPr>
          <w:t>日原讼法庭判决</w:t>
        </w:r>
        <w:r w:rsidRPr="00E3254C">
          <w:rPr>
            <w:color w:val="FF0000"/>
            <w:u w:val="single"/>
            <w:lang w:eastAsia="zh-CN"/>
          </w:rPr>
          <w:t xml:space="preserve"> [2023] HKCFI 2932</w:t>
        </w:r>
      </w:hyperlink>
      <w:r>
        <w:rPr>
          <w:lang w:eastAsia="zh-CN"/>
        </w:rPr>
        <w:t>。</w:t>
      </w:r>
    </w:p>
    <w:p w:rsidR="00577CD5" w:rsidRDefault="00A35E49">
      <w:pPr>
        <w:pStyle w:val="Heading2"/>
        <w:rPr>
          <w:lang w:eastAsia="zh-CN"/>
        </w:rPr>
      </w:pPr>
      <w:bookmarkStart w:id="8" w:name="经股东投票罢免的联交所上市公司董事不得获重新委任"/>
      <w:r>
        <w:rPr>
          <w:lang w:eastAsia="zh-CN"/>
        </w:rPr>
        <w:lastRenderedPageBreak/>
        <w:t>经股东投票罢免的联交所上市公司董事不得获重新委任</w:t>
      </w:r>
      <w:bookmarkEnd w:id="8"/>
    </w:p>
    <w:p w:rsidR="00577CD5" w:rsidRDefault="00A35E49">
      <w:pPr>
        <w:pStyle w:val="FirstParagraph"/>
        <w:rPr>
          <w:lang w:eastAsia="zh-CN"/>
        </w:rPr>
      </w:pPr>
      <w:r>
        <w:rPr>
          <w:lang w:eastAsia="zh-CN"/>
        </w:rPr>
        <w:t>董事在企业管治</w:t>
      </w:r>
      <w:r>
        <w:rPr>
          <w:lang w:eastAsia="zh-CN"/>
        </w:rPr>
        <w:t>方面担当着重要的角色，因此委任董事时必须严格遵守公司组织章程文件及适用法律。一般而言，虽说董事会可在组织章程文件允许的范围内委任额外董事或填补临时空缺，但委任董事的权力主要由股东行使，确保股东作为最终拥有人保留对公司管理者的控制权。</w:t>
      </w:r>
    </w:p>
    <w:p w:rsidR="00577CD5" w:rsidRDefault="00A35E49">
      <w:pPr>
        <w:pStyle w:val="BodyText"/>
        <w:rPr>
          <w:lang w:eastAsia="zh-CN"/>
        </w:rPr>
      </w:pPr>
      <w:r>
        <w:rPr>
          <w:lang w:eastAsia="zh-CN"/>
        </w:rPr>
        <w:t>联交所观察到在个别个案中，当某董事的委任在股东大会上被否决后，上市联交所上市公司的董事会在否决后短期内重新委任了同一名人士为董事。有关行为令人严重质疑该重新委任是否违背有效通过的决议案，并是否符合组织章程文件及相关法规。</w:t>
      </w:r>
    </w:p>
    <w:p w:rsidR="00577CD5" w:rsidRDefault="00A35E49">
      <w:pPr>
        <w:pStyle w:val="BodyText"/>
        <w:rPr>
          <w:lang w:eastAsia="zh-CN"/>
        </w:rPr>
      </w:pPr>
      <w:r>
        <w:rPr>
          <w:lang w:eastAsia="zh-CN"/>
        </w:rPr>
        <w:t>联交所提醒联交所上市公司，股东决议具有约束力。尊重股东的</w:t>
      </w:r>
      <w:r>
        <w:rPr>
          <w:lang w:eastAsia="zh-CN"/>
        </w:rPr>
        <w:t>决定对维持管治中的透明度、问责制度及信任至关重要。任何蓄意无视股东表决结果或未有纠正不当地重新委任董事的行为，都会令人质疑相关董事是否未有履行诚信责任。</w:t>
      </w:r>
    </w:p>
    <w:p w:rsidR="00577CD5" w:rsidRDefault="00A35E49">
      <w:pPr>
        <w:pStyle w:val="Heading2"/>
        <w:rPr>
          <w:lang w:eastAsia="zh-CN"/>
        </w:rPr>
      </w:pPr>
      <w:bookmarkStart w:id="9" w:name="联交所上市公司之公司秘书为良好企业管治的把关者"/>
      <w:r>
        <w:rPr>
          <w:lang w:eastAsia="zh-CN"/>
        </w:rPr>
        <w:t>联交所上市公司之公司秘书为良好企业管治的把关者</w:t>
      </w:r>
      <w:bookmarkEnd w:id="9"/>
    </w:p>
    <w:p w:rsidR="00577CD5" w:rsidRDefault="00A35E49">
      <w:pPr>
        <w:pStyle w:val="FirstParagraph"/>
        <w:rPr>
          <w:lang w:eastAsia="zh-CN"/>
        </w:rPr>
      </w:pPr>
      <w:r>
        <w:rPr>
          <w:lang w:eastAsia="zh-CN"/>
        </w:rPr>
        <w:t>公司秘书是联交所上市公司的重要行政人员，负责的职能涵盖范围甚广。公司秘书的职能不止于一般行政工作，还涉及相关具名公司秘书的个人职责，需要行使个人判断及具备监管知识。公司秘书亦直接对董事会及持份者承担责任，包括确保遵守《上市规则》及推动高水平的企业管治标准。</w:t>
      </w:r>
      <w:hyperlink r:id="rId22">
        <w:r w:rsidRPr="00E3254C">
          <w:rPr>
            <w:color w:val="FF0000"/>
            <w:u w:val="single"/>
            <w:lang w:eastAsia="zh-CN"/>
          </w:rPr>
          <w:t>《主板上市规则》附录</w:t>
        </w:r>
        <w:r w:rsidRPr="00E3254C">
          <w:rPr>
            <w:color w:val="FF0000"/>
            <w:u w:val="single"/>
            <w:lang w:eastAsia="zh-CN"/>
          </w:rPr>
          <w:t>C1</w:t>
        </w:r>
        <w:r w:rsidRPr="00E3254C">
          <w:rPr>
            <w:color w:val="FF0000"/>
            <w:u w:val="single"/>
            <w:lang w:eastAsia="zh-CN"/>
          </w:rPr>
          <w:t>第</w:t>
        </w:r>
        <w:r w:rsidRPr="00E3254C">
          <w:rPr>
            <w:color w:val="FF0000"/>
            <w:u w:val="single"/>
            <w:lang w:eastAsia="zh-CN"/>
          </w:rPr>
          <w:t>C.6</w:t>
        </w:r>
        <w:r w:rsidRPr="00E3254C">
          <w:rPr>
            <w:color w:val="FF0000"/>
            <w:u w:val="single"/>
            <w:lang w:eastAsia="zh-CN"/>
          </w:rPr>
          <w:t>段</w:t>
        </w:r>
      </w:hyperlink>
      <w:r>
        <w:rPr>
          <w:lang w:eastAsia="zh-CN"/>
        </w:rPr>
        <w:t>/</w:t>
      </w:r>
      <w:hyperlink r:id="rId23">
        <w:r w:rsidRPr="00E3254C">
          <w:rPr>
            <w:color w:val="FF0000"/>
            <w:u w:val="single"/>
            <w:lang w:eastAsia="zh-CN"/>
          </w:rPr>
          <w:t>《创业板上市规则》附录</w:t>
        </w:r>
        <w:r w:rsidRPr="00E3254C">
          <w:rPr>
            <w:color w:val="FF0000"/>
            <w:u w:val="single"/>
            <w:lang w:eastAsia="zh-CN"/>
          </w:rPr>
          <w:t>C1</w:t>
        </w:r>
        <w:r w:rsidRPr="00E3254C">
          <w:rPr>
            <w:color w:val="FF0000"/>
            <w:u w:val="single"/>
            <w:lang w:eastAsia="zh-CN"/>
          </w:rPr>
          <w:t>第</w:t>
        </w:r>
        <w:r w:rsidRPr="00E3254C">
          <w:rPr>
            <w:color w:val="FF0000"/>
            <w:u w:val="single"/>
            <w:lang w:eastAsia="zh-CN"/>
          </w:rPr>
          <w:t>C.6</w:t>
        </w:r>
        <w:r w:rsidRPr="00E3254C">
          <w:rPr>
            <w:color w:val="FF0000"/>
            <w:u w:val="single"/>
            <w:lang w:eastAsia="zh-CN"/>
          </w:rPr>
          <w:t>段</w:t>
        </w:r>
      </w:hyperlink>
      <w:r>
        <w:rPr>
          <w:lang w:eastAsia="zh-CN"/>
        </w:rPr>
        <w:t>阐明了公司秘书的角色，而联交所的</w:t>
      </w:r>
      <w:hyperlink r:id="rId24">
        <w:r w:rsidRPr="00E3254C">
          <w:rPr>
            <w:color w:val="FF0000"/>
            <w:u w:val="single"/>
            <w:lang w:eastAsia="zh-CN"/>
          </w:rPr>
          <w:t>《董事会及董事企业管治指引》</w:t>
        </w:r>
      </w:hyperlink>
      <w:r>
        <w:rPr>
          <w:lang w:eastAsia="zh-CN"/>
        </w:rPr>
        <w:t>则载列了对公司秘书职能的非详尽清单。</w:t>
      </w:r>
    </w:p>
    <w:p w:rsidR="00577CD5" w:rsidRDefault="00A35E49">
      <w:pPr>
        <w:pStyle w:val="BodyText"/>
        <w:rPr>
          <w:lang w:eastAsia="zh-CN"/>
        </w:rPr>
      </w:pPr>
      <w:r>
        <w:rPr>
          <w:lang w:eastAsia="zh-CN"/>
        </w:rPr>
        <w:t>近期，在某些个案中，联交所对担任公司秘书的相关个别人士是否适任此重要职务存疑。</w:t>
      </w:r>
    </w:p>
    <w:p w:rsidR="00577CD5" w:rsidRPr="00E3254C" w:rsidRDefault="00A35E49">
      <w:pPr>
        <w:pStyle w:val="Heading3"/>
        <w:rPr>
          <w:color w:val="auto"/>
          <w:lang w:eastAsia="zh-CN"/>
        </w:rPr>
      </w:pPr>
      <w:bookmarkStart w:id="10" w:name="情况1出任多项委任"/>
      <w:r w:rsidRPr="00E3254C">
        <w:rPr>
          <w:i/>
          <w:color w:val="auto"/>
          <w:lang w:eastAsia="zh-CN"/>
        </w:rPr>
        <w:t>情况</w:t>
      </w:r>
      <w:r w:rsidRPr="00E3254C">
        <w:rPr>
          <w:i/>
          <w:color w:val="auto"/>
          <w:lang w:eastAsia="zh-CN"/>
        </w:rPr>
        <w:t>1</w:t>
      </w:r>
      <w:r w:rsidRPr="00E3254C">
        <w:rPr>
          <w:i/>
          <w:color w:val="auto"/>
          <w:lang w:eastAsia="zh-CN"/>
        </w:rPr>
        <w:t>：出任多项委任</w:t>
      </w:r>
      <w:bookmarkEnd w:id="10"/>
    </w:p>
    <w:p w:rsidR="00577CD5" w:rsidRDefault="00A35E49">
      <w:pPr>
        <w:pStyle w:val="FirstParagraph"/>
        <w:rPr>
          <w:lang w:eastAsia="zh-CN"/>
        </w:rPr>
      </w:pPr>
      <w:r>
        <w:rPr>
          <w:lang w:eastAsia="zh-CN"/>
        </w:rPr>
        <w:t>根据香港公司治理公会的指引，建议每名人士应同时出任不多于六家联交所上市公司的具名公司秘书，以确保其能妥善履行预期的监管职责。详见香港公司治理公会于</w:t>
      </w:r>
      <w:r>
        <w:rPr>
          <w:lang w:eastAsia="zh-CN"/>
        </w:rPr>
        <w:t>2018</w:t>
      </w:r>
      <w:r>
        <w:rPr>
          <w:lang w:eastAsia="zh-CN"/>
        </w:rPr>
        <w:t>年</w:t>
      </w:r>
      <w:r>
        <w:rPr>
          <w:lang w:eastAsia="zh-CN"/>
        </w:rPr>
        <w:t>3</w:t>
      </w:r>
      <w:r>
        <w:rPr>
          <w:lang w:eastAsia="zh-CN"/>
        </w:rPr>
        <w:t>月刊发的</w:t>
      </w:r>
      <w:hyperlink r:id="rId25">
        <w:r w:rsidRPr="00E3254C">
          <w:rPr>
            <w:color w:val="FF0000"/>
            <w:u w:val="single"/>
            <w:lang w:eastAsia="zh-CN"/>
          </w:rPr>
          <w:t>《公司秘书委任指引》</w:t>
        </w:r>
      </w:hyperlink>
      <w:r>
        <w:rPr>
          <w:lang w:eastAsia="zh-CN"/>
        </w:rPr>
        <w:t>。</w:t>
      </w:r>
    </w:p>
    <w:p w:rsidR="00577CD5" w:rsidRDefault="00A35E49">
      <w:pPr>
        <w:pStyle w:val="BodyText"/>
        <w:rPr>
          <w:lang w:eastAsia="zh-CN"/>
        </w:rPr>
      </w:pPr>
      <w:r>
        <w:rPr>
          <w:lang w:eastAsia="zh-CN"/>
        </w:rPr>
        <w:t>在本年度，联交所注意到，在某一时刻，超过</w:t>
      </w:r>
      <w:r>
        <w:rPr>
          <w:lang w:eastAsia="zh-CN"/>
        </w:rPr>
        <w:t>500</w:t>
      </w:r>
      <w:r>
        <w:rPr>
          <w:lang w:eastAsia="zh-CN"/>
        </w:rPr>
        <w:t>家联交所上市公司同聘用了</w:t>
      </w:r>
      <w:r>
        <w:rPr>
          <w:lang w:eastAsia="zh-CN"/>
        </w:rPr>
        <w:t>48</w:t>
      </w:r>
      <w:r>
        <w:rPr>
          <w:lang w:eastAsia="zh-CN"/>
        </w:rPr>
        <w:t>名公司秘书，每名人士同时出任多家联交所上市公司的公司秘书，数量由七家到某一个案超过</w:t>
      </w:r>
      <w:r>
        <w:rPr>
          <w:lang w:eastAsia="zh-CN"/>
        </w:rPr>
        <w:t>40</w:t>
      </w:r>
      <w:r>
        <w:rPr>
          <w:lang w:eastAsia="zh-CN"/>
        </w:rPr>
        <w:t>家委任不等。</w:t>
      </w:r>
    </w:p>
    <w:p w:rsidR="00577CD5" w:rsidRDefault="00A35E49">
      <w:pPr>
        <w:pStyle w:val="BodyText"/>
        <w:rPr>
          <w:lang w:eastAsia="zh-CN"/>
        </w:rPr>
      </w:pPr>
      <w:r>
        <w:rPr>
          <w:lang w:eastAsia="zh-CN"/>
        </w:rPr>
        <w:t>这情况不仅违反了香港公司治理公会的指引，亦可能令人质疑该等公司秘书能否为其在每家上市公司的职务投入足够时间，以掌握每项任命所涉及的日常事务相关知识。</w:t>
      </w:r>
      <w:hyperlink r:id="rId26">
        <w:r w:rsidRPr="00E3254C">
          <w:rPr>
            <w:color w:val="FF0000"/>
            <w:u w:val="single"/>
            <w:lang w:eastAsia="zh-CN"/>
          </w:rPr>
          <w:t>《主板上市规则》附录</w:t>
        </w:r>
        <w:r w:rsidRPr="00E3254C">
          <w:rPr>
            <w:color w:val="FF0000"/>
            <w:u w:val="single"/>
            <w:lang w:eastAsia="zh-CN"/>
          </w:rPr>
          <w:t>C1</w:t>
        </w:r>
        <w:r w:rsidRPr="00E3254C">
          <w:rPr>
            <w:color w:val="FF0000"/>
            <w:u w:val="single"/>
            <w:lang w:eastAsia="zh-CN"/>
          </w:rPr>
          <w:t>第</w:t>
        </w:r>
        <w:r w:rsidRPr="00E3254C">
          <w:rPr>
            <w:color w:val="FF0000"/>
            <w:u w:val="single"/>
            <w:lang w:eastAsia="zh-CN"/>
          </w:rPr>
          <w:t>C.6.1</w:t>
        </w:r>
        <w:r w:rsidRPr="00E3254C">
          <w:rPr>
            <w:color w:val="FF0000"/>
            <w:u w:val="single"/>
            <w:lang w:eastAsia="zh-CN"/>
          </w:rPr>
          <w:t>段</w:t>
        </w:r>
      </w:hyperlink>
      <w:r>
        <w:rPr>
          <w:lang w:eastAsia="zh-CN"/>
        </w:rPr>
        <w:t>/</w:t>
      </w:r>
      <w:hyperlink r:id="rId27">
        <w:r w:rsidRPr="00E3254C">
          <w:rPr>
            <w:color w:val="FF0000"/>
            <w:u w:val="single"/>
            <w:lang w:eastAsia="zh-CN"/>
          </w:rPr>
          <w:t>《创业板上市规则》附录</w:t>
        </w:r>
        <w:r w:rsidRPr="00E3254C">
          <w:rPr>
            <w:color w:val="FF0000"/>
            <w:u w:val="single"/>
            <w:lang w:eastAsia="zh-CN"/>
          </w:rPr>
          <w:t>C1</w:t>
        </w:r>
        <w:r w:rsidRPr="00E3254C">
          <w:rPr>
            <w:color w:val="FF0000"/>
            <w:u w:val="single"/>
            <w:lang w:eastAsia="zh-CN"/>
          </w:rPr>
          <w:t>第</w:t>
        </w:r>
        <w:r w:rsidRPr="00E3254C">
          <w:rPr>
            <w:color w:val="FF0000"/>
            <w:u w:val="single"/>
            <w:lang w:eastAsia="zh-CN"/>
          </w:rPr>
          <w:t>C.6.1</w:t>
        </w:r>
        <w:r w:rsidRPr="00E3254C">
          <w:rPr>
            <w:color w:val="FF0000"/>
            <w:u w:val="single"/>
            <w:lang w:eastAsia="zh-CN"/>
          </w:rPr>
          <w:t>段</w:t>
        </w:r>
      </w:hyperlink>
      <w:r>
        <w:rPr>
          <w:lang w:eastAsia="zh-CN"/>
        </w:rPr>
        <w:t>要求公司秘书须为对联交所上市公司的事务有日常知识的个别人士。基于公司秘书的职务属个人性质，某些行政职能可转授予他人并不意味着个人责任也可以转授。</w:t>
      </w:r>
    </w:p>
    <w:p w:rsidR="00577CD5" w:rsidRDefault="00A35E49">
      <w:pPr>
        <w:pStyle w:val="BodyText"/>
        <w:rPr>
          <w:lang w:eastAsia="zh-CN"/>
        </w:rPr>
      </w:pPr>
      <w:r>
        <w:rPr>
          <w:lang w:eastAsia="zh-CN"/>
        </w:rPr>
        <w:t>在</w:t>
      </w:r>
      <w:r>
        <w:rPr>
          <w:lang w:eastAsia="zh-CN"/>
        </w:rPr>
        <w:t>上述情况下，联交所促请联交</w:t>
      </w:r>
      <w:bookmarkStart w:id="11" w:name="_GoBack"/>
      <w:bookmarkEnd w:id="11"/>
      <w:r>
        <w:rPr>
          <w:lang w:eastAsia="zh-CN"/>
        </w:rPr>
        <w:t>所上市公司及公司秘书候选人考虑（其中包括）：</w:t>
      </w:r>
    </w:p>
    <w:p w:rsidR="00577CD5" w:rsidRDefault="00A35E49">
      <w:pPr>
        <w:pStyle w:val="Compact"/>
        <w:numPr>
          <w:ilvl w:val="0"/>
          <w:numId w:val="10"/>
        </w:numPr>
        <w:rPr>
          <w:lang w:eastAsia="zh-CN"/>
        </w:rPr>
      </w:pPr>
      <w:r>
        <w:rPr>
          <w:lang w:eastAsia="zh-CN"/>
        </w:rPr>
        <w:t>就公司秘书候选人而言，其本身（</w:t>
      </w:r>
      <w:r>
        <w:rPr>
          <w:lang w:eastAsia="zh-CN"/>
        </w:rPr>
        <w:t>i</w:t>
      </w:r>
      <w:r>
        <w:rPr>
          <w:lang w:eastAsia="zh-CN"/>
        </w:rPr>
        <w:t>）是否有足够时间出任其他额外的公司秘书职务，及是（</w:t>
      </w:r>
      <w:r>
        <w:rPr>
          <w:lang w:eastAsia="zh-CN"/>
        </w:rPr>
        <w:t>ii</w:t>
      </w:r>
      <w:r>
        <w:rPr>
          <w:lang w:eastAsia="zh-CN"/>
        </w:rPr>
        <w:t>）否有以书面向所有相关联交所上市公司披露其所有职务的完整详情；以及</w:t>
      </w:r>
    </w:p>
    <w:p w:rsidR="00577CD5" w:rsidRDefault="00A35E49">
      <w:pPr>
        <w:pStyle w:val="Compact"/>
        <w:numPr>
          <w:ilvl w:val="0"/>
          <w:numId w:val="10"/>
        </w:numPr>
        <w:rPr>
          <w:lang w:eastAsia="zh-CN"/>
        </w:rPr>
      </w:pPr>
      <w:r>
        <w:rPr>
          <w:lang w:eastAsia="zh-CN"/>
        </w:rPr>
        <w:t>就联交所上市公司而言，已同时出任多个公司秘书职务的公司秘书候选人是否仍可妥为履行其职责。</w:t>
      </w:r>
    </w:p>
    <w:p w:rsidR="00577CD5" w:rsidRPr="00E3254C" w:rsidRDefault="00A35E49">
      <w:pPr>
        <w:pStyle w:val="Heading3"/>
        <w:rPr>
          <w:color w:val="auto"/>
          <w:lang w:eastAsia="zh-CN"/>
        </w:rPr>
      </w:pPr>
      <w:bookmarkStart w:id="12" w:name="情况2合约不得限制责任"/>
      <w:r w:rsidRPr="00E3254C">
        <w:rPr>
          <w:i/>
          <w:color w:val="auto"/>
          <w:lang w:eastAsia="zh-CN"/>
        </w:rPr>
        <w:t>情况</w:t>
      </w:r>
      <w:r w:rsidRPr="00E3254C">
        <w:rPr>
          <w:i/>
          <w:color w:val="auto"/>
          <w:lang w:eastAsia="zh-CN"/>
        </w:rPr>
        <w:t>2</w:t>
      </w:r>
      <w:r w:rsidRPr="00E3254C">
        <w:rPr>
          <w:i/>
          <w:color w:val="auto"/>
          <w:lang w:eastAsia="zh-CN"/>
        </w:rPr>
        <w:t>：合约不得限制责任</w:t>
      </w:r>
      <w:bookmarkEnd w:id="12"/>
    </w:p>
    <w:p w:rsidR="00577CD5" w:rsidRDefault="00A35E49">
      <w:pPr>
        <w:pStyle w:val="FirstParagraph"/>
        <w:rPr>
          <w:lang w:eastAsia="zh-CN"/>
        </w:rPr>
      </w:pPr>
      <w:r>
        <w:rPr>
          <w:lang w:eastAsia="zh-CN"/>
        </w:rPr>
        <w:t>公司秘书须根据</w:t>
      </w:r>
      <w:hyperlink r:id="rId28">
        <w:r w:rsidRPr="00A35E49">
          <w:rPr>
            <w:color w:val="FF0000"/>
            <w:u w:val="single"/>
            <w:lang w:eastAsia="zh-CN"/>
          </w:rPr>
          <w:t>《主板上市规则》第</w:t>
        </w:r>
        <w:r w:rsidRPr="00A35E49">
          <w:rPr>
            <w:color w:val="FF0000"/>
            <w:u w:val="single"/>
            <w:lang w:eastAsia="zh-CN"/>
          </w:rPr>
          <w:t>3.28</w:t>
        </w:r>
        <w:r w:rsidRPr="00A35E49">
          <w:rPr>
            <w:color w:val="FF0000"/>
            <w:u w:val="single"/>
            <w:lang w:eastAsia="zh-CN"/>
          </w:rPr>
          <w:t>条</w:t>
        </w:r>
      </w:hyperlink>
      <w:r w:rsidR="00E3254C">
        <w:rPr>
          <w:lang w:eastAsia="zh-CN"/>
        </w:rPr>
        <w:t>/</w:t>
      </w:r>
      <w:hyperlink r:id="rId29">
        <w:r w:rsidRPr="00A35E49">
          <w:rPr>
            <w:color w:val="FF0000"/>
            <w:u w:val="single"/>
            <w:lang w:eastAsia="zh-CN"/>
          </w:rPr>
          <w:t>《创业板上市规则》第</w:t>
        </w:r>
        <w:r w:rsidRPr="00A35E49">
          <w:rPr>
            <w:color w:val="FF0000"/>
            <w:u w:val="single"/>
            <w:lang w:eastAsia="zh-CN"/>
          </w:rPr>
          <w:t>5.14</w:t>
        </w:r>
        <w:r>
          <w:rPr>
            <w:lang w:eastAsia="zh-CN"/>
          </w:rPr>
          <w:t>条</w:t>
        </w:r>
      </w:hyperlink>
      <w:r>
        <w:rPr>
          <w:lang w:eastAsia="zh-CN"/>
        </w:rPr>
        <w:t>具备能证明其熟悉《规则》的专业资格或经验。</w:t>
      </w:r>
    </w:p>
    <w:p w:rsidR="00577CD5" w:rsidRDefault="00A35E49">
      <w:pPr>
        <w:pStyle w:val="BodyText"/>
        <w:rPr>
          <w:lang w:eastAsia="zh-CN"/>
        </w:rPr>
      </w:pPr>
      <w:r>
        <w:rPr>
          <w:lang w:eastAsia="zh-CN"/>
        </w:rPr>
        <w:t>实际操作上，不少联交所上市公司都会委任曾担任相关职务一段时间且熟悉上市公司业务和事务的管理层成员为公司秘书。若该管理层成</w:t>
      </w:r>
      <w:r>
        <w:rPr>
          <w:lang w:eastAsia="zh-CN"/>
        </w:rPr>
        <w:t>员不具备《上市规则》所规定的资格或相关经验，联交</w:t>
      </w:r>
      <w:r>
        <w:rPr>
          <w:lang w:eastAsia="zh-CN"/>
        </w:rPr>
        <w:lastRenderedPageBreak/>
        <w:t>所上市公司便会再另外外聘合资格人士从旁协助。在此情况下，联交所可能会因应个别具体情况给予豁免，允许联交所上市公司委任没有所需资格人士出任公司秘书，前提是必须另外安排委任合资格人士为联席公司秘书。</w:t>
      </w:r>
    </w:p>
    <w:p w:rsidR="00577CD5" w:rsidRDefault="00A35E49">
      <w:pPr>
        <w:pStyle w:val="BodyText"/>
        <w:rPr>
          <w:lang w:eastAsia="zh-CN"/>
        </w:rPr>
      </w:pPr>
      <w:r>
        <w:rPr>
          <w:lang w:eastAsia="zh-CN"/>
        </w:rPr>
        <w:t>在近期一个获得豁免的个案中，某位因具备所需资格及专业知识而被委任为联席公司秘书的有关人士，在与联交所上市公司拟的服务合约中免除其《上市规则》合规责任。后来发现某些违反《上市规则》的情况时，该联席公司秘书（获委任后一直保持被动）以合约安排为由而否认责任。</w:t>
      </w:r>
    </w:p>
    <w:p w:rsidR="00577CD5" w:rsidRDefault="00A35E49">
      <w:pPr>
        <w:pStyle w:val="BodyText"/>
      </w:pPr>
      <w:r>
        <w:t>联交所强调：</w:t>
      </w:r>
    </w:p>
    <w:p w:rsidR="00577CD5" w:rsidRDefault="00A35E49">
      <w:pPr>
        <w:pStyle w:val="Compact"/>
        <w:numPr>
          <w:ilvl w:val="0"/>
          <w:numId w:val="11"/>
        </w:numPr>
        <w:rPr>
          <w:lang w:eastAsia="zh-CN"/>
        </w:rPr>
      </w:pPr>
      <w:r>
        <w:rPr>
          <w:lang w:eastAsia="zh-CN"/>
        </w:rPr>
        <w:t>根据《上市规则》，获委任为具名公司秘书的人士不论与联交所上市公司订立了任何形式的服务协议，其本身任何时候都必须履行其作为公司秘书的责任。</w:t>
      </w:r>
    </w:p>
    <w:p w:rsidR="00577CD5" w:rsidRDefault="00A35E49">
      <w:pPr>
        <w:pStyle w:val="Compact"/>
        <w:numPr>
          <w:ilvl w:val="0"/>
          <w:numId w:val="11"/>
        </w:numPr>
        <w:rPr>
          <w:lang w:eastAsia="zh-CN"/>
        </w:rPr>
      </w:pPr>
      <w:r>
        <w:rPr>
          <w:lang w:eastAsia="zh-CN"/>
        </w:rPr>
        <w:t>联交所上市公司不得透过合约安排免除或限制公司秘书在《上市规则》下的责任。</w:t>
      </w:r>
    </w:p>
    <w:p w:rsidR="00577CD5" w:rsidRDefault="00A35E49">
      <w:pPr>
        <w:pStyle w:val="Heading2"/>
        <w:rPr>
          <w:lang w:eastAsia="zh-CN"/>
        </w:rPr>
      </w:pPr>
      <w:bookmarkStart w:id="13" w:name="联交所上市公司董事职责结论"/>
      <w:r>
        <w:rPr>
          <w:lang w:eastAsia="zh-CN"/>
        </w:rPr>
        <w:t>联交所上市公司董事职责结论</w:t>
      </w:r>
      <w:bookmarkEnd w:id="13"/>
    </w:p>
    <w:p w:rsidR="00577CD5" w:rsidRDefault="00A35E49">
      <w:pPr>
        <w:pStyle w:val="FirstParagraph"/>
        <w:rPr>
          <w:lang w:eastAsia="zh-CN"/>
        </w:rPr>
      </w:pPr>
      <w:r>
        <w:rPr>
          <w:lang w:eastAsia="zh-CN"/>
        </w:rPr>
        <w:t>2025</w:t>
      </w:r>
      <w:r>
        <w:rPr>
          <w:lang w:eastAsia="zh-CN"/>
        </w:rPr>
        <w:t>年</w:t>
      </w:r>
      <w:r>
        <w:rPr>
          <w:lang w:eastAsia="zh-CN"/>
        </w:rPr>
        <w:t>11</w:t>
      </w:r>
      <w:r>
        <w:rPr>
          <w:lang w:eastAsia="zh-CN"/>
        </w:rPr>
        <w:t>月的联交所上市监管及规则执行通讯，就关于董事职责及企业管治事宜的常见误解提供了重要指引。通讯强调，董事不能通过转授职责、依赖专业意见或商业理由来推卸其基本责任。无论是执行董事还是非执行董事，都必须进行积极监督、独立判断并维持稳健的内部监控。</w:t>
      </w:r>
    </w:p>
    <w:p w:rsidR="00577CD5" w:rsidRDefault="00A35E49">
      <w:pPr>
        <w:pStyle w:val="BodyText"/>
        <w:rPr>
          <w:lang w:eastAsia="zh-CN"/>
        </w:rPr>
      </w:pPr>
      <w:r>
        <w:rPr>
          <w:lang w:eastAsia="zh-CN"/>
        </w:rPr>
        <w:t>通讯亦阐述了关键</w:t>
      </w:r>
      <w:r>
        <w:rPr>
          <w:lang w:eastAsia="zh-CN"/>
        </w:rPr>
        <w:t>的企业管治问题，包括股东决议对董事委任的约束力，以及公司秘书作为把关者的关键角色。联交所明确表示，必须尊重股东投票结果，并且公司秘书对其职责负有个人责任，无论其合约安排或同时担任的委任数量如何。</w:t>
      </w:r>
    </w:p>
    <w:p w:rsidR="00577CD5" w:rsidRDefault="00A35E49">
      <w:pPr>
        <w:pStyle w:val="BodyText"/>
        <w:rPr>
          <w:lang w:eastAsia="zh-CN"/>
        </w:rPr>
      </w:pPr>
      <w:r>
        <w:rPr>
          <w:lang w:eastAsia="zh-CN"/>
        </w:rPr>
        <w:t>通讯中引用的纪律个案和法院判决显示，联交所愿意在董事和公司秘书未能履行其义务时施加重大制裁，包括公开谴责、董事不适合性声明和取消董事资格令。联交所上市公司、其董事及公司秘书应仔细审阅该指引，并确保设有适当的管治结构和程序，以遵守其在《上市规则》和香港法律下的责任。</w:t>
      </w:r>
    </w:p>
    <w:p w:rsidR="00577CD5" w:rsidRDefault="00A35E49">
      <w:pPr>
        <w:pStyle w:val="BodyText"/>
        <w:rPr>
          <w:lang w:eastAsia="zh-CN"/>
        </w:rPr>
      </w:pPr>
      <w:r>
        <w:rPr>
          <w:lang w:eastAsia="zh-CN"/>
        </w:rPr>
        <w:t>过往的纪律处分决定不构成具约束力的先例，每宗个案都</w:t>
      </w:r>
      <w:r>
        <w:rPr>
          <w:lang w:eastAsia="zh-CN"/>
        </w:rPr>
        <w:t>因应其事实和情况而厘定。然而，该指引为联交所对董事职责和企业管治标准的监管期望和执法方针提供了宝贵的见解。</w:t>
      </w:r>
    </w:p>
    <w:p w:rsidR="00577CD5" w:rsidRDefault="00A35E49">
      <w:pPr>
        <w:pStyle w:val="DisclaimerBold"/>
        <w:rPr>
          <w:lang w:eastAsia="zh-CN"/>
        </w:rPr>
      </w:pPr>
      <w:r>
        <w:rPr>
          <w:lang w:eastAsia="zh-CN"/>
        </w:rPr>
        <w:t>此法讯仅为提供相关资料信息之用，其内容并</w:t>
      </w:r>
    </w:p>
    <w:p w:rsidR="00577CD5" w:rsidRDefault="00A35E49">
      <w:pPr>
        <w:pStyle w:val="Disclaimer"/>
        <w:rPr>
          <w:lang w:eastAsia="zh-CN"/>
        </w:rPr>
      </w:pPr>
      <w:r>
        <w:rPr>
          <w:lang w:eastAsia="zh-CN"/>
        </w:rPr>
        <w:t>不构成法律建议及个案的法律分析。</w:t>
      </w:r>
    </w:p>
    <w:p w:rsidR="00577CD5" w:rsidRDefault="00A35E49">
      <w:pPr>
        <w:pStyle w:val="Disclaimer"/>
        <w:rPr>
          <w:lang w:eastAsia="zh-CN"/>
        </w:rPr>
      </w:pPr>
      <w:r>
        <w:rPr>
          <w:lang w:eastAsia="zh-CN"/>
        </w:rPr>
        <w:t>此法讯的发送并不是为了在易周律师行与用户或浏览者之间建立一种律师与客户之关系。</w:t>
      </w:r>
    </w:p>
    <w:p w:rsidR="00577CD5" w:rsidRDefault="00A35E49">
      <w:pPr>
        <w:pStyle w:val="Disclaimer"/>
        <w:rPr>
          <w:lang w:eastAsia="zh-CN"/>
        </w:rPr>
      </w:pPr>
      <w:r>
        <w:rPr>
          <w:lang w:eastAsia="zh-CN"/>
        </w:rPr>
        <w:t>易周律师行并不对可从互联网获得的任何第三方内容负责。</w:t>
      </w:r>
    </w:p>
    <w:p w:rsidR="00577CD5" w:rsidRDefault="00A35E49">
      <w:pPr>
        <w:pStyle w:val="Disclaimer"/>
        <w:rPr>
          <w:lang w:eastAsia="zh-CN"/>
        </w:rPr>
      </w:pPr>
      <w:r>
        <w:rPr>
          <w:lang w:eastAsia="zh-CN"/>
        </w:rPr>
        <w:t>如你不希望再收到易周法讯，请发送电邮至</w:t>
      </w:r>
      <w:r>
        <w:rPr>
          <w:lang w:eastAsia="zh-CN"/>
        </w:rPr>
        <w:t xml:space="preserve">  </w:t>
      </w:r>
      <w:hyperlink r:id="rId30">
        <w:r>
          <w:rPr>
            <w:lang w:eastAsia="zh-CN"/>
          </w:rPr>
          <w:t>unsubscribe@charltonslaw.com</w:t>
        </w:r>
      </w:hyperlink>
    </w:p>
    <w:p w:rsidR="00577CD5" w:rsidRDefault="00A35E49">
      <w:pPr>
        <w:pStyle w:val="BlackStrips"/>
      </w:pPr>
      <w:r>
        <w:t xml:space="preserve">Charltons - </w:t>
      </w:r>
      <w:r>
        <w:t>香港法律</w:t>
      </w:r>
      <w:r>
        <w:t xml:space="preserve"> - 2025</w:t>
      </w:r>
      <w:r>
        <w:t>年</w:t>
      </w:r>
      <w:r>
        <w:t>12</w:t>
      </w:r>
      <w:r>
        <w:t>月</w:t>
      </w:r>
      <w:r>
        <w:t>3</w:t>
      </w:r>
      <w:r>
        <w:t>日</w:t>
      </w:r>
    </w:p>
    <w:sectPr w:rsidR="00577CD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5E49">
      <w:pPr>
        <w:spacing w:after="0"/>
      </w:pPr>
      <w:r>
        <w:separator/>
      </w:r>
    </w:p>
  </w:endnote>
  <w:endnote w:type="continuationSeparator" w:id="0">
    <w:p w:rsidR="00000000" w:rsidRDefault="00A35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CD5" w:rsidRDefault="00A35E49">
      <w:r>
        <w:separator/>
      </w:r>
    </w:p>
  </w:footnote>
  <w:footnote w:type="continuationSeparator" w:id="0">
    <w:p w:rsidR="00577CD5" w:rsidRDefault="00A3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8D0EE2F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3486D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046C65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12639"/>
    <w:rsid w:val="004E29B3"/>
    <w:rsid w:val="00577CD5"/>
    <w:rsid w:val="00590D07"/>
    <w:rsid w:val="00784D58"/>
    <w:rsid w:val="008D6863"/>
    <w:rsid w:val="00A35E49"/>
    <w:rsid w:val="00B86B75"/>
    <w:rsid w:val="00BC48D5"/>
    <w:rsid w:val="00C36279"/>
    <w:rsid w:val="00E315A3"/>
    <w:rsid w:val="00E3254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26CF"/>
  <w15:docId w15:val="{C12D4FCF-0DE4-4A05-92E1-01B655ED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Listing/Rules-and-Guidance/Other-Resources/Listed-Issuers/LIR-Newsletter/newsletter_202511_c.pdf" TargetMode="External"/><Relationship Id="rId13" Type="http://schemas.openxmlformats.org/officeDocument/2006/relationships/hyperlink" Target="https://legalref.judiciary.hk/lrs/common/search/search_result_detail_frame.jsp?DIS=127681&amp;QS=%28HKCFI+675%29&amp;TP=JU" TargetMode="External"/><Relationship Id="rId18" Type="http://schemas.openxmlformats.org/officeDocument/2006/relationships/hyperlink" Target="https://www.hkex.com.hk/-/media/HKEX-Market/News/News-Release/2020/200513news/LD_c_Kong-Sun-censure.pdf" TargetMode="External"/><Relationship Id="rId26" Type="http://schemas.openxmlformats.org/officeDocument/2006/relationships/hyperlink" Target="https://cn-rules.hkex.com.hk/sites/default/files/net_file_store/HKEXCN_SC_10107_VER39146.pdf" TargetMode="External"/><Relationship Id="rId3" Type="http://schemas.openxmlformats.org/officeDocument/2006/relationships/settings" Target="settings.xml"/><Relationship Id="rId21" Type="http://schemas.openxmlformats.org/officeDocument/2006/relationships/hyperlink" Target="https://legalref.judiciary.hk/lrs/common/search/search_result_detail_frame.jsp?DIS=156492&amp;QS=%28HKCFI+2932%29&amp;TP=JU" TargetMode="External"/><Relationship Id="rId7" Type="http://schemas.openxmlformats.org/officeDocument/2006/relationships/hyperlink" Target="http://www.charltonslaw.com.cn/xiang-gang-lian-jiao-suo-shang-shi-jian-guan-ji-gui-ze-zhi-xing-tong-xun-guan-yu-shang-shi-gong-si-dong-shi-zhi-ze-de-chang-jian-wu-jie" TargetMode="External"/><Relationship Id="rId12" Type="http://schemas.openxmlformats.org/officeDocument/2006/relationships/hyperlink" Target="https://legalref.judiciary.hk/lrs/common/search/search_result_detail_frame.jsp?DIS=165971&amp;QS=%28Tech+Pro+Technology+Development+Limited%29&amp;TP=JU" TargetMode="External"/><Relationship Id="rId17" Type="http://schemas.openxmlformats.org/officeDocument/2006/relationships/hyperlink" Target="https://sc.hkex.com.hk/TuniS/www.hkex.com.hk/news/regulatory-announcements/2025/250306news?sc_lang=zh-cn" TargetMode="External"/><Relationship Id="rId25" Type="http://schemas.openxmlformats.org/officeDocument/2006/relationships/hyperlink" Target="https://login.hkcgi.org.hk/file.php?content=PublicationAttachment&amp;id=2411&amp;filename=Company_Secretary_Appointment_Guidelines_for_HKICS+Members.pdf&amp;lang=eng" TargetMode="External"/><Relationship Id="rId2" Type="http://schemas.openxmlformats.org/officeDocument/2006/relationships/styles" Target="styles.xml"/><Relationship Id="rId16" Type="http://schemas.openxmlformats.org/officeDocument/2006/relationships/hyperlink" Target="https://sc.hkex.com.hk/TuniS/www.hkex.com.hk/news/regulatory-announcements/2025/250915news?sc_lang=zh-cn" TargetMode="External"/><Relationship Id="rId20" Type="http://schemas.openxmlformats.org/officeDocument/2006/relationships/hyperlink" Target="https://sc.hkex.com.hk/TuniS/www.hkex.com.hk/news/regulatory-announcements/2023/2312042news?sc_lang=zh-cn" TargetMode="External"/><Relationship Id="rId29" Type="http://schemas.openxmlformats.org/officeDocument/2006/relationships/hyperlink" Target="https://sc.hkex.com.hk/TuniS/cn-rules.hkex.com.hk/%E8%A6%8F%E5%89%87%E6%89%8B%E5%86%8A/5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kex.com.hk/TuniS/www.hkex.com.hk/news/regulatory-announcements/2021/210526news?sc_lang=zh-cn" TargetMode="External"/><Relationship Id="rId24" Type="http://schemas.openxmlformats.org/officeDocument/2006/relationships/hyperlink" Target="https://www.hkex.com.hk/-/media/HKEX-Market/Listing/Rules-and-Guidance/Corporate-Governance-Practices/Updated_CG_Guide_2025_c.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kex.com.hk/TuniS/www.hkex.com.hk/news/regulatory-announcements/2024/240708news?sc_lang=zh-cn" TargetMode="External"/><Relationship Id="rId23" Type="http://schemas.openxmlformats.org/officeDocument/2006/relationships/hyperlink" Target="https://cn-rules.hkex.com.hk/sites/default/files/net_file_store/HKEXCN_SC_8294_VER39147.pdf" TargetMode="External"/><Relationship Id="rId28" Type="http://schemas.openxmlformats.org/officeDocument/2006/relationships/hyperlink" Target="https://sc.hkex.com.hk/TuniS/cn-rules.hkex.com.hk/%E8%A6%8F%E5%89%87%E6%89%8B%E5%86%8A/328" TargetMode="External"/><Relationship Id="rId10" Type="http://schemas.openxmlformats.org/officeDocument/2006/relationships/hyperlink" Target="https://sc.hkex.com.hk/TuniS/www.hkex.com.hk/news/regulatory-announcements/2025/251008news?sc_lang=zh-cn" TargetMode="External"/><Relationship Id="rId19" Type="http://schemas.openxmlformats.org/officeDocument/2006/relationships/hyperlink" Target="https://legalref.judiciary.hk/lrs/common/search/search_result_detail_frame.jsp?DIS=127681&amp;QS=%28HKCFI+675%29&amp;TP=J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kex.com.hk/TuniS/www.hkex.com.hk/news/regulatory-announcements/2025/251111news?sc_lang=zh-cn" TargetMode="External"/><Relationship Id="rId14" Type="http://schemas.openxmlformats.org/officeDocument/2006/relationships/hyperlink" Target="https://sc.hkex.com.hk/TuniS/www.hkex.com.hk/news/regulatory-announcements/2024/240910news?sc_lang=zh-cn" TargetMode="External"/><Relationship Id="rId22" Type="http://schemas.openxmlformats.org/officeDocument/2006/relationships/hyperlink" Target="https://cn-rules.hkex.com.hk/sites/default/files/net_file_store/HKEXCN_SC_10107_VER39146.pdf" TargetMode="External"/><Relationship Id="rId27" Type="http://schemas.openxmlformats.org/officeDocument/2006/relationships/hyperlink" Target="https://cn-rules.hkex.com.hk/sites/default/files/net_file_store/HKEXCN_SC_8294_VER39147.pdf" TargetMode="External"/><Relationship Id="rId30"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3</cp:revision>
  <dcterms:created xsi:type="dcterms:W3CDTF">2025-12-03T08:10:00Z</dcterms:created>
  <dcterms:modified xsi:type="dcterms:W3CDTF">2025-12-03T08:39:00Z</dcterms:modified>
</cp:coreProperties>
</file>