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CEC" w:rsidRDefault="00DA7020">
      <w:pPr>
        <w:pStyle w:val="BlackStrips"/>
      </w:pPr>
      <w:r>
        <w:t xml:space="preserve">Charltons - </w:t>
      </w:r>
      <w:r>
        <w:t>香港法律</w:t>
      </w:r>
      <w:r>
        <w:t xml:space="preserve"> - 2025</w:t>
      </w:r>
      <w:r>
        <w:t>年</w:t>
      </w:r>
      <w:r>
        <w:t>12</w:t>
      </w:r>
      <w:r>
        <w:t>月</w:t>
      </w:r>
      <w:r>
        <w:t>4</w:t>
      </w:r>
      <w:r>
        <w:t>日</w:t>
      </w:r>
    </w:p>
    <w:p w:rsidR="009A6CEC" w:rsidRDefault="00DA7020">
      <w:pPr>
        <w:pStyle w:val="ReadOnline"/>
      </w:pPr>
      <w:hyperlink r:id="rId7">
        <w:r>
          <w:t>online version</w:t>
        </w:r>
      </w:hyperlink>
    </w:p>
    <w:p w:rsidR="009A6CEC" w:rsidRDefault="00DA7020">
      <w:pPr>
        <w:pStyle w:val="Title"/>
      </w:pPr>
      <w:r>
        <w:t>香港联交所为把握数字资产领域机遇的上市公司发布指引</w:t>
      </w:r>
    </w:p>
    <w:p w:rsidR="009A6CEC" w:rsidRDefault="00DA7020">
      <w:pPr>
        <w:pStyle w:val="FirstParagraph"/>
        <w:rPr>
          <w:lang w:eastAsia="zh-CN"/>
        </w:rPr>
      </w:pPr>
      <w:r>
        <w:rPr>
          <w:lang w:eastAsia="zh-CN"/>
        </w:rPr>
        <w:t>2025</w:t>
      </w:r>
      <w:r>
        <w:rPr>
          <w:lang w:eastAsia="zh-CN"/>
        </w:rPr>
        <w:t>年</w:t>
      </w:r>
      <w:r>
        <w:rPr>
          <w:lang w:eastAsia="zh-CN"/>
        </w:rPr>
        <w:t>11</w:t>
      </w:r>
      <w:r>
        <w:rPr>
          <w:lang w:eastAsia="zh-CN"/>
        </w:rPr>
        <w:t>月，香港联合交易所有限公司（</w:t>
      </w:r>
      <w:r>
        <w:rPr>
          <w:lang w:eastAsia="zh-CN"/>
        </w:rPr>
        <w:t>“</w:t>
      </w:r>
      <w:r>
        <w:rPr>
          <w:lang w:eastAsia="zh-CN"/>
        </w:rPr>
        <w:t>联交所</w:t>
      </w:r>
      <w:r>
        <w:rPr>
          <w:lang w:eastAsia="zh-CN"/>
        </w:rPr>
        <w:t>”</w:t>
      </w:r>
      <w:r>
        <w:rPr>
          <w:lang w:eastAsia="zh-CN"/>
        </w:rPr>
        <w:t>）发布</w:t>
      </w:r>
      <w:hyperlink r:id="rId8">
        <w:r w:rsidRPr="00DA7020">
          <w:rPr>
            <w:color w:val="FF0000"/>
            <w:u w:val="single"/>
            <w:lang w:eastAsia="zh-CN"/>
          </w:rPr>
          <w:t>《上市监管及规则执行通讯》第</w:t>
        </w:r>
        <w:r w:rsidRPr="00DA7020">
          <w:rPr>
            <w:color w:val="FF0000"/>
            <w:u w:val="single"/>
            <w:lang w:eastAsia="zh-CN"/>
          </w:rPr>
          <w:t>13</w:t>
        </w:r>
        <w:r w:rsidRPr="00DA7020">
          <w:rPr>
            <w:color w:val="FF0000"/>
            <w:u w:val="single"/>
            <w:lang w:eastAsia="zh-CN"/>
          </w:rPr>
          <w:t>期</w:t>
        </w:r>
      </w:hyperlink>
      <w:r>
        <w:rPr>
          <w:lang w:eastAsia="zh-CN"/>
        </w:rPr>
        <w:t>，其中包含针对从事数字资产相关活动的联交所上市公司的重要指引。该指引旨在应对越来越多的上市公司参与各类活动的趋势，这些活动范围涵盖加密货币投资、稳定币发行、代币化</w:t>
      </w:r>
      <w:r>
        <w:rPr>
          <w:lang w:eastAsia="zh-CN"/>
        </w:rPr>
        <w:t>以及创建基于区块链的平台。</w:t>
      </w:r>
    </w:p>
    <w:p w:rsidR="009A6CEC" w:rsidRDefault="00DA7020">
      <w:pPr>
        <w:pStyle w:val="Heading2"/>
        <w:rPr>
          <w:lang w:eastAsia="zh-CN"/>
        </w:rPr>
      </w:pPr>
      <w:bookmarkStart w:id="0" w:name="联交所上市公司的数字资产交易"/>
      <w:r>
        <w:rPr>
          <w:lang w:eastAsia="zh-CN"/>
        </w:rPr>
        <w:t>联交所上市公司的数字资产交易</w:t>
      </w:r>
      <w:bookmarkEnd w:id="0"/>
    </w:p>
    <w:p w:rsidR="009A6CEC" w:rsidRDefault="00DA7020">
      <w:pPr>
        <w:pStyle w:val="FirstParagraph"/>
        <w:rPr>
          <w:lang w:eastAsia="zh-CN"/>
        </w:rPr>
      </w:pPr>
      <w:r>
        <w:rPr>
          <w:lang w:eastAsia="zh-CN"/>
        </w:rPr>
        <w:t>联交所注意到，由于这些交易可能涉及不同的交易结构，上市公司必须仔细评估其影响并确保遵守《上市规则》及相关法规。</w:t>
      </w:r>
      <w:r>
        <w:rPr>
          <w:lang w:eastAsia="zh-CN"/>
        </w:rPr>
        <w:t>2025</w:t>
      </w:r>
      <w:r>
        <w:rPr>
          <w:lang w:eastAsia="zh-CN"/>
        </w:rPr>
        <w:t>年</w:t>
      </w:r>
      <w:r>
        <w:rPr>
          <w:lang w:eastAsia="zh-CN"/>
        </w:rPr>
        <w:t>8</w:t>
      </w:r>
      <w:r>
        <w:rPr>
          <w:lang w:eastAsia="zh-CN"/>
        </w:rPr>
        <w:t>月，证监会与香港金管局联合发布</w:t>
      </w:r>
      <w:hyperlink r:id="rId9">
        <w:r w:rsidRPr="00DA7020">
          <w:rPr>
            <w:color w:val="FF0000"/>
            <w:u w:val="single"/>
            <w:lang w:eastAsia="zh-CN"/>
          </w:rPr>
          <w:t>声明</w:t>
        </w:r>
      </w:hyperlink>
      <w:r>
        <w:rPr>
          <w:lang w:eastAsia="zh-CN"/>
        </w:rPr>
        <w:t>，提醒投资者对与稳定币概念相关的市场波动保持谨慎，并提醒市场参与者在进行公众沟通时应负起责任。</w:t>
      </w:r>
    </w:p>
    <w:p w:rsidR="009A6CEC" w:rsidRDefault="00DA7020">
      <w:pPr>
        <w:pStyle w:val="Heading2"/>
        <w:rPr>
          <w:lang w:eastAsia="zh-CN"/>
        </w:rPr>
      </w:pPr>
      <w:bookmarkStart w:id="1" w:name="对联交所上市公司建议披露事项的指引"/>
      <w:r>
        <w:rPr>
          <w:lang w:eastAsia="zh-CN"/>
        </w:rPr>
        <w:t>对联交所上市公司建议披露事项的指引</w:t>
      </w:r>
      <w:bookmarkEnd w:id="1"/>
    </w:p>
    <w:p w:rsidR="009A6CEC" w:rsidRDefault="00DA7020">
      <w:pPr>
        <w:pStyle w:val="FirstParagraph"/>
        <w:rPr>
          <w:lang w:eastAsia="zh-CN"/>
        </w:rPr>
      </w:pPr>
      <w:r>
        <w:rPr>
          <w:lang w:eastAsia="zh-CN"/>
        </w:rPr>
        <w:t>根据</w:t>
      </w:r>
      <w:hyperlink r:id="rId10">
        <w:r w:rsidRPr="00DA7020">
          <w:rPr>
            <w:color w:val="FF0000"/>
            <w:u w:val="single"/>
            <w:lang w:eastAsia="zh-CN"/>
          </w:rPr>
          <w:t>《主板上市规则》第</w:t>
        </w:r>
        <w:r w:rsidRPr="00DA7020">
          <w:rPr>
            <w:color w:val="FF0000"/>
            <w:u w:val="single"/>
            <w:lang w:eastAsia="zh-CN"/>
          </w:rPr>
          <w:t>2.13</w:t>
        </w:r>
        <w:r w:rsidRPr="00DA7020">
          <w:rPr>
            <w:color w:val="FF0000"/>
            <w:u w:val="single"/>
            <w:lang w:eastAsia="zh-CN"/>
          </w:rPr>
          <w:t>条</w:t>
        </w:r>
      </w:hyperlink>
      <w:r>
        <w:rPr>
          <w:lang w:eastAsia="zh-CN"/>
        </w:rPr>
        <w:t>/</w:t>
      </w:r>
      <w:hyperlink r:id="rId11">
        <w:r w:rsidRPr="00DA7020">
          <w:rPr>
            <w:color w:val="FF0000"/>
            <w:u w:val="single"/>
            <w:lang w:eastAsia="zh-CN"/>
          </w:rPr>
          <w:t>《创业板上市规则》第</w:t>
        </w:r>
        <w:r w:rsidRPr="00DA7020">
          <w:rPr>
            <w:color w:val="FF0000"/>
            <w:u w:val="single"/>
            <w:lang w:eastAsia="zh-CN"/>
          </w:rPr>
          <w:t>17.56</w:t>
        </w:r>
        <w:r w:rsidRPr="00DA7020">
          <w:rPr>
            <w:color w:val="FF0000"/>
            <w:u w:val="single"/>
            <w:lang w:eastAsia="zh-CN"/>
          </w:rPr>
          <w:t>条</w:t>
        </w:r>
      </w:hyperlink>
      <w:r>
        <w:rPr>
          <w:lang w:eastAsia="zh-CN"/>
        </w:rPr>
        <w:t>，披露资料无论何时均须准确完备且沒有误导成分。在描述数字资产相关活动时，联交所上市公司应通过以下方式说明该等活动如何符合发行人及股东的利益：</w:t>
      </w:r>
    </w:p>
    <w:p w:rsidR="009A6CEC" w:rsidRDefault="00DA7020">
      <w:pPr>
        <w:pStyle w:val="Compact"/>
        <w:numPr>
          <w:ilvl w:val="0"/>
          <w:numId w:val="3"/>
        </w:numPr>
        <w:rPr>
          <w:lang w:eastAsia="zh-CN"/>
        </w:rPr>
      </w:pPr>
      <w:r>
        <w:rPr>
          <w:lang w:eastAsia="zh-CN"/>
        </w:rPr>
        <w:t>详述数字资产相关活动的结构，以及它们如何融入业务运营，并提供主要里程碑及预计完成日期等信息；</w:t>
      </w:r>
    </w:p>
    <w:p w:rsidR="009A6CEC" w:rsidRDefault="00DA7020">
      <w:pPr>
        <w:pStyle w:val="Compact"/>
        <w:numPr>
          <w:ilvl w:val="0"/>
          <w:numId w:val="3"/>
        </w:numPr>
        <w:rPr>
          <w:lang w:eastAsia="zh-CN"/>
        </w:rPr>
      </w:pPr>
      <w:r>
        <w:rPr>
          <w:lang w:eastAsia="zh-CN"/>
        </w:rPr>
        <w:t>指出重大风险（监管、波动性、流动性及安全性方面）以及相</w:t>
      </w:r>
      <w:r>
        <w:rPr>
          <w:lang w:eastAsia="zh-CN"/>
        </w:rPr>
        <w:t>关的缓释措施；以及</w:t>
      </w:r>
    </w:p>
    <w:p w:rsidR="009A6CEC" w:rsidRDefault="00DA7020">
      <w:pPr>
        <w:pStyle w:val="Compact"/>
        <w:numPr>
          <w:ilvl w:val="0"/>
          <w:numId w:val="3"/>
        </w:numPr>
        <w:rPr>
          <w:lang w:eastAsia="zh-CN"/>
        </w:rPr>
      </w:pPr>
      <w:r>
        <w:rPr>
          <w:lang w:eastAsia="zh-CN"/>
        </w:rPr>
        <w:t>强调管理层所需的专业知识，以及已实施的必要内部监控措施，包括用于侦测欺诈和不当行为的系统，以及安全或托管安排。</w:t>
      </w:r>
    </w:p>
    <w:p w:rsidR="009A6CEC" w:rsidRDefault="00DA7020">
      <w:pPr>
        <w:pStyle w:val="FirstParagraph"/>
        <w:rPr>
          <w:lang w:eastAsia="zh-CN"/>
        </w:rPr>
      </w:pPr>
      <w:r>
        <w:rPr>
          <w:lang w:eastAsia="zh-CN"/>
        </w:rPr>
        <w:t>联交所提醒上市公司应作精准披露，以准确反映交易结构，使用浅白语言，并避免过度使用流行语。发行人应避免在交易尚处于初步或概念阶段且缺乏细节的情况下，发布涉及数字资产相关活动潜在计划的自愿公告。</w:t>
      </w:r>
    </w:p>
    <w:p w:rsidR="009A6CEC" w:rsidRDefault="00DA7020">
      <w:pPr>
        <w:pStyle w:val="Heading2"/>
        <w:rPr>
          <w:lang w:eastAsia="zh-CN"/>
        </w:rPr>
      </w:pPr>
      <w:bookmarkStart w:id="2" w:name="对联交所上市公司持续责任的提醒"/>
      <w:r>
        <w:rPr>
          <w:lang w:eastAsia="zh-CN"/>
        </w:rPr>
        <w:t>对联交所上市公司持续责任的提醒</w:t>
      </w:r>
      <w:bookmarkEnd w:id="2"/>
    </w:p>
    <w:p w:rsidR="009A6CEC" w:rsidRDefault="00DA7020">
      <w:pPr>
        <w:pStyle w:val="FirstParagraph"/>
        <w:rPr>
          <w:lang w:eastAsia="zh-CN"/>
        </w:rPr>
      </w:pPr>
      <w:r>
        <w:rPr>
          <w:lang w:eastAsia="zh-CN"/>
        </w:rPr>
        <w:t>联交所就各类数字资产相关活动的持续责任提出以下提醒：</w:t>
      </w:r>
    </w:p>
    <w:p w:rsidR="009A6CEC" w:rsidRPr="00DA7020" w:rsidRDefault="00DA7020">
      <w:pPr>
        <w:pStyle w:val="Heading3"/>
        <w:rPr>
          <w:color w:val="auto"/>
          <w:lang w:eastAsia="zh-CN"/>
        </w:rPr>
      </w:pPr>
      <w:bookmarkStart w:id="3" w:name="数字资产投资"/>
      <w:r w:rsidRPr="00DA7020">
        <w:rPr>
          <w:i/>
          <w:color w:val="auto"/>
          <w:lang w:eastAsia="zh-CN"/>
        </w:rPr>
        <w:t>数字资产投资</w:t>
      </w:r>
      <w:bookmarkEnd w:id="3"/>
    </w:p>
    <w:p w:rsidR="009A6CEC" w:rsidRDefault="00DA7020">
      <w:pPr>
        <w:pStyle w:val="FirstParagraph"/>
        <w:rPr>
          <w:lang w:eastAsia="zh-CN"/>
        </w:rPr>
      </w:pPr>
      <w:r>
        <w:rPr>
          <w:lang w:eastAsia="zh-CN"/>
        </w:rPr>
        <w:t>无论出于资金管理或其他目的，联交所上市公司对于任何加密货币或代币化资产的重大收购或出售事</w:t>
      </w:r>
      <w:r>
        <w:rPr>
          <w:lang w:eastAsia="zh-CN"/>
        </w:rPr>
        <w:t>项，均须遵守</w:t>
      </w:r>
      <w:hyperlink r:id="rId12">
        <w:r w:rsidRPr="00DA7020">
          <w:rPr>
            <w:color w:val="FF0000"/>
            <w:u w:val="single"/>
            <w:lang w:eastAsia="zh-CN"/>
          </w:rPr>
          <w:t>《主板上市规则》第十四章</w:t>
        </w:r>
      </w:hyperlink>
      <w:r>
        <w:rPr>
          <w:lang w:eastAsia="zh-CN"/>
        </w:rPr>
        <w:t xml:space="preserve"> / </w:t>
      </w:r>
      <w:hyperlink r:id="rId13">
        <w:r w:rsidRPr="00DA7020">
          <w:rPr>
            <w:color w:val="FF0000"/>
            <w:u w:val="single"/>
            <w:lang w:eastAsia="zh-CN"/>
          </w:rPr>
          <w:t>《创业板上市规则》第十九章</w:t>
        </w:r>
      </w:hyperlink>
      <w:r>
        <w:rPr>
          <w:lang w:eastAsia="zh-CN"/>
        </w:rPr>
        <w:t>的规定。</w:t>
      </w:r>
    </w:p>
    <w:p w:rsidR="009A6CEC" w:rsidRPr="00DA7020" w:rsidRDefault="00DA7020">
      <w:pPr>
        <w:pStyle w:val="Heading3"/>
        <w:rPr>
          <w:color w:val="000000" w:themeColor="text1"/>
          <w:lang w:eastAsia="zh-CN"/>
        </w:rPr>
      </w:pPr>
      <w:bookmarkStart w:id="4" w:name="香港联交所上市公司的代币化及分派"/>
      <w:r w:rsidRPr="00DA7020">
        <w:rPr>
          <w:i/>
          <w:color w:val="000000" w:themeColor="text1"/>
          <w:lang w:eastAsia="zh-CN"/>
        </w:rPr>
        <w:t>香港联交所上市公司的代币化及分派</w:t>
      </w:r>
      <w:bookmarkEnd w:id="4"/>
    </w:p>
    <w:p w:rsidR="009A6CEC" w:rsidRDefault="00DA7020">
      <w:pPr>
        <w:pStyle w:val="FirstParagraph"/>
        <w:rPr>
          <w:lang w:eastAsia="zh-CN"/>
        </w:rPr>
      </w:pPr>
      <w:r>
        <w:rPr>
          <w:lang w:eastAsia="zh-CN"/>
        </w:rPr>
        <w:t>若联交所上市公司向股东分派代币化资产，联交所上市公司必须根据</w:t>
      </w:r>
      <w:hyperlink r:id="rId14">
        <w:r w:rsidRPr="00DA7020">
          <w:rPr>
            <w:color w:val="FF0000"/>
            <w:u w:val="single"/>
            <w:lang w:eastAsia="zh-CN"/>
          </w:rPr>
          <w:t>《主板上市规则》第</w:t>
        </w:r>
        <w:r w:rsidRPr="00DA7020">
          <w:rPr>
            <w:color w:val="FF0000"/>
            <w:u w:val="single"/>
            <w:lang w:eastAsia="zh-CN"/>
          </w:rPr>
          <w:t>2.03</w:t>
        </w:r>
        <w:r w:rsidRPr="00DA7020">
          <w:rPr>
            <w:color w:val="FF0000"/>
            <w:u w:val="single"/>
            <w:lang w:eastAsia="zh-CN"/>
          </w:rPr>
          <w:t>条</w:t>
        </w:r>
      </w:hyperlink>
      <w:r>
        <w:rPr>
          <w:lang w:eastAsia="zh-CN"/>
        </w:rPr>
        <w:t xml:space="preserve"> /</w:t>
      </w:r>
      <w:hyperlink r:id="rId15">
        <w:r w:rsidRPr="00DA7020">
          <w:rPr>
            <w:color w:val="FF0000"/>
            <w:u w:val="single"/>
            <w:lang w:eastAsia="zh-CN"/>
          </w:rPr>
          <w:t>《创业板上市规则》第</w:t>
        </w:r>
        <w:r w:rsidRPr="00DA7020">
          <w:rPr>
            <w:color w:val="FF0000"/>
            <w:u w:val="single"/>
            <w:lang w:eastAsia="zh-CN"/>
          </w:rPr>
          <w:t>2.06</w:t>
        </w:r>
        <w:r w:rsidRPr="00DA7020">
          <w:rPr>
            <w:color w:val="FF0000"/>
            <w:u w:val="single"/>
            <w:lang w:eastAsia="zh-CN"/>
          </w:rPr>
          <w:t>条</w:t>
        </w:r>
      </w:hyperlink>
      <w:r>
        <w:rPr>
          <w:lang w:eastAsia="zh-CN"/>
        </w:rPr>
        <w:t>确保所有股东受到公</w:t>
      </w:r>
      <w:r>
        <w:rPr>
          <w:lang w:eastAsia="zh-CN"/>
        </w:rPr>
        <w:t>平及平等对待，并鉴于代币化资产变现的可及性及流动性可能受限，应视情况提供现金替代方案。</w:t>
      </w:r>
    </w:p>
    <w:p w:rsidR="009A6CEC" w:rsidRPr="00DA7020" w:rsidRDefault="00DA7020">
      <w:pPr>
        <w:pStyle w:val="Heading3"/>
        <w:rPr>
          <w:color w:val="auto"/>
          <w:lang w:eastAsia="zh-CN"/>
        </w:rPr>
      </w:pPr>
      <w:bookmarkStart w:id="5" w:name="联交所上市公司为收购加密货币进行集资"/>
      <w:r w:rsidRPr="00DA7020">
        <w:rPr>
          <w:i/>
          <w:color w:val="auto"/>
          <w:lang w:eastAsia="zh-CN"/>
        </w:rPr>
        <w:lastRenderedPageBreak/>
        <w:t>联交所上市公司为收购加密货币进行集资</w:t>
      </w:r>
      <w:bookmarkEnd w:id="5"/>
    </w:p>
    <w:p w:rsidR="009A6CEC" w:rsidRDefault="00DA7020">
      <w:pPr>
        <w:pStyle w:val="FirstParagraph"/>
        <w:rPr>
          <w:lang w:eastAsia="zh-CN"/>
        </w:rPr>
      </w:pPr>
      <w:r>
        <w:rPr>
          <w:lang w:eastAsia="zh-CN"/>
        </w:rPr>
        <w:t>若为收购加密货币而进行股权集资，则应清晰说明收购的目标及拟订用途。上市公司应根据</w:t>
      </w:r>
      <w:hyperlink r:id="rId16">
        <w:r w:rsidRPr="00DA7020">
          <w:rPr>
            <w:color w:val="FF0000"/>
            <w:u w:val="single"/>
            <w:lang w:eastAsia="zh-CN"/>
          </w:rPr>
          <w:t>《主板上市规则》附录</w:t>
        </w:r>
        <w:r w:rsidRPr="00DA7020">
          <w:rPr>
            <w:color w:val="FF0000"/>
            <w:u w:val="single"/>
            <w:lang w:eastAsia="zh-CN"/>
          </w:rPr>
          <w:t>D2</w:t>
        </w:r>
      </w:hyperlink>
      <w:r>
        <w:rPr>
          <w:lang w:eastAsia="zh-CN"/>
        </w:rPr>
        <w:t>/</w:t>
      </w:r>
      <w:hyperlink r:id="rId17">
        <w:r w:rsidRPr="00DA7020">
          <w:rPr>
            <w:color w:val="FF0000"/>
            <w:u w:val="single"/>
            <w:lang w:eastAsia="zh-CN"/>
          </w:rPr>
          <w:t>《创业板上市规则》第</w:t>
        </w:r>
        <w:r w:rsidRPr="00DA7020">
          <w:rPr>
            <w:color w:val="FF0000"/>
            <w:u w:val="single"/>
            <w:lang w:eastAsia="zh-CN"/>
          </w:rPr>
          <w:t>18.32</w:t>
        </w:r>
        <w:r w:rsidRPr="00DA7020">
          <w:rPr>
            <w:color w:val="FF0000"/>
            <w:u w:val="single"/>
            <w:lang w:eastAsia="zh-CN"/>
          </w:rPr>
          <w:t>条</w:t>
        </w:r>
      </w:hyperlink>
      <w:r>
        <w:rPr>
          <w:lang w:eastAsia="zh-CN"/>
        </w:rPr>
        <w:t>，在其后的年度报告中向市场披露所得款项用途以及相关加密货币的最新情况。</w:t>
      </w:r>
    </w:p>
    <w:p w:rsidR="009A6CEC" w:rsidRDefault="00DA7020">
      <w:pPr>
        <w:pStyle w:val="BodyText"/>
        <w:rPr>
          <w:lang w:eastAsia="zh-CN"/>
        </w:rPr>
      </w:pPr>
      <w:r>
        <w:rPr>
          <w:lang w:eastAsia="zh-CN"/>
        </w:rPr>
        <w:t>联交所表明，此指引反映了近期监察中发现的一些常见问题，并非详尽无遗。联交所将继</w:t>
      </w:r>
      <w:r>
        <w:rPr>
          <w:lang w:eastAsia="zh-CN"/>
        </w:rPr>
        <w:t>续密切留意数字资产领域的发展，并在适当时候提供进一步指引。考虑进行相关活动的联交所上市公司可在必要时咨询联交所寻求指引。</w:t>
      </w:r>
    </w:p>
    <w:p w:rsidR="009A6CEC" w:rsidRDefault="00DA7020">
      <w:pPr>
        <w:pStyle w:val="DisclaimerBold"/>
        <w:rPr>
          <w:lang w:eastAsia="zh-CN"/>
        </w:rPr>
      </w:pPr>
      <w:r>
        <w:rPr>
          <w:lang w:eastAsia="zh-CN"/>
        </w:rPr>
        <w:t>此法讯仅为提供相关资料信息之用，其内容并</w:t>
      </w:r>
    </w:p>
    <w:p w:rsidR="009A6CEC" w:rsidRDefault="00DA7020">
      <w:pPr>
        <w:pStyle w:val="Disclaimer"/>
        <w:rPr>
          <w:lang w:eastAsia="zh-CN"/>
        </w:rPr>
      </w:pPr>
      <w:r>
        <w:rPr>
          <w:lang w:eastAsia="zh-CN"/>
        </w:rPr>
        <w:t>不构成法律建议及个案的法律分析。</w:t>
      </w:r>
    </w:p>
    <w:p w:rsidR="009A6CEC" w:rsidRDefault="00DA7020">
      <w:pPr>
        <w:pStyle w:val="Disclaimer"/>
        <w:rPr>
          <w:lang w:eastAsia="zh-CN"/>
        </w:rPr>
      </w:pPr>
      <w:r>
        <w:rPr>
          <w:lang w:eastAsia="zh-CN"/>
        </w:rPr>
        <w:t>此法讯的发送并不是为了在易周律师行与用户或浏览者之间建立一种律师与客户之关系。</w:t>
      </w:r>
    </w:p>
    <w:p w:rsidR="009A6CEC" w:rsidRDefault="00DA7020">
      <w:pPr>
        <w:pStyle w:val="Disclaimer"/>
        <w:rPr>
          <w:lang w:eastAsia="zh-CN"/>
        </w:rPr>
      </w:pPr>
      <w:r>
        <w:rPr>
          <w:lang w:eastAsia="zh-CN"/>
        </w:rPr>
        <w:t>易周律师行并不对可从互联网获得的任何第三方内容负责。</w:t>
      </w:r>
    </w:p>
    <w:p w:rsidR="009A6CEC" w:rsidRDefault="00DA7020">
      <w:pPr>
        <w:pStyle w:val="Disclaimer"/>
        <w:rPr>
          <w:lang w:eastAsia="zh-CN"/>
        </w:rPr>
      </w:pPr>
      <w:r>
        <w:rPr>
          <w:lang w:eastAsia="zh-CN"/>
        </w:rPr>
        <w:t>如你不希望再收到易周法讯，请发送电邮至</w:t>
      </w:r>
      <w:r>
        <w:rPr>
          <w:lang w:eastAsia="zh-CN"/>
        </w:rPr>
        <w:t xml:space="preserve">  </w:t>
      </w:r>
      <w:hyperlink r:id="rId18">
        <w:r>
          <w:rPr>
            <w:lang w:eastAsia="zh-CN"/>
          </w:rPr>
          <w:t>unsubscribe@charltonslaw.com</w:t>
        </w:r>
      </w:hyperlink>
    </w:p>
    <w:p w:rsidR="009A6CEC" w:rsidRDefault="00DA7020">
      <w:pPr>
        <w:pStyle w:val="BlackStrips"/>
      </w:pPr>
      <w:r>
        <w:t xml:space="preserve">Charltons - </w:t>
      </w:r>
      <w:r>
        <w:t>香港法律</w:t>
      </w:r>
      <w:r>
        <w:t xml:space="preserve"> - 20</w:t>
      </w:r>
      <w:bookmarkStart w:id="6" w:name="_GoBack"/>
      <w:bookmarkEnd w:id="6"/>
      <w:r>
        <w:t>25</w:t>
      </w:r>
      <w:r>
        <w:t>年</w:t>
      </w:r>
      <w:r>
        <w:t>12</w:t>
      </w:r>
      <w:r>
        <w:t>月</w:t>
      </w:r>
      <w:r>
        <w:t>4</w:t>
      </w:r>
      <w:r>
        <w:t>日</w:t>
      </w:r>
    </w:p>
    <w:sectPr w:rsidR="009A6CEC">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A7020">
      <w:pPr>
        <w:spacing w:after="0"/>
      </w:pPr>
      <w:r>
        <w:separator/>
      </w:r>
    </w:p>
  </w:endnote>
  <w:endnote w:type="continuationSeparator" w:id="0">
    <w:p w:rsidR="00000000" w:rsidRDefault="00DA70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CEC" w:rsidRDefault="00DA7020">
      <w:r>
        <w:separator/>
      </w:r>
    </w:p>
  </w:footnote>
  <w:footnote w:type="continuationSeparator" w:id="0">
    <w:p w:rsidR="009A6CEC" w:rsidRDefault="00DA7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61DA409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35E4E6A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CD56EF5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D6863"/>
    <w:rsid w:val="009A6CEC"/>
    <w:rsid w:val="00B86B75"/>
    <w:rsid w:val="00BC48D5"/>
    <w:rsid w:val="00C36279"/>
    <w:rsid w:val="00DA7020"/>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6235"/>
  <w15:docId w15:val="{D1C01665-D981-4041-AE9C-1CD6A9FA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Listing/Rules-and-Guidance/Other-Resources/Listed-Issuers/LIR-Newsletter/newsletter_202511_c.pdf" TargetMode="External"/><Relationship Id="rId13" Type="http://schemas.openxmlformats.org/officeDocument/2006/relationships/hyperlink" Target="https://sc.hkex.com.hk/TuniS/cn-rules.hkex.com.hk/%E8%A6%8F%E5%89%87%E6%89%8B%E5%86%8A/%E7%AC%AC%E5%8D%81%E4%B9%9D%E7%AB%A0%C2%A0%E9%A0%88%E4%BA%88%E5%85%AC%E5%B8%83%E7%9A%84%E4%BA%A4%E6%98%93" TargetMode="External"/><Relationship Id="rId18"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www.charltonslaw.com.cn/xiang-gang-lian-jiao-suo-wei-ba-wo-shu-zi-zi-chan-ling-yu-ji-yu-de-shang-shi-gong-si-fa-bu-zhi-yin" TargetMode="External"/><Relationship Id="rId12" Type="http://schemas.openxmlformats.org/officeDocument/2006/relationships/hyperlink" Target="https://sc.hkex.com.hk/TuniS/cn-rules.hkex.com.hk/%E8%A6%8F%E5%89%87%E6%89%8B%E5%86%8A/%E7%AC%AC%E5%8D%81%E5%9B%9B%E7%AB%A0-%E9%A0%88%E4%BA%88%E5%85%AC%E5%B8%83%E7%9A%84%E4%BA%A4%E6%98%93" TargetMode="External"/><Relationship Id="rId17" Type="http://schemas.openxmlformats.org/officeDocument/2006/relationships/hyperlink" Target="https://sc.hkex.com.hk/TuniS/cn-rules.hkex.com.hk/%E8%A6%8F%E5%89%87%E6%89%8B%E5%86%8A/1832" TargetMode="External"/><Relationship Id="rId2" Type="http://schemas.openxmlformats.org/officeDocument/2006/relationships/styles" Target="styles.xml"/><Relationship Id="rId16" Type="http://schemas.openxmlformats.org/officeDocument/2006/relationships/hyperlink" Target="https://sc.hkex.com.hk/TuniS/cn-rules.hkex.com.hk/%E8%A6%8F%E5%89%87%E6%89%8B%E5%86%8A/%E9%99%84%E9%8C%84-d2-%E8%B2%A1%E5%8B%99%E8%B3%87%E6%96%99%E7%9A%84%E6%8A%AB%E9%9C%B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kex.com.hk/TuniS/cn-rules.hkex.com.hk/%E8%A6%8F%E5%89%87%E6%89%8B%E5%86%8A/1756" TargetMode="External"/><Relationship Id="rId5" Type="http://schemas.openxmlformats.org/officeDocument/2006/relationships/footnotes" Target="footnotes.xml"/><Relationship Id="rId15" Type="http://schemas.openxmlformats.org/officeDocument/2006/relationships/hyperlink" Target="https://sc.hkex.com.hk/TuniS/cn-rules.hkex.com.hk/%E8%A6%8F%E5%89%87%E6%89%8B%E5%86%8A/206-0" TargetMode="External"/><Relationship Id="rId10" Type="http://schemas.openxmlformats.org/officeDocument/2006/relationships/hyperlink" Target="https://sc.hkex.com.hk/TuniS/cn-rules.hkex.com.hk/%E8%A6%8F%E5%89%87%E6%89%8B%E5%86%8A/21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sfc.hk/TuniS/www.sfc.hk/TC/News-and-announcements/Policy-statements-and-announcements/Joint-statement-by-the-SFC-and-the-HKMA-on-stablecoin-related-market-movements" TargetMode="External"/><Relationship Id="rId14" Type="http://schemas.openxmlformats.org/officeDocument/2006/relationships/hyperlink" Target="https://sc.hkex.com.hk/TuniS/cn-rules.hkex.com.hk/%E8%A6%8F%E5%89%87%E6%89%8B%E5%86%8A/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469</Words>
  <Characters>2675</Characters>
  <Application>Microsoft Office Word</Application>
  <DocSecurity>0</DocSecurity>
  <Lines>22</Lines>
  <Paragraphs>6</Paragraphs>
  <ScaleCrop>false</ScaleCrop>
  <Company>Charltons</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2025-12-04T09:08:00Z</dcterms:created>
  <dcterms:modified xsi:type="dcterms:W3CDTF">2025-12-04T09:18:00Z</dcterms:modified>
</cp:coreProperties>
</file>