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C3C" w:rsidRDefault="00AA293B">
      <w:pPr>
        <w:pStyle w:val="BlackStrips"/>
      </w:pPr>
      <w:r>
        <w:t xml:space="preserve">Charltons - </w:t>
      </w:r>
      <w:r>
        <w:t>香港法律</w:t>
      </w:r>
      <w:r>
        <w:t xml:space="preserve"> - 2026</w:t>
      </w:r>
      <w:r>
        <w:t>年</w:t>
      </w:r>
      <w:r>
        <w:t>2</w:t>
      </w:r>
      <w:r>
        <w:t>月</w:t>
      </w:r>
      <w:r>
        <w:t>11</w:t>
      </w:r>
      <w:r>
        <w:t>日</w:t>
      </w:r>
    </w:p>
    <w:p w:rsidR="002E7C3C" w:rsidRDefault="00AA293B">
      <w:pPr>
        <w:pStyle w:val="ReadOnline"/>
      </w:pPr>
      <w:hyperlink r:id="rId8">
        <w:r>
          <w:t>online version</w:t>
        </w:r>
      </w:hyperlink>
    </w:p>
    <w:p w:rsidR="002E7C3C" w:rsidRDefault="00AA293B">
      <w:pPr>
        <w:pStyle w:val="Title"/>
      </w:pPr>
      <w:r>
        <w:t>香港证监会保荐人通函附录：保荐人不达标行为</w:t>
      </w:r>
      <w:r>
        <w:t xml:space="preserve"> —— </w:t>
      </w:r>
      <w:r>
        <w:t>案例及监管要求</w:t>
      </w:r>
    </w:p>
    <w:p w:rsidR="002E7C3C" w:rsidRDefault="00AA293B">
      <w:pPr>
        <w:pStyle w:val="FirstParagraph"/>
        <w:rPr>
          <w:lang w:eastAsia="zh-CN"/>
        </w:rPr>
      </w:pPr>
      <w:r>
        <w:rPr>
          <w:lang w:eastAsia="zh-CN"/>
        </w:rPr>
        <w:t>本法讯概述了香港证券及期货事务监察委员会（</w:t>
      </w:r>
      <w:r>
        <w:rPr>
          <w:b/>
          <w:lang w:eastAsia="zh-CN"/>
        </w:rPr>
        <w:t>证监会</w:t>
      </w:r>
      <w:r>
        <w:rPr>
          <w:lang w:eastAsia="zh-CN"/>
        </w:rPr>
        <w:t>）于</w:t>
      </w:r>
      <w:r>
        <w:rPr>
          <w:lang w:eastAsia="zh-CN"/>
        </w:rPr>
        <w:t>2026</w:t>
      </w:r>
      <w:r>
        <w:rPr>
          <w:lang w:eastAsia="zh-CN"/>
        </w:rPr>
        <w:t>年</w:t>
      </w:r>
      <w:r>
        <w:rPr>
          <w:lang w:eastAsia="zh-CN"/>
        </w:rPr>
        <w:t>1</w:t>
      </w:r>
      <w:r>
        <w:rPr>
          <w:lang w:eastAsia="zh-CN"/>
        </w:rPr>
        <w:t>月</w:t>
      </w:r>
      <w:r>
        <w:rPr>
          <w:lang w:eastAsia="zh-CN"/>
        </w:rPr>
        <w:t>30</w:t>
      </w:r>
      <w:r>
        <w:rPr>
          <w:lang w:eastAsia="zh-CN"/>
        </w:rPr>
        <w:t>日发布的《致持牌法团有关保荐人工作的通函》（</w:t>
      </w:r>
      <w:r>
        <w:rPr>
          <w:b/>
          <w:lang w:eastAsia="zh-CN"/>
        </w:rPr>
        <w:t>《证监会保荐人通函》</w:t>
      </w:r>
      <w:r>
        <w:rPr>
          <w:lang w:eastAsia="zh-CN"/>
        </w:rPr>
        <w:t>）的</w:t>
      </w:r>
      <w:hyperlink r:id="rId9">
        <w:r w:rsidRPr="00F8778B">
          <w:rPr>
            <w:color w:val="FF0000"/>
            <w:u w:val="single"/>
            <w:lang w:eastAsia="zh-CN"/>
          </w:rPr>
          <w:t>附录（</w:t>
        </w:r>
        <w:r w:rsidRPr="00F8778B">
          <w:rPr>
            <w:b/>
            <w:color w:val="FF0000"/>
            <w:u w:val="single"/>
            <w:lang w:eastAsia="zh-CN"/>
          </w:rPr>
          <w:t>《证监会保荐人通函附录》</w:t>
        </w:r>
        <w:r w:rsidRPr="00F8778B">
          <w:rPr>
            <w:color w:val="FF0000"/>
            <w:u w:val="single"/>
            <w:lang w:eastAsia="zh-CN"/>
          </w:rPr>
          <w:t>）</w:t>
        </w:r>
      </w:hyperlink>
      <w:r>
        <w:rPr>
          <w:lang w:eastAsia="zh-CN"/>
        </w:rPr>
        <w:t>。</w:t>
      </w:r>
      <w:hyperlink w:anchor="footnote-598-1">
        <w:r>
          <w:rPr>
            <w:vertAlign w:val="superscript"/>
            <w:lang w:eastAsia="zh-CN"/>
          </w:rPr>
          <w:t>1</w:t>
        </w:r>
      </w:hyperlink>
      <w:r>
        <w:rPr>
          <w:lang w:eastAsia="zh-CN"/>
        </w:rPr>
        <w:t xml:space="preserve"> </w:t>
      </w:r>
      <w:r>
        <w:rPr>
          <w:lang w:eastAsia="zh-CN"/>
        </w:rPr>
        <w:t>本法讯应与本所于</w:t>
      </w:r>
      <w:r>
        <w:rPr>
          <w:lang w:eastAsia="zh-CN"/>
        </w:rPr>
        <w:t>2026</w:t>
      </w:r>
      <w:r>
        <w:rPr>
          <w:lang w:eastAsia="zh-CN"/>
        </w:rPr>
        <w:t>年</w:t>
      </w:r>
      <w:r>
        <w:rPr>
          <w:lang w:eastAsia="zh-CN"/>
        </w:rPr>
        <w:t>1</w:t>
      </w:r>
      <w:r>
        <w:rPr>
          <w:lang w:eastAsia="zh-CN"/>
        </w:rPr>
        <w:t>月</w:t>
      </w:r>
      <w:r>
        <w:rPr>
          <w:lang w:eastAsia="zh-CN"/>
        </w:rPr>
        <w:t>31</w:t>
      </w:r>
      <w:r>
        <w:rPr>
          <w:lang w:eastAsia="zh-CN"/>
        </w:rPr>
        <w:t>日</w:t>
      </w:r>
      <w:r>
        <w:rPr>
          <w:lang w:eastAsia="zh-CN"/>
        </w:rPr>
        <w:t>发出的分析证监会保荐人通函正文内容的</w:t>
      </w:r>
      <w:hyperlink r:id="rId10">
        <w:r w:rsidRPr="00F8778B">
          <w:rPr>
            <w:color w:val="FF0000"/>
            <w:u w:val="single"/>
            <w:lang w:eastAsia="zh-CN"/>
          </w:rPr>
          <w:t>法讯</w:t>
        </w:r>
      </w:hyperlink>
      <w:r>
        <w:rPr>
          <w:lang w:eastAsia="zh-CN"/>
        </w:rPr>
        <w:t>一并阅读。</w:t>
      </w:r>
    </w:p>
    <w:p w:rsidR="002E7C3C" w:rsidRDefault="00AA293B">
      <w:pPr>
        <w:pStyle w:val="BodyText"/>
        <w:rPr>
          <w:lang w:eastAsia="zh-CN"/>
        </w:rPr>
      </w:pPr>
      <w:r>
        <w:rPr>
          <w:lang w:eastAsia="zh-CN"/>
        </w:rPr>
        <w:t>《证监会保荐人通函附录》载列了证券及期货事务监察委员会（</w:t>
      </w:r>
      <w:r>
        <w:rPr>
          <w:lang w:eastAsia="zh-CN"/>
        </w:rPr>
        <w:t>“</w:t>
      </w:r>
      <w:r>
        <w:rPr>
          <w:b/>
          <w:lang w:eastAsia="zh-CN"/>
        </w:rPr>
        <w:t>证监会</w:t>
      </w:r>
      <w:r>
        <w:rPr>
          <w:b/>
          <w:lang w:eastAsia="zh-CN"/>
        </w:rPr>
        <w:t>”</w:t>
      </w:r>
      <w:r>
        <w:rPr>
          <w:lang w:eastAsia="zh-CN"/>
        </w:rPr>
        <w:t>）及香港联合交易所有限公司（</w:t>
      </w:r>
      <w:r>
        <w:rPr>
          <w:b/>
          <w:lang w:eastAsia="zh-CN"/>
        </w:rPr>
        <w:t>“</w:t>
      </w:r>
      <w:r>
        <w:rPr>
          <w:b/>
          <w:lang w:eastAsia="zh-CN"/>
        </w:rPr>
        <w:t>联交所</w:t>
      </w:r>
      <w:r>
        <w:rPr>
          <w:b/>
          <w:lang w:eastAsia="zh-CN"/>
        </w:rPr>
        <w:t>”</w:t>
      </w:r>
      <w:r>
        <w:rPr>
          <w:lang w:eastAsia="zh-CN"/>
        </w:rPr>
        <w:t>）发现的特定具体个案，以及可能违反相关监管规定的行为。该附录阐明了证</w:t>
      </w:r>
      <w:r>
        <w:rPr>
          <w:lang w:eastAsia="zh-CN"/>
        </w:rPr>
        <w:t>监会对在香港从事保荐工作的持牌法团（</w:t>
      </w:r>
      <w:r>
        <w:rPr>
          <w:b/>
          <w:lang w:eastAsia="zh-CN"/>
        </w:rPr>
        <w:t>“</w:t>
      </w:r>
      <w:r>
        <w:rPr>
          <w:b/>
          <w:lang w:eastAsia="zh-CN"/>
        </w:rPr>
        <w:t>香港保荐人</w:t>
      </w:r>
      <w:r>
        <w:rPr>
          <w:b/>
          <w:lang w:eastAsia="zh-CN"/>
        </w:rPr>
        <w:t>”</w:t>
      </w:r>
      <w:r>
        <w:rPr>
          <w:lang w:eastAsia="zh-CN"/>
        </w:rPr>
        <w:t>）履职行为的监管要求，并明确了保荐人未达要求时可能涉及的监管条款。</w:t>
      </w:r>
    </w:p>
    <w:p w:rsidR="002E7C3C" w:rsidRDefault="00AA293B">
      <w:pPr>
        <w:pStyle w:val="BodyText"/>
        <w:rPr>
          <w:lang w:eastAsia="zh-CN"/>
        </w:rPr>
      </w:pPr>
      <w:r>
        <w:rPr>
          <w:lang w:eastAsia="zh-CN"/>
        </w:rPr>
        <w:t>《证监会保荐人通函附录》聚焦五大核心问题，与《证监会保荐人通函》正文指出的问题一一对应：</w:t>
      </w:r>
    </w:p>
    <w:p w:rsidR="002E7C3C" w:rsidRDefault="00AA293B">
      <w:pPr>
        <w:pStyle w:val="Compact"/>
        <w:numPr>
          <w:ilvl w:val="0"/>
          <w:numId w:val="3"/>
        </w:numPr>
        <w:rPr>
          <w:lang w:eastAsia="zh-CN"/>
        </w:rPr>
      </w:pPr>
      <w:r>
        <w:rPr>
          <w:lang w:eastAsia="zh-CN"/>
        </w:rPr>
        <w:t>上市文件草拟、监管意见回复存在严重缺陷，且发售阶段未能履行关键监管流程；</w:t>
      </w:r>
    </w:p>
    <w:p w:rsidR="002E7C3C" w:rsidRDefault="00AA293B">
      <w:pPr>
        <w:pStyle w:val="Compact"/>
        <w:numPr>
          <w:ilvl w:val="0"/>
          <w:numId w:val="3"/>
        </w:numPr>
        <w:rPr>
          <w:lang w:eastAsia="zh-CN"/>
        </w:rPr>
      </w:pPr>
      <w:r>
        <w:rPr>
          <w:lang w:eastAsia="zh-CN"/>
        </w:rPr>
        <w:t>过度依赖专家及第三方，且未充分评估其胜任能力与资源配备；</w:t>
      </w:r>
    </w:p>
    <w:p w:rsidR="002E7C3C" w:rsidRDefault="00AA293B">
      <w:pPr>
        <w:pStyle w:val="Compact"/>
        <w:numPr>
          <w:ilvl w:val="0"/>
          <w:numId w:val="3"/>
        </w:numPr>
        <w:rPr>
          <w:lang w:eastAsia="zh-CN"/>
        </w:rPr>
      </w:pPr>
      <w:r>
        <w:rPr>
          <w:lang w:eastAsia="zh-CN"/>
        </w:rPr>
        <w:t>主要人员</w:t>
      </w:r>
      <w:hyperlink w:anchor="footnote-598-2">
        <w:r>
          <w:rPr>
            <w:vertAlign w:val="superscript"/>
            <w:lang w:eastAsia="zh-CN"/>
          </w:rPr>
          <w:t>2</w:t>
        </w:r>
      </w:hyperlink>
      <w:r>
        <w:rPr>
          <w:lang w:eastAsia="zh-CN"/>
        </w:rPr>
        <w:t xml:space="preserve"> </w:t>
      </w:r>
      <w:r>
        <w:rPr>
          <w:lang w:eastAsia="zh-CN"/>
        </w:rPr>
        <w:t>监督交易小组</w:t>
      </w:r>
      <w:hyperlink w:anchor="footnote-598-3">
        <w:r>
          <w:rPr>
            <w:vertAlign w:val="superscript"/>
            <w:lang w:eastAsia="zh-CN"/>
          </w:rPr>
          <w:t>3</w:t>
        </w:r>
      </w:hyperlink>
      <w:r>
        <w:rPr>
          <w:lang w:eastAsia="zh-CN"/>
        </w:rPr>
        <w:t xml:space="preserve"> </w:t>
      </w:r>
      <w:r>
        <w:rPr>
          <w:lang w:eastAsia="zh-CN"/>
        </w:rPr>
        <w:t>及参与上市项目的履职能力不足；</w:t>
      </w:r>
    </w:p>
    <w:p w:rsidR="002E7C3C" w:rsidRDefault="00AA293B">
      <w:pPr>
        <w:pStyle w:val="Compact"/>
        <w:numPr>
          <w:ilvl w:val="0"/>
          <w:numId w:val="3"/>
        </w:numPr>
        <w:rPr>
          <w:lang w:eastAsia="zh-CN"/>
        </w:rPr>
      </w:pPr>
      <w:r>
        <w:rPr>
          <w:lang w:eastAsia="zh-CN"/>
        </w:rPr>
        <w:t>试图委任不合资格人士担任主要人员；以及</w:t>
      </w:r>
    </w:p>
    <w:p w:rsidR="002E7C3C" w:rsidRDefault="00AA293B">
      <w:pPr>
        <w:pStyle w:val="Compact"/>
        <w:numPr>
          <w:ilvl w:val="0"/>
          <w:numId w:val="3"/>
        </w:numPr>
        <w:rPr>
          <w:lang w:eastAsia="zh-CN"/>
        </w:rPr>
      </w:pPr>
      <w:r>
        <w:rPr>
          <w:lang w:eastAsia="zh-CN"/>
        </w:rPr>
        <w:t>具备相应知识、技能及经验的从业人员数量不足。</w:t>
      </w:r>
    </w:p>
    <w:p w:rsidR="002E7C3C" w:rsidRDefault="00AA293B">
      <w:pPr>
        <w:pStyle w:val="Heading2"/>
        <w:rPr>
          <w:lang w:eastAsia="zh-CN"/>
        </w:rPr>
      </w:pPr>
      <w:bookmarkStart w:id="0" w:name="一上市文件及监管意见回复存在缺陷"/>
      <w:r>
        <w:rPr>
          <w:lang w:eastAsia="zh-CN"/>
        </w:rPr>
        <w:t>一、上市文件及监管意见回复存在缺陷</w:t>
      </w:r>
      <w:bookmarkEnd w:id="0"/>
    </w:p>
    <w:p w:rsidR="002E7C3C" w:rsidRDefault="00AA293B">
      <w:pPr>
        <w:pStyle w:val="FirstParagraph"/>
        <w:rPr>
          <w:lang w:eastAsia="zh-CN"/>
        </w:rPr>
      </w:pPr>
      <w:r>
        <w:rPr>
          <w:lang w:eastAsia="zh-CN"/>
        </w:rPr>
        <w:t>《证监会保荐人通函》附录的首个且篇幅最长的部分，阐述了上市文件草拟本、回复监管意见环节存在的严重问题，以及发售阶段未能遵守关键监管流程与程序的情况。该部分分为三个子章节。</w:t>
      </w:r>
    </w:p>
    <w:p w:rsidR="002E7C3C" w:rsidRPr="00205AC1" w:rsidRDefault="00AA293B">
      <w:pPr>
        <w:pStyle w:val="Heading3"/>
        <w:rPr>
          <w:color w:val="auto"/>
          <w:lang w:eastAsia="zh-CN"/>
        </w:rPr>
      </w:pPr>
      <w:bookmarkStart w:id="1" w:name="a.-上市文件草拟本质量欠佳"/>
      <w:r w:rsidRPr="00205AC1">
        <w:rPr>
          <w:color w:val="auto"/>
          <w:lang w:eastAsia="zh-CN"/>
        </w:rPr>
        <w:t xml:space="preserve">A. </w:t>
      </w:r>
      <w:r w:rsidRPr="00205AC1">
        <w:rPr>
          <w:color w:val="auto"/>
          <w:lang w:eastAsia="zh-CN"/>
        </w:rPr>
        <w:t>上市文件草拟本质量欠佳</w:t>
      </w:r>
      <w:bookmarkEnd w:id="1"/>
    </w:p>
    <w:p w:rsidR="002E7C3C" w:rsidRDefault="00AA293B">
      <w:pPr>
        <w:pStyle w:val="FirstParagraph"/>
        <w:rPr>
          <w:lang w:eastAsia="zh-CN"/>
        </w:rPr>
      </w:pPr>
      <w:r>
        <w:rPr>
          <w:lang w:eastAsia="zh-CN"/>
        </w:rPr>
        <w:t>《证监会保荐人通函附录》强调，根据《操守准则》第</w:t>
      </w:r>
      <w:r w:rsidR="00F8778B">
        <w:rPr>
          <w:lang w:eastAsia="zh-CN"/>
        </w:rPr>
        <w:t>17.1(b)</w:t>
      </w:r>
      <w:r>
        <w:rPr>
          <w:lang w:eastAsia="zh-CN"/>
        </w:rPr>
        <w:t>条，</w:t>
      </w:r>
      <w:hyperlink w:anchor="footnote-598-4">
        <w:r>
          <w:rPr>
            <w:vertAlign w:val="superscript"/>
            <w:lang w:eastAsia="zh-CN"/>
          </w:rPr>
          <w:t>4</w:t>
        </w:r>
      </w:hyperlink>
      <w:r>
        <w:rPr>
          <w:lang w:eastAsia="zh-CN"/>
        </w:rPr>
        <w:t>香</w:t>
      </w:r>
      <w:r>
        <w:rPr>
          <w:lang w:eastAsia="zh-CN"/>
        </w:rPr>
        <w:t>港保荐人的核心职责是向监管机构保证，上市文件所载详情及资料足够充分，能让投资者对拟在联交所上市的申请人的股份、财务状况及盈利能力，形成有依据且合理的判断。然而，证监会发现，上市文件草拟质量低下、审阅把关不严的情况正日益普遍。</w:t>
      </w:r>
    </w:p>
    <w:p w:rsidR="002E7C3C" w:rsidRDefault="00AA293B">
      <w:pPr>
        <w:pStyle w:val="BodyText"/>
        <w:rPr>
          <w:lang w:eastAsia="zh-CN"/>
        </w:rPr>
      </w:pPr>
      <w:r>
        <w:rPr>
          <w:lang w:eastAsia="zh-CN"/>
        </w:rPr>
        <w:t>证监会明确指出草拟上市文件时反复出现的几类问题：</w:t>
      </w:r>
    </w:p>
    <w:p w:rsidR="002E7C3C" w:rsidRDefault="00AA293B">
      <w:pPr>
        <w:pStyle w:val="Compact"/>
        <w:numPr>
          <w:ilvl w:val="0"/>
          <w:numId w:val="4"/>
        </w:numPr>
        <w:rPr>
          <w:lang w:eastAsia="zh-CN"/>
        </w:rPr>
      </w:pPr>
      <w:r>
        <w:rPr>
          <w:lang w:eastAsia="zh-CN"/>
        </w:rPr>
        <w:t>业务模式描述模糊或晦涩难懂；</w:t>
      </w:r>
    </w:p>
    <w:p w:rsidR="002E7C3C" w:rsidRDefault="00AA293B">
      <w:pPr>
        <w:pStyle w:val="Compact"/>
        <w:numPr>
          <w:ilvl w:val="0"/>
          <w:numId w:val="4"/>
        </w:numPr>
        <w:rPr>
          <w:lang w:eastAsia="zh-CN"/>
        </w:rPr>
      </w:pPr>
      <w:r>
        <w:rPr>
          <w:lang w:eastAsia="zh-CN"/>
        </w:rPr>
        <w:t>过度使用营销或宣传性质用语；</w:t>
      </w:r>
    </w:p>
    <w:p w:rsidR="002E7C3C" w:rsidRDefault="00AA293B">
      <w:pPr>
        <w:pStyle w:val="Compact"/>
        <w:numPr>
          <w:ilvl w:val="0"/>
          <w:numId w:val="4"/>
        </w:numPr>
        <w:rPr>
          <w:lang w:eastAsia="zh-CN"/>
        </w:rPr>
      </w:pPr>
      <w:r>
        <w:rPr>
          <w:lang w:eastAsia="zh-CN"/>
        </w:rPr>
        <w:t>选择性披露行业数据，夸大上市申请人的市场地位；以及</w:t>
      </w:r>
    </w:p>
    <w:p w:rsidR="002E7C3C" w:rsidRDefault="00AA293B">
      <w:pPr>
        <w:pStyle w:val="Compact"/>
        <w:numPr>
          <w:ilvl w:val="0"/>
          <w:numId w:val="4"/>
        </w:numPr>
        <w:rPr>
          <w:lang w:eastAsia="zh-CN"/>
        </w:rPr>
      </w:pPr>
      <w:r>
        <w:rPr>
          <w:lang w:eastAsia="zh-CN"/>
        </w:rPr>
        <w:t>未充分披露及分析上市申请人符合上市资格及适宜上市的依据。</w:t>
      </w:r>
    </w:p>
    <w:p w:rsidR="002E7C3C" w:rsidRDefault="00AA293B">
      <w:pPr>
        <w:pStyle w:val="FirstParagraph"/>
      </w:pPr>
      <w:r>
        <w:rPr>
          <w:b/>
          <w:i/>
        </w:rPr>
        <w:t>案例：信息披露存在不足</w:t>
      </w:r>
    </w:p>
    <w:tbl>
      <w:tblPr>
        <w:tblStyle w:val="TableGridLight"/>
        <w:tblW w:w="5000" w:type="pct"/>
        <w:tblLook w:val="07C0" w:firstRow="0" w:lastRow="1" w:firstColumn="1" w:lastColumn="1" w:noHBand="1" w:noVBand="1"/>
      </w:tblPr>
      <w:tblGrid>
        <w:gridCol w:w="10394"/>
      </w:tblGrid>
      <w:tr w:rsidR="002E7C3C" w:rsidTr="00F8778B">
        <w:tc>
          <w:tcPr>
            <w:tcW w:w="0" w:type="auto"/>
            <w:shd w:val="clear" w:color="auto" w:fill="F2F2F2" w:themeFill="background1" w:themeFillShade="F2"/>
          </w:tcPr>
          <w:p w:rsidR="002E7C3C" w:rsidRDefault="00AA293B">
            <w:pPr>
              <w:rPr>
                <w:lang w:eastAsia="zh-CN"/>
              </w:rPr>
            </w:pPr>
            <w:r>
              <w:rPr>
                <w:rFonts w:ascii="SimSun" w:eastAsia="SimSun" w:hAnsi="SimSun" w:cs="SimSun" w:hint="eastAsia"/>
                <w:b/>
                <w:lang w:eastAsia="zh-CN"/>
              </w:rPr>
              <w:t>案例</w:t>
            </w:r>
            <w:r>
              <w:rPr>
                <w:b/>
                <w:lang w:eastAsia="zh-CN"/>
              </w:rPr>
              <w:t xml:space="preserve"> A</w:t>
            </w:r>
            <w:r>
              <w:rPr>
                <w:rFonts w:ascii="SimSun" w:eastAsia="SimSun" w:hAnsi="SimSun" w:cs="SimSun" w:hint="eastAsia"/>
                <w:b/>
                <w:lang w:eastAsia="zh-CN"/>
              </w:rPr>
              <w:t>：定性与定量资料不充分</w:t>
            </w:r>
          </w:p>
          <w:p w:rsidR="002E7C3C" w:rsidRDefault="00AA293B">
            <w:pPr>
              <w:rPr>
                <w:lang w:eastAsia="zh-CN"/>
              </w:rPr>
            </w:pPr>
            <w:r>
              <w:rPr>
                <w:rFonts w:ascii="SimSun" w:eastAsia="SimSun" w:hAnsi="SimSun" w:cs="SimSun" w:hint="eastAsia"/>
                <w:lang w:eastAsia="zh-CN"/>
              </w:rPr>
              <w:t>某上市文件</w:t>
            </w:r>
            <w:r>
              <w:rPr>
                <w:rFonts w:ascii="SimSun" w:eastAsia="SimSun" w:hAnsi="SimSun" w:cs="SimSun" w:hint="eastAsia"/>
                <w:lang w:eastAsia="zh-CN"/>
              </w:rPr>
              <w:t>草拟本缺乏充足的定性和定量资料，未能充分解释、说明或佐证：</w:t>
            </w:r>
            <w:r>
              <w:rPr>
                <w:lang w:eastAsia="zh-CN"/>
              </w:rPr>
              <w:t xml:space="preserve">(a) </w:t>
            </w:r>
            <w:r>
              <w:rPr>
                <w:rFonts w:ascii="SimSun" w:eastAsia="SimSun" w:hAnsi="SimSun" w:cs="SimSun" w:hint="eastAsia"/>
                <w:lang w:eastAsia="zh-CN"/>
              </w:rPr>
              <w:t>财务表现的大幅波动；</w:t>
            </w:r>
            <w:r>
              <w:rPr>
                <w:lang w:eastAsia="zh-CN"/>
              </w:rPr>
              <w:t xml:space="preserve">(b) </w:t>
            </w:r>
            <w:r>
              <w:rPr>
                <w:rFonts w:ascii="SimSun" w:eastAsia="SimSun" w:hAnsi="SimSun" w:cs="SimSun" w:hint="eastAsia"/>
                <w:lang w:eastAsia="zh-CN"/>
              </w:rPr>
              <w:t>过往违规记录；</w:t>
            </w:r>
            <w:r>
              <w:rPr>
                <w:lang w:eastAsia="zh-CN"/>
              </w:rPr>
              <w:t xml:space="preserve">(c) </w:t>
            </w:r>
            <w:r>
              <w:rPr>
                <w:rFonts w:ascii="SimSun" w:eastAsia="SimSun" w:hAnsi="SimSun" w:cs="SimSun" w:hint="eastAsia"/>
                <w:lang w:eastAsia="zh-CN"/>
              </w:rPr>
              <w:t>法律程序；</w:t>
            </w:r>
            <w:r>
              <w:rPr>
                <w:lang w:eastAsia="zh-CN"/>
              </w:rPr>
              <w:t xml:space="preserve">(d) </w:t>
            </w:r>
            <w:r>
              <w:rPr>
                <w:rFonts w:ascii="SimSun" w:eastAsia="SimSun" w:hAnsi="SimSun" w:cs="SimSun" w:hint="eastAsia"/>
                <w:lang w:eastAsia="zh-CN"/>
              </w:rPr>
              <w:t>制裁相关风险；及</w:t>
            </w:r>
            <w:r>
              <w:rPr>
                <w:lang w:eastAsia="zh-CN"/>
              </w:rPr>
              <w:t xml:space="preserve"> / </w:t>
            </w:r>
            <w:r>
              <w:rPr>
                <w:rFonts w:ascii="SimSun" w:eastAsia="SimSun" w:hAnsi="SimSun" w:cs="SimSun" w:hint="eastAsia"/>
                <w:lang w:eastAsia="zh-CN"/>
              </w:rPr>
              <w:t>或</w:t>
            </w:r>
            <w:r>
              <w:rPr>
                <w:lang w:eastAsia="zh-CN"/>
              </w:rPr>
              <w:t xml:space="preserve"> (e) </w:t>
            </w:r>
            <w:r>
              <w:rPr>
                <w:rFonts w:ascii="SimSun" w:eastAsia="SimSun" w:hAnsi="SimSun" w:cs="SimSun" w:hint="eastAsia"/>
                <w:lang w:eastAsia="zh-CN"/>
              </w:rPr>
              <w:t>竞争形势</w:t>
            </w:r>
            <w:r>
              <w:rPr>
                <w:lang w:eastAsia="zh-CN"/>
              </w:rPr>
              <w:t xml:space="preserve"> / </w:t>
            </w:r>
            <w:r>
              <w:rPr>
                <w:rFonts w:ascii="SimSun" w:eastAsia="SimSun" w:hAnsi="SimSun" w:cs="SimSun" w:hint="eastAsia"/>
                <w:lang w:eastAsia="zh-CN"/>
              </w:rPr>
              <w:t>市场份额。</w:t>
            </w:r>
            <w:r>
              <w:rPr>
                <w:rFonts w:ascii="SimSun" w:eastAsia="SimSun" w:hAnsi="SimSun" w:cs="SimSun" w:hint="eastAsia"/>
                <w:lang w:eastAsia="zh-CN"/>
              </w:rPr>
              <w:lastRenderedPageBreak/>
              <w:t>上述缺失影响了投资者对联交所上市申请人业务状况及对上市事宜的影响。</w:t>
            </w:r>
          </w:p>
        </w:tc>
      </w:tr>
    </w:tbl>
    <w:p w:rsidR="002E7C3C" w:rsidRDefault="002E7C3C">
      <w:pPr>
        <w:pStyle w:val="BodyText"/>
        <w:rPr>
          <w:lang w:eastAsia="zh-CN"/>
        </w:rPr>
      </w:pPr>
    </w:p>
    <w:tbl>
      <w:tblPr>
        <w:tblStyle w:val="TableGridLight"/>
        <w:tblW w:w="5000" w:type="pct"/>
        <w:tblLook w:val="07C0" w:firstRow="0" w:lastRow="1" w:firstColumn="1" w:lastColumn="1" w:noHBand="1" w:noVBand="1"/>
      </w:tblPr>
      <w:tblGrid>
        <w:gridCol w:w="10394"/>
      </w:tblGrid>
      <w:tr w:rsidR="002E7C3C" w:rsidTr="00F8778B">
        <w:tc>
          <w:tcPr>
            <w:tcW w:w="0" w:type="auto"/>
            <w:shd w:val="clear" w:color="auto" w:fill="F2F2F2" w:themeFill="background1" w:themeFillShade="F2"/>
          </w:tcPr>
          <w:p w:rsidR="002E7C3C" w:rsidRDefault="00AA293B">
            <w:pPr>
              <w:rPr>
                <w:lang w:eastAsia="zh-CN"/>
              </w:rPr>
            </w:pPr>
            <w:r>
              <w:rPr>
                <w:rFonts w:ascii="SimSun" w:eastAsia="SimSun" w:hAnsi="SimSun" w:cs="SimSun" w:hint="eastAsia"/>
                <w:b/>
                <w:lang w:eastAsia="zh-CN"/>
              </w:rPr>
              <w:t>案例</w:t>
            </w:r>
            <w:r>
              <w:rPr>
                <w:b/>
                <w:lang w:eastAsia="zh-CN"/>
              </w:rPr>
              <w:t xml:space="preserve"> B</w:t>
            </w:r>
            <w:r>
              <w:rPr>
                <w:rFonts w:ascii="SimSun" w:eastAsia="SimSun" w:hAnsi="SimSun" w:cs="SimSun" w:hint="eastAsia"/>
                <w:b/>
                <w:lang w:eastAsia="zh-CN"/>
              </w:rPr>
              <w:t>：未披露贿赂事件</w:t>
            </w:r>
          </w:p>
          <w:p w:rsidR="002E7C3C" w:rsidRDefault="00AA293B">
            <w:pPr>
              <w:rPr>
                <w:lang w:eastAsia="zh-CN"/>
              </w:rPr>
            </w:pPr>
            <w:r>
              <w:rPr>
                <w:rFonts w:ascii="SimSun" w:eastAsia="SimSun" w:hAnsi="SimSun" w:cs="SimSun" w:hint="eastAsia"/>
                <w:lang w:eastAsia="zh-CN"/>
              </w:rPr>
              <w:t>某上市文件草拟本未披露一项上市申请人董事（同时为控股股东）牵涉的贿赂事件，也未就该事件会如何影响申请人的上市合适性或该董事胜任能力和诚信度，提供任何分析或保荐人尽职调查调查结果。</w:t>
            </w:r>
          </w:p>
        </w:tc>
      </w:tr>
    </w:tbl>
    <w:p w:rsidR="002E7C3C" w:rsidRDefault="002E7C3C">
      <w:pPr>
        <w:pStyle w:val="BodyText"/>
        <w:rPr>
          <w:lang w:eastAsia="zh-CN"/>
        </w:rPr>
      </w:pPr>
    </w:p>
    <w:tbl>
      <w:tblPr>
        <w:tblStyle w:val="TableGridLight"/>
        <w:tblW w:w="5000" w:type="pct"/>
        <w:tblLook w:val="07C0" w:firstRow="0" w:lastRow="1" w:firstColumn="1" w:lastColumn="1" w:noHBand="1" w:noVBand="1"/>
      </w:tblPr>
      <w:tblGrid>
        <w:gridCol w:w="10394"/>
      </w:tblGrid>
      <w:tr w:rsidR="002E7C3C" w:rsidTr="00F8778B">
        <w:tc>
          <w:tcPr>
            <w:tcW w:w="0" w:type="auto"/>
            <w:shd w:val="clear" w:color="auto" w:fill="F2F2F2" w:themeFill="background1" w:themeFillShade="F2"/>
          </w:tcPr>
          <w:p w:rsidR="002E7C3C" w:rsidRDefault="00AA293B">
            <w:pPr>
              <w:rPr>
                <w:lang w:eastAsia="zh-CN"/>
              </w:rPr>
            </w:pPr>
            <w:r>
              <w:rPr>
                <w:rFonts w:ascii="SimSun" w:eastAsia="SimSun" w:hAnsi="SimSun" w:cs="SimSun" w:hint="eastAsia"/>
                <w:b/>
                <w:lang w:eastAsia="zh-CN"/>
              </w:rPr>
              <w:t>案例</w:t>
            </w:r>
            <w:r>
              <w:rPr>
                <w:b/>
                <w:lang w:eastAsia="zh-CN"/>
              </w:rPr>
              <w:t xml:space="preserve"> C</w:t>
            </w:r>
            <w:r>
              <w:rPr>
                <w:rFonts w:ascii="SimSun" w:eastAsia="SimSun" w:hAnsi="SimSun" w:cs="SimSun" w:hint="eastAsia"/>
                <w:b/>
                <w:lang w:eastAsia="zh-CN"/>
              </w:rPr>
              <w:t>：生物科技及特专科技公司相关案例</w:t>
            </w:r>
          </w:p>
          <w:p w:rsidR="002E7C3C" w:rsidRDefault="00AA293B">
            <w:pPr>
              <w:rPr>
                <w:lang w:eastAsia="zh-CN"/>
              </w:rPr>
            </w:pPr>
            <w:r>
              <w:rPr>
                <w:rFonts w:ascii="SimSun" w:eastAsia="SimSun" w:hAnsi="SimSun" w:cs="SimSun" w:hint="eastAsia"/>
                <w:lang w:eastAsia="zh-CN"/>
              </w:rPr>
              <w:t>在多宗生物科技及特专科技公司相关的上市申请中，上市文件草拟本未充分披露相关申请人符合上市资格规定的依据。因此，监管机构要求相关保荐人提交补充资料，以证明申请人的核心产品</w:t>
            </w:r>
            <w:hyperlink w:anchor="footnote-598-5">
              <w:r>
                <w:rPr>
                  <w:vertAlign w:val="superscript"/>
                  <w:lang w:eastAsia="zh-CN"/>
                </w:rPr>
                <w:t>5</w:t>
              </w:r>
            </w:hyperlink>
            <w:r>
              <w:rPr>
                <w:rFonts w:ascii="SimSun" w:eastAsia="SimSun" w:hAnsi="SimSun" w:cs="SimSun" w:hint="eastAsia"/>
                <w:lang w:eastAsia="zh-CN"/>
              </w:rPr>
              <w:t>的开发已超越概念阶段、申请人是否持有相关专利及专利权，以及申请人如何达到联交所《</w:t>
            </w:r>
            <w:r>
              <w:rPr>
                <w:rFonts w:ascii="SimSun" w:eastAsia="SimSun" w:hAnsi="SimSun" w:cs="SimSun" w:hint="eastAsia"/>
                <w:b/>
                <w:lang w:eastAsia="zh-CN"/>
              </w:rPr>
              <w:t>上市规则</w:t>
            </w:r>
            <w:r>
              <w:rPr>
                <w:rFonts w:ascii="SimSun" w:eastAsia="SimSun" w:hAnsi="SimSun" w:cs="SimSun" w:hint="eastAsia"/>
                <w:lang w:eastAsia="zh-CN"/>
              </w:rPr>
              <w:t>》（主板）第</w:t>
            </w:r>
            <w:r>
              <w:rPr>
                <w:lang w:eastAsia="zh-CN"/>
              </w:rPr>
              <w:t>18C</w:t>
            </w:r>
            <w:r>
              <w:rPr>
                <w:rFonts w:ascii="SimSun" w:eastAsia="SimSun" w:hAnsi="SimSun" w:cs="SimSun" w:hint="eastAsia"/>
                <w:lang w:eastAsia="zh-CN"/>
              </w:rPr>
              <w:t>章项下适用于商业化公司的营收门槛，同时满足领航资深独立投资者</w:t>
            </w:r>
            <w:hyperlink w:anchor="footnote-598-6">
              <w:r>
                <w:rPr>
                  <w:vertAlign w:val="superscript"/>
                  <w:lang w:eastAsia="zh-CN"/>
                </w:rPr>
                <w:t>6</w:t>
              </w:r>
            </w:hyperlink>
            <w:r>
              <w:rPr>
                <w:rFonts w:ascii="SimSun" w:eastAsia="SimSun" w:hAnsi="SimSun" w:cs="SimSun" w:hint="eastAsia"/>
                <w:lang w:eastAsia="zh-CN"/>
              </w:rPr>
              <w:t>的资质要求。</w:t>
            </w:r>
          </w:p>
        </w:tc>
      </w:tr>
    </w:tbl>
    <w:p w:rsidR="002E7C3C" w:rsidRDefault="00AA293B">
      <w:pPr>
        <w:pStyle w:val="BodyText"/>
        <w:rPr>
          <w:lang w:eastAsia="zh-CN"/>
        </w:rPr>
      </w:pPr>
      <w:r>
        <w:rPr>
          <w:b/>
          <w:i/>
          <w:lang w:eastAsia="zh-CN"/>
        </w:rPr>
        <w:t>相关监管条款</w:t>
      </w:r>
    </w:p>
    <w:p w:rsidR="002E7C3C" w:rsidRDefault="00AA293B">
      <w:pPr>
        <w:pStyle w:val="BodyText"/>
        <w:rPr>
          <w:lang w:eastAsia="zh-CN"/>
        </w:rPr>
      </w:pPr>
      <w:r>
        <w:rPr>
          <w:lang w:eastAsia="zh-CN"/>
        </w:rPr>
        <w:t>上述案例中的不达标披露行为显示，可能违反《操守准则》的以下条款：</w:t>
      </w:r>
    </w:p>
    <w:p w:rsidR="002E7C3C" w:rsidRDefault="00AA293B">
      <w:pPr>
        <w:pStyle w:val="Compact"/>
        <w:numPr>
          <w:ilvl w:val="0"/>
          <w:numId w:val="5"/>
        </w:numPr>
        <w:rPr>
          <w:lang w:eastAsia="zh-CN"/>
        </w:rPr>
      </w:pPr>
      <w:r>
        <w:rPr>
          <w:b/>
          <w:lang w:eastAsia="zh-CN"/>
        </w:rPr>
        <w:t>第</w:t>
      </w:r>
      <w:r>
        <w:rPr>
          <w:b/>
          <w:lang w:eastAsia="zh-CN"/>
        </w:rPr>
        <w:t>17.1(b)</w:t>
      </w:r>
      <w:r>
        <w:rPr>
          <w:b/>
          <w:lang w:eastAsia="zh-CN"/>
        </w:rPr>
        <w:t>条</w:t>
      </w:r>
      <w:r>
        <w:rPr>
          <w:lang w:eastAsia="zh-CN"/>
        </w:rPr>
        <w:t>：向监管机构保证上市文件所载详情及资料足够充分，能让投资者形成有依据且合理的判断。</w:t>
      </w:r>
    </w:p>
    <w:p w:rsidR="002E7C3C" w:rsidRDefault="00AA293B">
      <w:pPr>
        <w:pStyle w:val="Compact"/>
        <w:numPr>
          <w:ilvl w:val="0"/>
          <w:numId w:val="5"/>
        </w:numPr>
        <w:rPr>
          <w:lang w:eastAsia="zh-CN"/>
        </w:rPr>
      </w:pPr>
      <w:r>
        <w:rPr>
          <w:b/>
          <w:lang w:eastAsia="zh-CN"/>
        </w:rPr>
        <w:t>第</w:t>
      </w:r>
      <w:r>
        <w:rPr>
          <w:b/>
          <w:lang w:eastAsia="zh-CN"/>
        </w:rPr>
        <w:t>17.2(b)</w:t>
      </w:r>
      <w:r>
        <w:rPr>
          <w:b/>
          <w:lang w:eastAsia="zh-CN"/>
        </w:rPr>
        <w:t>条</w:t>
      </w:r>
      <w:r>
        <w:rPr>
          <w:lang w:eastAsia="zh-CN"/>
        </w:rPr>
        <w:t>：在提交上市申请前，对联交所上市申请人开展所有合理的尽职调查调查。</w:t>
      </w:r>
    </w:p>
    <w:p w:rsidR="002E7C3C" w:rsidRDefault="00AA293B">
      <w:pPr>
        <w:pStyle w:val="Compact"/>
        <w:numPr>
          <w:ilvl w:val="0"/>
          <w:numId w:val="5"/>
        </w:numPr>
        <w:rPr>
          <w:lang w:eastAsia="zh-CN"/>
        </w:rPr>
      </w:pPr>
      <w:r>
        <w:rPr>
          <w:b/>
          <w:lang w:eastAsia="zh-CN"/>
        </w:rPr>
        <w:t>第</w:t>
      </w:r>
      <w:r>
        <w:rPr>
          <w:b/>
          <w:lang w:eastAsia="zh-CN"/>
        </w:rPr>
        <w:t>17.4(a)</w:t>
      </w:r>
      <w:r>
        <w:rPr>
          <w:b/>
          <w:lang w:eastAsia="zh-CN"/>
        </w:rPr>
        <w:t>及</w:t>
      </w:r>
      <w:r>
        <w:rPr>
          <w:b/>
          <w:lang w:eastAsia="zh-CN"/>
        </w:rPr>
        <w:t>(b)</w:t>
      </w:r>
      <w:r>
        <w:rPr>
          <w:b/>
          <w:lang w:eastAsia="zh-CN"/>
        </w:rPr>
        <w:t>条</w:t>
      </w:r>
      <w:r>
        <w:rPr>
          <w:lang w:eastAsia="zh-CN"/>
        </w:rPr>
        <w:t>：确保尽职调查调查过程中获取的所有重大资料，均已载入内容应大致完备的上市申请版本文件。</w:t>
      </w:r>
    </w:p>
    <w:p w:rsidR="002E7C3C" w:rsidRDefault="00AA293B">
      <w:pPr>
        <w:pStyle w:val="Compact"/>
        <w:numPr>
          <w:ilvl w:val="0"/>
          <w:numId w:val="5"/>
        </w:numPr>
        <w:rPr>
          <w:lang w:eastAsia="zh-CN"/>
        </w:rPr>
      </w:pPr>
      <w:r>
        <w:rPr>
          <w:b/>
          <w:lang w:eastAsia="zh-CN"/>
        </w:rPr>
        <w:t>第</w:t>
      </w:r>
      <w:r>
        <w:rPr>
          <w:b/>
          <w:lang w:eastAsia="zh-CN"/>
        </w:rPr>
        <w:t>17.6(d)</w:t>
      </w:r>
      <w:r>
        <w:rPr>
          <w:b/>
          <w:lang w:eastAsia="zh-CN"/>
        </w:rPr>
        <w:t>条</w:t>
      </w:r>
      <w:r>
        <w:rPr>
          <w:lang w:eastAsia="zh-CN"/>
        </w:rPr>
        <w:t>：香港保荐人在拟备上市文件期间的职责，包括深入了解联交所上市申请人、充分掌握联交</w:t>
      </w:r>
      <w:r>
        <w:rPr>
          <w:lang w:eastAsia="zh-CN"/>
        </w:rPr>
        <w:t>所上市申请人所属行业情况，评估其业务表现、财务状况、发展情况、前景、董事胜任能力、合规合法性，以及最新经审计资产负债表日后发生的重大变动，并独立核实所有重大资料。</w:t>
      </w:r>
    </w:p>
    <w:p w:rsidR="002E7C3C" w:rsidRDefault="00AA293B">
      <w:pPr>
        <w:pStyle w:val="FirstParagraph"/>
        <w:rPr>
          <w:lang w:eastAsia="zh-CN"/>
        </w:rPr>
      </w:pPr>
      <w:r>
        <w:rPr>
          <w:b/>
          <w:i/>
          <w:lang w:eastAsia="zh-CN"/>
        </w:rPr>
        <w:t>上市文件不合理地冗长</w:t>
      </w:r>
    </w:p>
    <w:p w:rsidR="002E7C3C" w:rsidRDefault="00AA293B">
      <w:pPr>
        <w:pStyle w:val="BodyText"/>
        <w:rPr>
          <w:lang w:eastAsia="zh-CN"/>
        </w:rPr>
      </w:pPr>
      <w:r>
        <w:rPr>
          <w:lang w:eastAsia="zh-CN"/>
        </w:rPr>
        <w:t>证监会注意到，上市文件草拟本因多种原因变得不必要地冗长，具体包括：</w:t>
      </w:r>
    </w:p>
    <w:p w:rsidR="002E7C3C" w:rsidRDefault="00AA293B">
      <w:pPr>
        <w:pStyle w:val="Compact"/>
        <w:numPr>
          <w:ilvl w:val="0"/>
          <w:numId w:val="6"/>
        </w:numPr>
        <w:rPr>
          <w:lang w:eastAsia="zh-CN"/>
        </w:rPr>
      </w:pPr>
      <w:r>
        <w:rPr>
          <w:lang w:eastAsia="zh-CN"/>
        </w:rPr>
        <w:t>不同章节大量重复相同资料；</w:t>
      </w:r>
    </w:p>
    <w:p w:rsidR="002E7C3C" w:rsidRDefault="00AA293B">
      <w:pPr>
        <w:pStyle w:val="Compact"/>
        <w:numPr>
          <w:ilvl w:val="0"/>
          <w:numId w:val="6"/>
        </w:numPr>
        <w:rPr>
          <w:lang w:eastAsia="zh-CN"/>
        </w:rPr>
      </w:pPr>
      <w:r>
        <w:rPr>
          <w:lang w:eastAsia="zh-CN"/>
        </w:rPr>
        <w:t>纳入模板化披露内容，未能有效呈现联交所上市申请人的业务或财务表现；</w:t>
      </w:r>
    </w:p>
    <w:p w:rsidR="002E7C3C" w:rsidRDefault="00AA293B">
      <w:pPr>
        <w:pStyle w:val="Compact"/>
        <w:numPr>
          <w:ilvl w:val="0"/>
          <w:numId w:val="6"/>
        </w:numPr>
        <w:rPr>
          <w:lang w:eastAsia="zh-CN"/>
        </w:rPr>
      </w:pPr>
      <w:r>
        <w:rPr>
          <w:lang w:eastAsia="zh-CN"/>
        </w:rPr>
        <w:t>将其他章节内容直接</w:t>
      </w:r>
      <w:r>
        <w:rPr>
          <w:lang w:eastAsia="zh-CN"/>
        </w:rPr>
        <w:t>“</w:t>
      </w:r>
      <w:r>
        <w:rPr>
          <w:lang w:eastAsia="zh-CN"/>
        </w:rPr>
        <w:t>复制粘贴</w:t>
      </w:r>
      <w:r w:rsidR="00F8778B">
        <w:rPr>
          <w:lang w:eastAsia="zh-CN"/>
        </w:rPr>
        <w:t>”</w:t>
      </w:r>
      <w:r>
        <w:rPr>
          <w:lang w:eastAsia="zh-CN"/>
        </w:rPr>
        <w:t>至</w:t>
      </w:r>
      <w:r>
        <w:rPr>
          <w:lang w:eastAsia="zh-CN"/>
        </w:rPr>
        <w:t>“</w:t>
      </w:r>
      <w:r>
        <w:rPr>
          <w:lang w:eastAsia="zh-CN"/>
        </w:rPr>
        <w:t>概要</w:t>
      </w:r>
      <w:r w:rsidR="00F8778B">
        <w:rPr>
          <w:lang w:eastAsia="zh-CN"/>
        </w:rPr>
        <w:t>”</w:t>
      </w:r>
      <w:r>
        <w:rPr>
          <w:lang w:eastAsia="zh-CN"/>
        </w:rPr>
        <w:t>章节，导致概要部分过于冗长，投资者难以获取理解上市项目的关键信息；以及</w:t>
      </w:r>
    </w:p>
    <w:p w:rsidR="002E7C3C" w:rsidRDefault="00AA293B">
      <w:pPr>
        <w:pStyle w:val="Compact"/>
        <w:numPr>
          <w:ilvl w:val="0"/>
          <w:numId w:val="6"/>
        </w:numPr>
        <w:rPr>
          <w:lang w:eastAsia="zh-CN"/>
        </w:rPr>
      </w:pPr>
      <w:r>
        <w:rPr>
          <w:lang w:eastAsia="zh-CN"/>
        </w:rPr>
        <w:t>在</w:t>
      </w:r>
      <w:r>
        <w:rPr>
          <w:lang w:eastAsia="zh-CN"/>
        </w:rPr>
        <w:t xml:space="preserve"> “</w:t>
      </w:r>
      <w:r>
        <w:rPr>
          <w:lang w:eastAsia="zh-CN"/>
        </w:rPr>
        <w:t>业务</w:t>
      </w:r>
      <w:r>
        <w:rPr>
          <w:lang w:eastAsia="zh-CN"/>
        </w:rPr>
        <w:t xml:space="preserve">” </w:t>
      </w:r>
      <w:r>
        <w:rPr>
          <w:lang w:eastAsia="zh-CN"/>
        </w:rPr>
        <w:t>章节使用并非专为联交所上市申</w:t>
      </w:r>
      <w:r>
        <w:rPr>
          <w:lang w:eastAsia="zh-CN"/>
        </w:rPr>
        <w:t>请人而设的一般性描述。</w:t>
      </w:r>
    </w:p>
    <w:p w:rsidR="002E7C3C" w:rsidRDefault="00AA293B">
      <w:pPr>
        <w:pStyle w:val="FirstParagraph"/>
        <w:rPr>
          <w:lang w:eastAsia="zh-CN"/>
        </w:rPr>
      </w:pPr>
      <w:r>
        <w:rPr>
          <w:lang w:eastAsia="zh-CN"/>
        </w:rPr>
        <w:t>《证监会保荐人通函附录》提醒保荐人，在筹备上市申请时应遵守《上市规则》并遵循《新上市申请人指南》</w:t>
      </w:r>
      <w:hyperlink w:anchor="footnote-598-7">
        <w:r>
          <w:rPr>
            <w:vertAlign w:val="superscript"/>
            <w:lang w:eastAsia="zh-CN"/>
          </w:rPr>
          <w:t>7</w:t>
        </w:r>
      </w:hyperlink>
      <w:r>
        <w:rPr>
          <w:lang w:eastAsia="zh-CN"/>
        </w:rPr>
        <w:t>。根据《新上市申请人指南》第</w:t>
      </w:r>
      <w:r>
        <w:rPr>
          <w:lang w:eastAsia="zh-CN"/>
        </w:rPr>
        <w:t>3.1</w:t>
      </w:r>
      <w:r>
        <w:rPr>
          <w:lang w:eastAsia="zh-CN"/>
        </w:rPr>
        <w:t>章，联交所可酌情暂停上市申请的审理程序，具体情形（不限于）如下：</w:t>
      </w:r>
    </w:p>
    <w:p w:rsidR="002E7C3C" w:rsidRDefault="00AA293B">
      <w:pPr>
        <w:pStyle w:val="Compact"/>
        <w:numPr>
          <w:ilvl w:val="0"/>
          <w:numId w:val="7"/>
        </w:numPr>
        <w:rPr>
          <w:lang w:eastAsia="zh-CN"/>
        </w:rPr>
      </w:pPr>
      <w:r>
        <w:rPr>
          <w:lang w:eastAsia="zh-CN"/>
        </w:rPr>
        <w:t>“</w:t>
      </w:r>
      <w:r>
        <w:rPr>
          <w:lang w:eastAsia="zh-CN"/>
        </w:rPr>
        <w:t>概要</w:t>
      </w:r>
      <w:r w:rsidR="002F1B07">
        <w:rPr>
          <w:lang w:eastAsia="zh-CN"/>
        </w:rPr>
        <w:t>”</w:t>
      </w:r>
      <w:r>
        <w:rPr>
          <w:lang w:eastAsia="zh-CN"/>
        </w:rPr>
        <w:t>章节内容几乎全部复制粘贴自其他章节，或未解释关键财务或业务数据出现大幅波动的原因；</w:t>
      </w:r>
    </w:p>
    <w:p w:rsidR="002E7C3C" w:rsidRDefault="00AA293B">
      <w:pPr>
        <w:pStyle w:val="Compact"/>
        <w:numPr>
          <w:ilvl w:val="0"/>
          <w:numId w:val="7"/>
        </w:numPr>
        <w:rPr>
          <w:lang w:eastAsia="zh-CN"/>
        </w:rPr>
      </w:pPr>
      <w:r>
        <w:rPr>
          <w:lang w:eastAsia="zh-CN"/>
        </w:rPr>
        <w:lastRenderedPageBreak/>
        <w:t>上市文件含有大量营销性、夸大性用语，可能误导或混淆投资者；或使用过于情绪化的表述，或披露与联交所上市申请人主营业务无关的内容；以及</w:t>
      </w:r>
    </w:p>
    <w:p w:rsidR="002E7C3C" w:rsidRDefault="00AA293B">
      <w:pPr>
        <w:pStyle w:val="Compact"/>
        <w:numPr>
          <w:ilvl w:val="0"/>
          <w:numId w:val="7"/>
        </w:numPr>
        <w:rPr>
          <w:lang w:eastAsia="zh-CN"/>
        </w:rPr>
      </w:pPr>
      <w:r>
        <w:rPr>
          <w:lang w:eastAsia="zh-CN"/>
        </w:rPr>
        <w:t>上市文件的</w:t>
      </w:r>
      <w:r>
        <w:rPr>
          <w:lang w:eastAsia="zh-CN"/>
        </w:rPr>
        <w:t>“</w:t>
      </w:r>
      <w:r>
        <w:rPr>
          <w:lang w:eastAsia="zh-CN"/>
        </w:rPr>
        <w:t>概要</w:t>
      </w:r>
      <w:r>
        <w:rPr>
          <w:lang w:eastAsia="zh-CN"/>
        </w:rPr>
        <w:t>”</w:t>
      </w:r>
      <w:r>
        <w:rPr>
          <w:lang w:eastAsia="zh-CN"/>
        </w:rPr>
        <w:t>、</w:t>
      </w:r>
      <w:r>
        <w:rPr>
          <w:lang w:eastAsia="zh-CN"/>
        </w:rPr>
        <w:t>“</w:t>
      </w:r>
      <w:r>
        <w:rPr>
          <w:lang w:eastAsia="zh-CN"/>
        </w:rPr>
        <w:t>行业概览</w:t>
      </w:r>
      <w:r>
        <w:rPr>
          <w:lang w:eastAsia="zh-CN"/>
        </w:rPr>
        <w:t>”</w:t>
      </w:r>
      <w:r>
        <w:rPr>
          <w:lang w:eastAsia="zh-CN"/>
        </w:rPr>
        <w:t>、</w:t>
      </w:r>
      <w:r>
        <w:rPr>
          <w:lang w:eastAsia="zh-CN"/>
        </w:rPr>
        <w:t>“</w:t>
      </w:r>
      <w:r>
        <w:rPr>
          <w:lang w:eastAsia="zh-CN"/>
        </w:rPr>
        <w:t>法规</w:t>
      </w:r>
      <w:r>
        <w:rPr>
          <w:lang w:eastAsia="zh-CN"/>
        </w:rPr>
        <w:t>”</w:t>
      </w:r>
      <w:r>
        <w:rPr>
          <w:lang w:eastAsia="zh-CN"/>
        </w:rPr>
        <w:t>及</w:t>
      </w:r>
      <w:r>
        <w:rPr>
          <w:lang w:eastAsia="zh-CN"/>
        </w:rPr>
        <w:t xml:space="preserve"> “</w:t>
      </w:r>
      <w:r>
        <w:rPr>
          <w:lang w:eastAsia="zh-CN"/>
        </w:rPr>
        <w:t>历史与发展</w:t>
      </w:r>
      <w:r>
        <w:rPr>
          <w:lang w:eastAsia="zh-CN"/>
        </w:rPr>
        <w:t>”</w:t>
      </w:r>
      <w:r>
        <w:rPr>
          <w:lang w:eastAsia="zh-CN"/>
        </w:rPr>
        <w:t>章节篇幅，不符合建议的上限要求。</w:t>
      </w:r>
    </w:p>
    <w:p w:rsidR="002E7C3C" w:rsidRDefault="00AA293B">
      <w:pPr>
        <w:pStyle w:val="FirstParagraph"/>
        <w:rPr>
          <w:lang w:eastAsia="zh-CN"/>
        </w:rPr>
      </w:pPr>
      <w:r>
        <w:rPr>
          <w:b/>
          <w:i/>
          <w:lang w:eastAsia="zh-CN"/>
        </w:rPr>
        <w:t>国际对比以及</w:t>
      </w:r>
      <w:r>
        <w:rPr>
          <w:b/>
          <w:i/>
          <w:lang w:eastAsia="zh-CN"/>
        </w:rPr>
        <w:t>300</w:t>
      </w:r>
      <w:r>
        <w:rPr>
          <w:b/>
          <w:i/>
          <w:lang w:eastAsia="zh-CN"/>
        </w:rPr>
        <w:t>页的指引</w:t>
      </w:r>
    </w:p>
    <w:p w:rsidR="002E7C3C" w:rsidRDefault="00AA293B">
      <w:pPr>
        <w:pStyle w:val="BodyText"/>
        <w:rPr>
          <w:lang w:eastAsia="zh-CN"/>
        </w:rPr>
      </w:pPr>
      <w:r>
        <w:rPr>
          <w:lang w:eastAsia="zh-CN"/>
        </w:rPr>
        <w:t>《证监会保荐人通函附录》指出，欧盟自</w:t>
      </w:r>
      <w:r>
        <w:rPr>
          <w:lang w:eastAsia="zh-CN"/>
        </w:rPr>
        <w:t>2026</w:t>
      </w:r>
      <w:r>
        <w:rPr>
          <w:lang w:eastAsia="zh-CN"/>
        </w:rPr>
        <w:t>年</w:t>
      </w:r>
      <w:r>
        <w:rPr>
          <w:lang w:eastAsia="zh-CN"/>
        </w:rPr>
        <w:t>6</w:t>
      </w:r>
      <w:r>
        <w:rPr>
          <w:lang w:eastAsia="zh-CN"/>
        </w:rPr>
        <w:t>月</w:t>
      </w:r>
      <w:r>
        <w:rPr>
          <w:lang w:eastAsia="zh-CN"/>
        </w:rPr>
        <w:t>5</w:t>
      </w:r>
      <w:r>
        <w:rPr>
          <w:lang w:eastAsia="zh-CN"/>
        </w:rPr>
        <w:t>日起，除对上市文件特定章节设置现有篇幅上限外，还将对整份上市文件设定</w:t>
      </w:r>
      <w:r w:rsidR="00205AC1">
        <w:rPr>
          <w:lang w:eastAsia="zh-CN"/>
        </w:rPr>
        <w:t>300</w:t>
      </w:r>
      <w:r>
        <w:rPr>
          <w:lang w:eastAsia="zh-CN"/>
        </w:rPr>
        <w:t>页的总篇幅上限。尽管中国内地、美国、英国、澳大利亚及新加坡未设定上市文件总篇幅上限，但证监会注意到，近期上述司法管辖区刊发的上</w:t>
      </w:r>
      <w:r>
        <w:rPr>
          <w:lang w:eastAsia="zh-CN"/>
        </w:rPr>
        <w:t>市文件，篇幅平均在</w:t>
      </w:r>
      <w:r>
        <w:rPr>
          <w:lang w:eastAsia="zh-CN"/>
        </w:rPr>
        <w:t xml:space="preserve"> 250 </w:t>
      </w:r>
      <w:r>
        <w:rPr>
          <w:lang w:eastAsia="zh-CN"/>
        </w:rPr>
        <w:t>至</w:t>
      </w:r>
      <w:r>
        <w:rPr>
          <w:lang w:eastAsia="zh-CN"/>
        </w:rPr>
        <w:t xml:space="preserve"> 600 </w:t>
      </w:r>
      <w:r>
        <w:rPr>
          <w:lang w:eastAsia="zh-CN"/>
        </w:rPr>
        <w:t>页之间。</w:t>
      </w:r>
    </w:p>
    <w:p w:rsidR="002E7C3C" w:rsidRDefault="00AA293B">
      <w:pPr>
        <w:pStyle w:val="BodyText"/>
        <w:rPr>
          <w:lang w:eastAsia="zh-CN"/>
        </w:rPr>
      </w:pPr>
      <w:r>
        <w:rPr>
          <w:lang w:eastAsia="zh-CN"/>
        </w:rPr>
        <w:t>如本所</w:t>
      </w:r>
      <w:r>
        <w:rPr>
          <w:lang w:eastAsia="zh-CN"/>
        </w:rPr>
        <w:t>2026</w:t>
      </w:r>
      <w:r>
        <w:rPr>
          <w:lang w:eastAsia="zh-CN"/>
        </w:rPr>
        <w:t>年</w:t>
      </w:r>
      <w:r>
        <w:rPr>
          <w:lang w:eastAsia="zh-CN"/>
        </w:rPr>
        <w:t>1</w:t>
      </w:r>
      <w:r>
        <w:rPr>
          <w:lang w:eastAsia="zh-CN"/>
        </w:rPr>
        <w:t>月</w:t>
      </w:r>
      <w:r>
        <w:rPr>
          <w:lang w:eastAsia="zh-CN"/>
        </w:rPr>
        <w:t>31</w:t>
      </w:r>
      <w:r>
        <w:rPr>
          <w:lang w:eastAsia="zh-CN"/>
        </w:rPr>
        <w:t>日发出的</w:t>
      </w:r>
      <w:hyperlink r:id="rId11">
        <w:r w:rsidRPr="00205AC1">
          <w:rPr>
            <w:color w:val="FF0000"/>
            <w:u w:val="single"/>
            <w:lang w:eastAsia="zh-CN"/>
          </w:rPr>
          <w:t>《证监会保荐人通函》相关法讯</w:t>
        </w:r>
      </w:hyperlink>
      <w:r>
        <w:rPr>
          <w:lang w:eastAsia="zh-CN"/>
        </w:rPr>
        <w:t>所述，证监会一般期望上市文件主体内容总篇幅</w:t>
      </w:r>
      <w:r>
        <w:rPr>
          <w:b/>
          <w:lang w:eastAsia="zh-CN"/>
        </w:rPr>
        <w:t>不超过</w:t>
      </w:r>
      <w:r>
        <w:rPr>
          <w:b/>
          <w:lang w:eastAsia="zh-CN"/>
        </w:rPr>
        <w:t>300</w:t>
      </w:r>
      <w:r>
        <w:rPr>
          <w:b/>
          <w:lang w:eastAsia="zh-CN"/>
        </w:rPr>
        <w:t>页</w:t>
      </w:r>
      <w:r>
        <w:rPr>
          <w:lang w:eastAsia="zh-CN"/>
        </w:rPr>
        <w:t>（附录所载的会计师报告、估值报告及合资格人士报告不计入该篇幅</w:t>
      </w:r>
      <w:r>
        <w:rPr>
          <w:lang w:eastAsia="zh-CN"/>
        </w:rPr>
        <w:t>限制）。过于冗长的上市文件，会影响投资者清晰理解和恰当评估联交所上市申请人的能力，同时消耗过多监管资源，进而可能导致上市时间表延误。</w:t>
      </w:r>
    </w:p>
    <w:p w:rsidR="002E7C3C" w:rsidRPr="00205AC1" w:rsidRDefault="00AA293B">
      <w:pPr>
        <w:pStyle w:val="Heading3"/>
        <w:rPr>
          <w:color w:val="auto"/>
          <w:lang w:eastAsia="zh-CN"/>
        </w:rPr>
      </w:pPr>
      <w:bookmarkStart w:id="2" w:name="b.-监管机构已给出明确指引但保荐人未妥善回应监管意见"/>
      <w:r w:rsidRPr="00205AC1">
        <w:rPr>
          <w:color w:val="auto"/>
          <w:lang w:eastAsia="zh-CN"/>
        </w:rPr>
        <w:t xml:space="preserve">B. </w:t>
      </w:r>
      <w:r w:rsidRPr="00205AC1">
        <w:rPr>
          <w:color w:val="auto"/>
          <w:lang w:eastAsia="zh-CN"/>
        </w:rPr>
        <w:t>监管机构已给出明确指引，但保荐人未妥善回应监管意见</w:t>
      </w:r>
      <w:bookmarkEnd w:id="2"/>
    </w:p>
    <w:p w:rsidR="002E7C3C" w:rsidRDefault="00AA293B">
      <w:pPr>
        <w:pStyle w:val="FirstParagraph"/>
        <w:rPr>
          <w:lang w:eastAsia="zh-CN"/>
        </w:rPr>
      </w:pPr>
      <w:r>
        <w:rPr>
          <w:lang w:eastAsia="zh-CN"/>
        </w:rPr>
        <w:t>自优化上市审批流程时间表</w:t>
      </w:r>
      <w:hyperlink w:anchor="footnote-598-8">
        <w:r>
          <w:rPr>
            <w:vertAlign w:val="superscript"/>
            <w:lang w:eastAsia="zh-CN"/>
          </w:rPr>
          <w:t>8</w:t>
        </w:r>
      </w:hyperlink>
      <w:r>
        <w:rPr>
          <w:lang w:eastAsia="zh-CN"/>
        </w:rPr>
        <w:t>实施以来，联交所直接与保荐人的主要代表沟通，协助其理解监管机构关注的重大事项，并明确监管机构对保荐人后续回复意见函的要求。证监会亦多次主动联络香港保荐人，解释关注事项的原因及解决方向。</w:t>
      </w:r>
    </w:p>
    <w:p w:rsidR="002E7C3C" w:rsidRDefault="00AA293B">
      <w:pPr>
        <w:pStyle w:val="BodyText"/>
        <w:rPr>
          <w:lang w:eastAsia="zh-CN"/>
        </w:rPr>
      </w:pPr>
      <w:r>
        <w:rPr>
          <w:lang w:eastAsia="zh-CN"/>
        </w:rPr>
        <w:t>然而，一个反复出现的问题是，尽管</w:t>
      </w:r>
      <w:r>
        <w:rPr>
          <w:lang w:eastAsia="zh-CN"/>
        </w:rPr>
        <w:t>监管机构在沟通过程中已提供清晰且积极的指引，香港保荐人仍未能就监管意见作出完整且令人信服的回复。在诸多案例中，香港保荐人虽明确承诺解决监管机构提出的问题，但后续提交的文件依旧未能给出令人满意的答复。</w:t>
      </w:r>
    </w:p>
    <w:tbl>
      <w:tblPr>
        <w:tblStyle w:val="TableGridLight"/>
        <w:tblW w:w="5000" w:type="pct"/>
        <w:tblLook w:val="07C0" w:firstRow="0" w:lastRow="1" w:firstColumn="1" w:lastColumn="1" w:noHBand="1" w:noVBand="1"/>
      </w:tblPr>
      <w:tblGrid>
        <w:gridCol w:w="10394"/>
      </w:tblGrid>
      <w:tr w:rsidR="002E7C3C" w:rsidTr="00205AC1">
        <w:tc>
          <w:tcPr>
            <w:tcW w:w="0" w:type="auto"/>
            <w:shd w:val="clear" w:color="auto" w:fill="F2F2F2" w:themeFill="background1" w:themeFillShade="F2"/>
          </w:tcPr>
          <w:p w:rsidR="002E7C3C" w:rsidRDefault="00AA293B">
            <w:pPr>
              <w:rPr>
                <w:lang w:eastAsia="zh-CN"/>
              </w:rPr>
            </w:pPr>
            <w:r>
              <w:rPr>
                <w:rFonts w:ascii="SimSun" w:eastAsia="SimSun" w:hAnsi="SimSun" w:cs="SimSun" w:hint="eastAsia"/>
                <w:b/>
                <w:lang w:eastAsia="zh-CN"/>
              </w:rPr>
              <w:t>案例</w:t>
            </w:r>
            <w:r>
              <w:rPr>
                <w:b/>
                <w:lang w:eastAsia="zh-CN"/>
              </w:rPr>
              <w:t xml:space="preserve"> D</w:t>
            </w:r>
            <w:r>
              <w:rPr>
                <w:rFonts w:ascii="SimSun" w:eastAsia="SimSun" w:hAnsi="SimSun" w:cs="SimSun" w:hint="eastAsia"/>
                <w:b/>
                <w:lang w:eastAsia="zh-CN"/>
              </w:rPr>
              <w:t>：豁免申请未能提供合理依据</w:t>
            </w:r>
          </w:p>
          <w:p w:rsidR="002E7C3C" w:rsidRDefault="00AA293B">
            <w:pPr>
              <w:rPr>
                <w:lang w:eastAsia="zh-CN"/>
              </w:rPr>
            </w:pPr>
            <w:r>
              <w:rPr>
                <w:rFonts w:ascii="SimSun" w:eastAsia="SimSun" w:hAnsi="SimSun" w:cs="SimSun" w:hint="eastAsia"/>
                <w:lang w:eastAsia="zh-CN"/>
              </w:rPr>
              <w:t>尽管监管机构多次问询并给出明确指引，某香港保荐人仍未能就豁免严格遵守《主板上市规则》第</w:t>
            </w:r>
            <w:r>
              <w:rPr>
                <w:lang w:eastAsia="zh-CN"/>
              </w:rPr>
              <w:t>4.04(1)</w:t>
            </w:r>
            <w:r>
              <w:rPr>
                <w:rFonts w:ascii="SimSun" w:eastAsia="SimSun" w:hAnsi="SimSun" w:cs="SimSun" w:hint="eastAsia"/>
                <w:lang w:eastAsia="zh-CN"/>
              </w:rPr>
              <w:t>条的申请，提供合理且充分的理据。该豁免申请旨在申请豁免披露紧接最终上市文件刊发前最近一个完整财政年度的经审计业绩，且当时该联交所上市申请人的财务表现正呈下滑趋势。</w:t>
            </w:r>
          </w:p>
        </w:tc>
      </w:tr>
    </w:tbl>
    <w:p w:rsidR="002E7C3C" w:rsidRDefault="002E7C3C">
      <w:pPr>
        <w:pStyle w:val="BodyText"/>
        <w:rPr>
          <w:lang w:eastAsia="zh-CN"/>
        </w:rPr>
      </w:pPr>
    </w:p>
    <w:tbl>
      <w:tblPr>
        <w:tblStyle w:val="TableGridLight"/>
        <w:tblW w:w="5000" w:type="pct"/>
        <w:tblLook w:val="07C0" w:firstRow="0" w:lastRow="1" w:firstColumn="1" w:lastColumn="1" w:noHBand="1" w:noVBand="1"/>
      </w:tblPr>
      <w:tblGrid>
        <w:gridCol w:w="10394"/>
      </w:tblGrid>
      <w:tr w:rsidR="002E7C3C" w:rsidTr="00205AC1">
        <w:tc>
          <w:tcPr>
            <w:tcW w:w="0" w:type="auto"/>
            <w:shd w:val="clear" w:color="auto" w:fill="F2F2F2" w:themeFill="background1" w:themeFillShade="F2"/>
          </w:tcPr>
          <w:p w:rsidR="002E7C3C" w:rsidRDefault="00AA293B">
            <w:pPr>
              <w:rPr>
                <w:lang w:eastAsia="zh-CN"/>
              </w:rPr>
            </w:pPr>
            <w:r>
              <w:rPr>
                <w:rFonts w:ascii="SimSun" w:eastAsia="SimSun" w:hAnsi="SimSun" w:cs="SimSun" w:hint="eastAsia"/>
                <w:b/>
                <w:lang w:eastAsia="zh-CN"/>
              </w:rPr>
              <w:t>案例</w:t>
            </w:r>
            <w:r>
              <w:rPr>
                <w:b/>
                <w:lang w:eastAsia="zh-CN"/>
              </w:rPr>
              <w:t xml:space="preserve"> </w:t>
            </w:r>
            <w:r>
              <w:rPr>
                <w:b/>
                <w:lang w:eastAsia="zh-CN"/>
              </w:rPr>
              <w:t>E</w:t>
            </w:r>
            <w:r>
              <w:rPr>
                <w:rFonts w:ascii="SimSun" w:eastAsia="SimSun" w:hAnsi="SimSun" w:cs="SimSun" w:hint="eastAsia"/>
                <w:b/>
                <w:lang w:eastAsia="zh-CN"/>
              </w:rPr>
              <w:t>：未及时向监管机构更新税务诉讼进展</w:t>
            </w:r>
          </w:p>
          <w:p w:rsidR="002E7C3C" w:rsidRDefault="00AA293B">
            <w:pPr>
              <w:rPr>
                <w:lang w:eastAsia="zh-CN"/>
              </w:rPr>
            </w:pPr>
            <w:r>
              <w:rPr>
                <w:rFonts w:ascii="SimSun" w:eastAsia="SimSun" w:hAnsi="SimSun" w:cs="SimSun" w:hint="eastAsia"/>
                <w:lang w:eastAsia="zh-CN"/>
              </w:rPr>
              <w:t>在一宗涉及上市申请人被提出重大投诉的上市申请中，香港保荐人初次回复既缺乏有关税务法律责任的关键细节，也未就该事项对联交所上市申请人的影响进行充分分析。此后，香港保荐人亦未就因未缴足税款及印花税与税务机关产生的税务诉讼的最新进展及时向监管机构通报或更新。</w:t>
            </w:r>
          </w:p>
        </w:tc>
      </w:tr>
    </w:tbl>
    <w:p w:rsidR="002E7C3C" w:rsidRDefault="002E7C3C">
      <w:pPr>
        <w:pStyle w:val="BodyText"/>
        <w:rPr>
          <w:lang w:eastAsia="zh-CN"/>
        </w:rPr>
      </w:pPr>
    </w:p>
    <w:tbl>
      <w:tblPr>
        <w:tblStyle w:val="TableGridLight"/>
        <w:tblW w:w="5000" w:type="pct"/>
        <w:tblLook w:val="07C0" w:firstRow="0" w:lastRow="1" w:firstColumn="1" w:lastColumn="1" w:noHBand="1" w:noVBand="1"/>
      </w:tblPr>
      <w:tblGrid>
        <w:gridCol w:w="10394"/>
      </w:tblGrid>
      <w:tr w:rsidR="002E7C3C" w:rsidTr="00205AC1">
        <w:tc>
          <w:tcPr>
            <w:tcW w:w="0" w:type="auto"/>
            <w:shd w:val="clear" w:color="auto" w:fill="F2F2F2" w:themeFill="background1" w:themeFillShade="F2"/>
          </w:tcPr>
          <w:p w:rsidR="002E7C3C" w:rsidRDefault="00AA293B">
            <w:pPr>
              <w:rPr>
                <w:lang w:eastAsia="zh-CN"/>
              </w:rPr>
            </w:pPr>
            <w:r>
              <w:rPr>
                <w:rFonts w:ascii="SimSun" w:eastAsia="SimSun" w:hAnsi="SimSun" w:cs="SimSun" w:hint="eastAsia"/>
                <w:b/>
                <w:lang w:eastAsia="zh-CN"/>
              </w:rPr>
              <w:t>案例</w:t>
            </w:r>
            <w:r>
              <w:rPr>
                <w:b/>
                <w:lang w:eastAsia="zh-CN"/>
              </w:rPr>
              <w:t xml:space="preserve"> F</w:t>
            </w:r>
            <w:r>
              <w:rPr>
                <w:rFonts w:ascii="SimSun" w:eastAsia="SimSun" w:hAnsi="SimSun" w:cs="SimSun" w:hint="eastAsia"/>
                <w:b/>
                <w:lang w:eastAsia="zh-CN"/>
              </w:rPr>
              <w:t>：提交资料存在内容不全、自相矛盾的情况</w:t>
            </w:r>
          </w:p>
          <w:p w:rsidR="002E7C3C" w:rsidRDefault="00AA293B">
            <w:pPr>
              <w:rPr>
                <w:lang w:eastAsia="zh-CN"/>
              </w:rPr>
            </w:pPr>
            <w:r>
              <w:rPr>
                <w:rFonts w:ascii="SimSun" w:eastAsia="SimSun" w:hAnsi="SimSun" w:cs="SimSun" w:hint="eastAsia"/>
                <w:lang w:eastAsia="zh-CN"/>
              </w:rPr>
              <w:t>在一宗涉及上市申请人被提出重大投诉的联交所上市申请中，香港保荐人未能提交经独立尽职调查充分佐证、且令人信服的回复。此外，其提交的文件还存在内容不全、不一致甚至相互矛盾的解释。</w:t>
            </w:r>
          </w:p>
        </w:tc>
      </w:tr>
    </w:tbl>
    <w:p w:rsidR="002E7C3C" w:rsidRDefault="00AA293B">
      <w:pPr>
        <w:pStyle w:val="BodyText"/>
        <w:rPr>
          <w:lang w:eastAsia="zh-CN"/>
        </w:rPr>
      </w:pPr>
      <w:r>
        <w:rPr>
          <w:b/>
          <w:i/>
          <w:lang w:eastAsia="zh-CN"/>
        </w:rPr>
        <w:t>相关监管条款</w:t>
      </w:r>
    </w:p>
    <w:p w:rsidR="002E7C3C" w:rsidRDefault="00AA293B">
      <w:pPr>
        <w:pStyle w:val="BodyText"/>
        <w:rPr>
          <w:lang w:eastAsia="zh-CN"/>
        </w:rPr>
      </w:pPr>
      <w:r>
        <w:rPr>
          <w:lang w:eastAsia="zh-CN"/>
        </w:rPr>
        <w:t>上述案例可能违反《操守准则》的以下条款：</w:t>
      </w:r>
    </w:p>
    <w:p w:rsidR="002E7C3C" w:rsidRDefault="00AA293B">
      <w:pPr>
        <w:pStyle w:val="Compact"/>
        <w:numPr>
          <w:ilvl w:val="0"/>
          <w:numId w:val="8"/>
        </w:numPr>
        <w:rPr>
          <w:lang w:eastAsia="zh-CN"/>
        </w:rPr>
      </w:pPr>
      <w:r>
        <w:rPr>
          <w:b/>
          <w:lang w:eastAsia="zh-CN"/>
        </w:rPr>
        <w:lastRenderedPageBreak/>
        <w:t>第</w:t>
      </w:r>
      <w:r>
        <w:rPr>
          <w:b/>
          <w:lang w:eastAsia="zh-CN"/>
        </w:rPr>
        <w:t>17.2(d)</w:t>
      </w:r>
      <w:r>
        <w:rPr>
          <w:b/>
          <w:lang w:eastAsia="zh-CN"/>
        </w:rPr>
        <w:t>条</w:t>
      </w:r>
      <w:r>
        <w:rPr>
          <w:lang w:eastAsia="zh-CN"/>
        </w:rPr>
        <w:t>：香港保荐人应及时处理监管机构提出的所有问询，及时提供监管机构要求的所有相关资料和文件，并以合作、坦诚的态度答复向香港保荐人提出的所有问题。</w:t>
      </w:r>
    </w:p>
    <w:p w:rsidR="002E7C3C" w:rsidRDefault="00AA293B">
      <w:pPr>
        <w:pStyle w:val="Compact"/>
        <w:numPr>
          <w:ilvl w:val="0"/>
          <w:numId w:val="8"/>
        </w:numPr>
        <w:rPr>
          <w:lang w:eastAsia="zh-CN"/>
        </w:rPr>
      </w:pPr>
      <w:r>
        <w:rPr>
          <w:b/>
          <w:lang w:eastAsia="zh-CN"/>
        </w:rPr>
        <w:t>第</w:t>
      </w:r>
      <w:r>
        <w:rPr>
          <w:b/>
          <w:lang w:eastAsia="zh-CN"/>
        </w:rPr>
        <w:t>17.9(a)</w:t>
      </w:r>
      <w:r>
        <w:rPr>
          <w:b/>
          <w:lang w:eastAsia="zh-CN"/>
        </w:rPr>
        <w:t>条</w:t>
      </w:r>
      <w:r>
        <w:rPr>
          <w:lang w:eastAsia="zh-CN"/>
        </w:rPr>
        <w:t>：保荐人应合理地使其本身相信，在上市申请过程中向监管机构提供的所有资料，在所有重大方面均准确、完整且不具误导性。</w:t>
      </w:r>
    </w:p>
    <w:p w:rsidR="002E7C3C" w:rsidRDefault="00AA293B">
      <w:pPr>
        <w:pStyle w:val="Compact"/>
        <w:numPr>
          <w:ilvl w:val="0"/>
          <w:numId w:val="8"/>
        </w:numPr>
        <w:rPr>
          <w:lang w:eastAsia="zh-CN"/>
        </w:rPr>
      </w:pPr>
      <w:r>
        <w:rPr>
          <w:b/>
          <w:lang w:eastAsia="zh-CN"/>
        </w:rPr>
        <w:t>第</w:t>
      </w:r>
      <w:r>
        <w:rPr>
          <w:b/>
          <w:lang w:eastAsia="zh-CN"/>
        </w:rPr>
        <w:t>17.9(b)</w:t>
      </w:r>
      <w:r>
        <w:rPr>
          <w:b/>
          <w:lang w:eastAsia="zh-CN"/>
        </w:rPr>
        <w:t>条</w:t>
      </w:r>
      <w:r>
        <w:rPr>
          <w:lang w:eastAsia="zh-CN"/>
        </w:rPr>
        <w:t>：保荐人应以合作、坦诚的态度答复向其提出的所有问题。</w:t>
      </w:r>
    </w:p>
    <w:p w:rsidR="002E7C3C" w:rsidRPr="00AA293B" w:rsidRDefault="00AA293B">
      <w:pPr>
        <w:pStyle w:val="Heading3"/>
        <w:rPr>
          <w:color w:val="auto"/>
          <w:lang w:eastAsia="zh-CN"/>
        </w:rPr>
      </w:pPr>
      <w:bookmarkStart w:id="3" w:name="c.-发售阶段未能遵守相关流程与程序"/>
      <w:r w:rsidRPr="00AA293B">
        <w:rPr>
          <w:color w:val="auto"/>
          <w:lang w:eastAsia="zh-CN"/>
        </w:rPr>
        <w:t xml:space="preserve">C. </w:t>
      </w:r>
      <w:r w:rsidRPr="00AA293B">
        <w:rPr>
          <w:color w:val="auto"/>
          <w:lang w:eastAsia="zh-CN"/>
        </w:rPr>
        <w:t>发售阶段未能遵守相关流程与程序</w:t>
      </w:r>
      <w:bookmarkEnd w:id="3"/>
    </w:p>
    <w:p w:rsidR="002E7C3C" w:rsidRDefault="00AA293B">
      <w:pPr>
        <w:pStyle w:val="FirstParagraph"/>
        <w:rPr>
          <w:lang w:eastAsia="zh-CN"/>
        </w:rPr>
      </w:pPr>
      <w:r>
        <w:rPr>
          <w:lang w:eastAsia="zh-CN"/>
        </w:rPr>
        <w:t>随着交收期缩短至</w:t>
      </w:r>
      <w:r>
        <w:rPr>
          <w:lang w:eastAsia="zh-CN"/>
        </w:rPr>
        <w:t>T+2</w:t>
      </w:r>
      <w:r>
        <w:rPr>
          <w:lang w:eastAsia="zh-CN"/>
        </w:rPr>
        <w:t>，以及</w:t>
      </w:r>
      <w:r>
        <w:rPr>
          <w:lang w:eastAsia="zh-CN"/>
        </w:rPr>
        <w:t>FINI</w:t>
      </w:r>
      <w:r>
        <w:rPr>
          <w:lang w:eastAsia="zh-CN"/>
        </w:rPr>
        <w:t>系统于</w:t>
      </w:r>
      <w:r>
        <w:rPr>
          <w:lang w:eastAsia="zh-CN"/>
        </w:rPr>
        <w:t>2023</w:t>
      </w:r>
      <w:r>
        <w:rPr>
          <w:lang w:eastAsia="zh-CN"/>
        </w:rPr>
        <w:t>年底推出，《上市规则》及《操守准则》要求香港保荐人与指定整体协调人，在发售阶段委派经验丰富且适当资深的职员，负责处理关键监管流程，例如承配人资质审核及配售结果公告发布等工作。</w:t>
      </w:r>
    </w:p>
    <w:tbl>
      <w:tblPr>
        <w:tblStyle w:val="TableGridLight"/>
        <w:tblW w:w="5000" w:type="pct"/>
        <w:tblLook w:val="07C0" w:firstRow="0" w:lastRow="1" w:firstColumn="1" w:lastColumn="1" w:noHBand="1" w:noVBand="1"/>
      </w:tblPr>
      <w:tblGrid>
        <w:gridCol w:w="10394"/>
      </w:tblGrid>
      <w:tr w:rsidR="002E7C3C" w:rsidTr="00AA293B">
        <w:tc>
          <w:tcPr>
            <w:tcW w:w="0" w:type="auto"/>
            <w:shd w:val="clear" w:color="auto" w:fill="F2F2F2" w:themeFill="background1" w:themeFillShade="F2"/>
          </w:tcPr>
          <w:p w:rsidR="002E7C3C" w:rsidRDefault="00AA293B">
            <w:pPr>
              <w:rPr>
                <w:lang w:eastAsia="zh-CN"/>
              </w:rPr>
            </w:pPr>
            <w:r>
              <w:rPr>
                <w:rFonts w:ascii="SimSun" w:eastAsia="SimSun" w:hAnsi="SimSun" w:cs="SimSun" w:hint="eastAsia"/>
                <w:b/>
                <w:lang w:eastAsia="zh-CN"/>
              </w:rPr>
              <w:t>案例</w:t>
            </w:r>
            <w:r>
              <w:rPr>
                <w:b/>
                <w:lang w:eastAsia="zh-CN"/>
              </w:rPr>
              <w:t xml:space="preserve"> G</w:t>
            </w:r>
            <w:r>
              <w:rPr>
                <w:rFonts w:ascii="SimSun" w:eastAsia="SimSun" w:hAnsi="SimSun" w:cs="SimSun" w:hint="eastAsia"/>
                <w:b/>
                <w:lang w:eastAsia="zh-CN"/>
              </w:rPr>
              <w:t>：</w:t>
            </w:r>
            <w:r>
              <w:rPr>
                <w:b/>
                <w:lang w:eastAsia="zh-CN"/>
              </w:rPr>
              <w:t>FINI</w:t>
            </w:r>
            <w:r>
              <w:rPr>
                <w:rFonts w:ascii="SimSun" w:eastAsia="SimSun" w:hAnsi="SimSun" w:cs="SimSun" w:hint="eastAsia"/>
                <w:b/>
                <w:lang w:eastAsia="zh-CN"/>
              </w:rPr>
              <w:t>系统操作存在多项违规</w:t>
            </w:r>
          </w:p>
          <w:p w:rsidR="002E7C3C" w:rsidRDefault="00AA293B">
            <w:pPr>
              <w:rPr>
                <w:lang w:eastAsia="zh-CN"/>
              </w:rPr>
            </w:pPr>
            <w:r>
              <w:rPr>
                <w:rFonts w:ascii="SimSun" w:eastAsia="SimSun" w:hAnsi="SimSun" w:cs="SimSun" w:hint="eastAsia"/>
                <w:lang w:eastAsia="zh-CN"/>
              </w:rPr>
              <w:t>某保荐人兼整体协调人存</w:t>
            </w:r>
            <w:r>
              <w:rPr>
                <w:rFonts w:ascii="SimSun" w:eastAsia="SimSun" w:hAnsi="SimSun" w:cs="SimSun" w:hint="eastAsia"/>
                <w:lang w:eastAsia="zh-CN"/>
              </w:rPr>
              <w:t>在多项违规行为：</w:t>
            </w:r>
            <w:r>
              <w:rPr>
                <w:lang w:eastAsia="zh-CN"/>
              </w:rPr>
              <w:t>(i)</w:t>
            </w:r>
            <w:r>
              <w:rPr>
                <w:rFonts w:ascii="SimSun" w:eastAsia="SimSun" w:hAnsi="SimSun" w:cs="SimSun" w:hint="eastAsia"/>
                <w:lang w:eastAsia="zh-CN"/>
              </w:rPr>
              <w:t>未在</w:t>
            </w:r>
            <w:r>
              <w:rPr>
                <w:lang w:eastAsia="zh-CN"/>
              </w:rPr>
              <w:t>T+1</w:t>
            </w:r>
            <w:r>
              <w:rPr>
                <w:rFonts w:ascii="SimSun" w:eastAsia="SimSun" w:hAnsi="SimSun" w:cs="SimSun" w:hint="eastAsia"/>
                <w:lang w:eastAsia="zh-CN"/>
              </w:rPr>
              <w:t>日上午</w:t>
            </w:r>
            <w:r>
              <w:rPr>
                <w:lang w:eastAsia="zh-CN"/>
              </w:rPr>
              <w:t>10</w:t>
            </w:r>
            <w:r>
              <w:rPr>
                <w:rFonts w:ascii="SimSun" w:eastAsia="SimSun" w:hAnsi="SimSun" w:cs="SimSun" w:hint="eastAsia"/>
                <w:lang w:eastAsia="zh-CN"/>
              </w:rPr>
              <w:t>时前，通过</w:t>
            </w:r>
            <w:r>
              <w:rPr>
                <w:lang w:eastAsia="zh-CN"/>
              </w:rPr>
              <w:t>FINI</w:t>
            </w:r>
            <w:r>
              <w:rPr>
                <w:rFonts w:ascii="SimSun" w:eastAsia="SimSun" w:hAnsi="SimSun" w:cs="SimSun" w:hint="eastAsia"/>
                <w:lang w:eastAsia="zh-CN"/>
              </w:rPr>
              <w:t>系统提交所有承配人详情及销售与独立性声明，导致相关资料未能在当日下午</w:t>
            </w:r>
            <w:r>
              <w:rPr>
                <w:lang w:eastAsia="zh-CN"/>
              </w:rPr>
              <w:t>5</w:t>
            </w:r>
            <w:r>
              <w:rPr>
                <w:rFonts w:ascii="SimSun" w:eastAsia="SimSun" w:hAnsi="SimSun" w:cs="SimSun" w:hint="eastAsia"/>
                <w:lang w:eastAsia="zh-CN"/>
              </w:rPr>
              <w:t>时的规定时限前完成审核，进而延误后续流程；</w:t>
            </w:r>
            <w:r>
              <w:rPr>
                <w:lang w:eastAsia="zh-CN"/>
              </w:rPr>
              <w:t>(ii)</w:t>
            </w:r>
            <w:r>
              <w:rPr>
                <w:rFonts w:ascii="SimSun" w:eastAsia="SimSun" w:hAnsi="SimSun" w:cs="SimSun" w:hint="eastAsia"/>
                <w:lang w:eastAsia="zh-CN"/>
              </w:rPr>
              <w:t>未主动识别关联客户，仅在监管机构要求后，才于</w:t>
            </w:r>
            <w:r>
              <w:rPr>
                <w:lang w:eastAsia="zh-CN"/>
              </w:rPr>
              <w:t>T+1</w:t>
            </w:r>
            <w:r>
              <w:rPr>
                <w:rFonts w:ascii="SimSun" w:eastAsia="SimSun" w:hAnsi="SimSun" w:cs="SimSun" w:hint="eastAsia"/>
                <w:lang w:eastAsia="zh-CN"/>
              </w:rPr>
              <w:t>日提交所需的同意申请；</w:t>
            </w:r>
            <w:r>
              <w:rPr>
                <w:lang w:eastAsia="zh-CN"/>
              </w:rPr>
              <w:t>(iii)</w:t>
            </w:r>
            <w:r>
              <w:rPr>
                <w:rFonts w:ascii="SimSun" w:eastAsia="SimSun" w:hAnsi="SimSun" w:cs="SimSun" w:hint="eastAsia"/>
                <w:lang w:eastAsia="zh-CN"/>
              </w:rPr>
              <w:t>未在</w:t>
            </w:r>
            <w:r>
              <w:rPr>
                <w:lang w:eastAsia="zh-CN"/>
              </w:rPr>
              <w:t>T+1</w:t>
            </w:r>
            <w:r>
              <w:rPr>
                <w:rFonts w:ascii="SimSun" w:eastAsia="SimSun" w:hAnsi="SimSun" w:cs="SimSun" w:hint="eastAsia"/>
                <w:lang w:eastAsia="zh-CN"/>
              </w:rPr>
              <w:t>日晚上</w:t>
            </w:r>
            <w:r>
              <w:rPr>
                <w:lang w:eastAsia="zh-CN"/>
              </w:rPr>
              <w:t>11</w:t>
            </w:r>
            <w:r>
              <w:rPr>
                <w:rFonts w:ascii="SimSun" w:eastAsia="SimSun" w:hAnsi="SimSun" w:cs="SimSun" w:hint="eastAsia"/>
                <w:lang w:eastAsia="zh-CN"/>
              </w:rPr>
              <w:t>时的规定时限前，通过</w:t>
            </w:r>
            <w:r>
              <w:rPr>
                <w:lang w:eastAsia="zh-CN"/>
              </w:rPr>
              <w:t>FINI</w:t>
            </w:r>
            <w:r>
              <w:rPr>
                <w:rFonts w:ascii="SimSun" w:eastAsia="SimSun" w:hAnsi="SimSun" w:cs="SimSun" w:hint="eastAsia"/>
                <w:lang w:eastAsia="zh-CN"/>
              </w:rPr>
              <w:t>系统在联交所网站刊发配售结果公告，违反《主板上市规则》第</w:t>
            </w:r>
            <w:r>
              <w:rPr>
                <w:lang w:eastAsia="zh-CN"/>
              </w:rPr>
              <w:t>12.08</w:t>
            </w:r>
            <w:r>
              <w:rPr>
                <w:rFonts w:ascii="SimSun" w:eastAsia="SimSun" w:hAnsi="SimSun" w:cs="SimSun" w:hint="eastAsia"/>
                <w:lang w:eastAsia="zh-CN"/>
              </w:rPr>
              <w:t>条；</w:t>
            </w:r>
            <w:r>
              <w:rPr>
                <w:lang w:eastAsia="zh-CN"/>
              </w:rPr>
              <w:t>(iv)</w:t>
            </w:r>
            <w:r>
              <w:rPr>
                <w:rFonts w:ascii="SimSun" w:eastAsia="SimSun" w:hAnsi="SimSun" w:cs="SimSun" w:hint="eastAsia"/>
                <w:lang w:eastAsia="zh-CN"/>
              </w:rPr>
              <w:t>未在</w:t>
            </w:r>
            <w:r>
              <w:rPr>
                <w:lang w:eastAsia="zh-CN"/>
              </w:rPr>
              <w:t>FINI</w:t>
            </w:r>
            <w:r>
              <w:rPr>
                <w:rFonts w:ascii="SimSun" w:eastAsia="SimSun" w:hAnsi="SimSun" w:cs="SimSun" w:hint="eastAsia"/>
                <w:lang w:eastAsia="zh-CN"/>
              </w:rPr>
              <w:t>系统中准确录入其作为指定保荐人兼整体协调人的角色，导致无法通过该系统提交最终定价、配额调整及承配管理清单。</w:t>
            </w:r>
          </w:p>
        </w:tc>
      </w:tr>
    </w:tbl>
    <w:p w:rsidR="002E7C3C" w:rsidRDefault="002E7C3C">
      <w:pPr>
        <w:pStyle w:val="BodyText"/>
        <w:rPr>
          <w:lang w:eastAsia="zh-CN"/>
        </w:rPr>
      </w:pPr>
    </w:p>
    <w:tbl>
      <w:tblPr>
        <w:tblStyle w:val="TableGridLight"/>
        <w:tblW w:w="5000" w:type="pct"/>
        <w:tblLook w:val="07C0" w:firstRow="0" w:lastRow="1" w:firstColumn="1" w:lastColumn="1" w:noHBand="1" w:noVBand="1"/>
      </w:tblPr>
      <w:tblGrid>
        <w:gridCol w:w="10394"/>
      </w:tblGrid>
      <w:tr w:rsidR="002E7C3C" w:rsidTr="00AA293B">
        <w:tc>
          <w:tcPr>
            <w:tcW w:w="0" w:type="auto"/>
            <w:shd w:val="clear" w:color="auto" w:fill="F2F2F2" w:themeFill="background1" w:themeFillShade="F2"/>
          </w:tcPr>
          <w:p w:rsidR="002E7C3C" w:rsidRDefault="00AA293B">
            <w:pPr>
              <w:rPr>
                <w:lang w:eastAsia="zh-CN"/>
              </w:rPr>
            </w:pPr>
            <w:r>
              <w:rPr>
                <w:rFonts w:ascii="SimSun" w:eastAsia="SimSun" w:hAnsi="SimSun" w:cs="SimSun" w:hint="eastAsia"/>
                <w:b/>
                <w:lang w:eastAsia="zh-CN"/>
              </w:rPr>
              <w:t>案例</w:t>
            </w:r>
            <w:r>
              <w:rPr>
                <w:b/>
                <w:lang w:eastAsia="zh-CN"/>
              </w:rPr>
              <w:t xml:space="preserve"> H</w:t>
            </w:r>
            <w:r>
              <w:rPr>
                <w:rFonts w:ascii="SimSun" w:eastAsia="SimSun" w:hAnsi="SimSun" w:cs="SimSun" w:hint="eastAsia"/>
                <w:b/>
                <w:lang w:eastAsia="zh-CN"/>
              </w:rPr>
              <w:t>：境外团队无法及时取得联系</w:t>
            </w:r>
          </w:p>
          <w:p w:rsidR="002E7C3C" w:rsidRDefault="00AA293B">
            <w:pPr>
              <w:rPr>
                <w:lang w:eastAsia="zh-CN"/>
              </w:rPr>
            </w:pPr>
            <w:r>
              <w:rPr>
                <w:rFonts w:ascii="SimSun" w:eastAsia="SimSun" w:hAnsi="SimSun" w:cs="SimSun" w:hint="eastAsia"/>
                <w:lang w:eastAsia="zh-CN"/>
              </w:rPr>
              <w:t>某保荐人兼整体协调人负责处理发售阶段及</w:t>
            </w:r>
            <w:r>
              <w:rPr>
                <w:lang w:eastAsia="zh-CN"/>
              </w:rPr>
              <w:t>FINI</w:t>
            </w:r>
            <w:r>
              <w:rPr>
                <w:rFonts w:ascii="SimSun" w:eastAsia="SimSun" w:hAnsi="SimSun" w:cs="SimSun" w:hint="eastAsia"/>
                <w:lang w:eastAsia="zh-CN"/>
              </w:rPr>
              <w:t>系统相关流程的指定团队，主要驻扎在菲律宾。该团队的负责人员多数时间无法取得联系，导致回复时间延长，多项工作、流程及程序出现延误，包括未能在</w:t>
            </w:r>
            <w:r>
              <w:rPr>
                <w:lang w:eastAsia="zh-CN"/>
              </w:rPr>
              <w:t>T+1</w:t>
            </w:r>
            <w:r>
              <w:rPr>
                <w:rFonts w:ascii="SimSun" w:eastAsia="SimSun" w:hAnsi="SimSun" w:cs="SimSun" w:hint="eastAsia"/>
                <w:lang w:eastAsia="zh-CN"/>
              </w:rPr>
              <w:t>日上午</w:t>
            </w:r>
            <w:r>
              <w:rPr>
                <w:lang w:eastAsia="zh-CN"/>
              </w:rPr>
              <w:t>10</w:t>
            </w:r>
            <w:r>
              <w:rPr>
                <w:rFonts w:ascii="SimSun" w:eastAsia="SimSun" w:hAnsi="SimSun" w:cs="SimSun" w:hint="eastAsia"/>
                <w:lang w:eastAsia="zh-CN"/>
              </w:rPr>
              <w:t>时前及时提交所有承配人详情以供审核。</w:t>
            </w:r>
          </w:p>
        </w:tc>
      </w:tr>
    </w:tbl>
    <w:p w:rsidR="002E7C3C" w:rsidRDefault="002E7C3C">
      <w:pPr>
        <w:pStyle w:val="BodyText"/>
        <w:rPr>
          <w:lang w:eastAsia="zh-CN"/>
        </w:rPr>
      </w:pPr>
    </w:p>
    <w:tbl>
      <w:tblPr>
        <w:tblStyle w:val="TableGridLight"/>
        <w:tblW w:w="5000" w:type="pct"/>
        <w:tblLook w:val="07C0" w:firstRow="0" w:lastRow="1" w:firstColumn="1" w:lastColumn="1" w:noHBand="1" w:noVBand="1"/>
      </w:tblPr>
      <w:tblGrid>
        <w:gridCol w:w="10394"/>
      </w:tblGrid>
      <w:tr w:rsidR="002E7C3C" w:rsidTr="00AA293B">
        <w:tc>
          <w:tcPr>
            <w:tcW w:w="0" w:type="auto"/>
            <w:shd w:val="clear" w:color="auto" w:fill="F2F2F2" w:themeFill="background1" w:themeFillShade="F2"/>
          </w:tcPr>
          <w:p w:rsidR="002E7C3C" w:rsidRDefault="00AA293B">
            <w:pPr>
              <w:rPr>
                <w:lang w:eastAsia="zh-CN"/>
              </w:rPr>
            </w:pPr>
            <w:r>
              <w:rPr>
                <w:rFonts w:ascii="SimSun" w:eastAsia="SimSun" w:hAnsi="SimSun" w:cs="SimSun" w:hint="eastAsia"/>
                <w:b/>
                <w:lang w:eastAsia="zh-CN"/>
              </w:rPr>
              <w:t>案例</w:t>
            </w:r>
            <w:r>
              <w:rPr>
                <w:b/>
                <w:lang w:eastAsia="zh-CN"/>
              </w:rPr>
              <w:t xml:space="preserve"> I</w:t>
            </w:r>
            <w:r>
              <w:rPr>
                <w:rFonts w:ascii="SimSun" w:eastAsia="SimSun" w:hAnsi="SimSun" w:cs="SimSun" w:hint="eastAsia"/>
                <w:b/>
                <w:lang w:eastAsia="zh-CN"/>
              </w:rPr>
              <w:t>：发售阶段未配备足够资深人员</w:t>
            </w:r>
          </w:p>
          <w:p w:rsidR="002E7C3C" w:rsidRDefault="00AA293B">
            <w:pPr>
              <w:rPr>
                <w:lang w:eastAsia="zh-CN"/>
              </w:rPr>
            </w:pPr>
            <w:r>
              <w:rPr>
                <w:rFonts w:ascii="SimSun" w:eastAsia="SimSun" w:hAnsi="SimSun" w:cs="SimSun" w:hint="eastAsia"/>
                <w:lang w:eastAsia="zh-CN"/>
              </w:rPr>
              <w:t>保荐人兼整体协调人未指定足够资深且经验丰富的人员去处理相关流程及发售阶段的相关事务，导致监管机构在</w:t>
            </w:r>
            <w:r>
              <w:rPr>
                <w:lang w:eastAsia="zh-CN"/>
              </w:rPr>
              <w:t>T+1</w:t>
            </w:r>
            <w:r>
              <w:rPr>
                <w:rFonts w:ascii="SimSun" w:eastAsia="SimSun" w:hAnsi="SimSun" w:cs="SimSun" w:hint="eastAsia"/>
                <w:lang w:eastAsia="zh-CN"/>
              </w:rPr>
              <w:t>日全天需向其团队成员提供支持及详细指引，造成监管资源的不必要消耗。</w:t>
            </w:r>
          </w:p>
        </w:tc>
      </w:tr>
    </w:tbl>
    <w:p w:rsidR="002E7C3C" w:rsidRDefault="00AA293B">
      <w:pPr>
        <w:pStyle w:val="BodyText"/>
        <w:rPr>
          <w:lang w:eastAsia="zh-CN"/>
        </w:rPr>
      </w:pPr>
      <w:r>
        <w:rPr>
          <w:b/>
          <w:i/>
          <w:lang w:eastAsia="zh-CN"/>
        </w:rPr>
        <w:t>相关监管条款</w:t>
      </w:r>
    </w:p>
    <w:p w:rsidR="002E7C3C" w:rsidRDefault="00AA293B">
      <w:pPr>
        <w:pStyle w:val="BodyText"/>
        <w:rPr>
          <w:lang w:eastAsia="zh-CN"/>
        </w:rPr>
      </w:pPr>
      <w:r>
        <w:rPr>
          <w:lang w:eastAsia="zh-CN"/>
        </w:rPr>
        <w:t>上述</w:t>
      </w:r>
      <w:r>
        <w:rPr>
          <w:lang w:eastAsia="zh-CN"/>
        </w:rPr>
        <w:t>案例表明，可能违反以下监管条款：</w:t>
      </w:r>
    </w:p>
    <w:p w:rsidR="002E7C3C" w:rsidRDefault="00AA293B">
      <w:pPr>
        <w:pStyle w:val="Compact"/>
        <w:numPr>
          <w:ilvl w:val="0"/>
          <w:numId w:val="9"/>
        </w:numPr>
        <w:rPr>
          <w:lang w:eastAsia="zh-CN"/>
        </w:rPr>
      </w:pPr>
      <w:r>
        <w:rPr>
          <w:b/>
          <w:lang w:eastAsia="zh-CN"/>
        </w:rPr>
        <w:t>《操守准则》第</w:t>
      </w:r>
      <w:r>
        <w:rPr>
          <w:b/>
          <w:lang w:eastAsia="zh-CN"/>
        </w:rPr>
        <w:t>17.2(g)</w:t>
      </w:r>
      <w:r>
        <w:rPr>
          <w:b/>
          <w:lang w:eastAsia="zh-CN"/>
        </w:rPr>
        <w:t>条及第</w:t>
      </w:r>
      <w:r>
        <w:rPr>
          <w:b/>
          <w:lang w:eastAsia="zh-CN"/>
        </w:rPr>
        <w:t>17.13(a)(ii)</w:t>
      </w:r>
      <w:r>
        <w:rPr>
          <w:b/>
          <w:lang w:eastAsia="zh-CN"/>
        </w:rPr>
        <w:t>条</w:t>
      </w:r>
      <w:r>
        <w:rPr>
          <w:lang w:eastAsia="zh-CN"/>
        </w:rPr>
        <w:t>：若上市申请涉及公开发售，香港保荐人应担任公开发售的整体经办人，并制定充足安排、配备充足资源，确保公开发售及所有相关事宜均以公平、及时、有序的方式进行。</w:t>
      </w:r>
    </w:p>
    <w:p w:rsidR="002E7C3C" w:rsidRDefault="00AA293B">
      <w:pPr>
        <w:pStyle w:val="Compact"/>
        <w:numPr>
          <w:ilvl w:val="0"/>
          <w:numId w:val="9"/>
        </w:numPr>
        <w:rPr>
          <w:lang w:eastAsia="zh-CN"/>
        </w:rPr>
      </w:pPr>
      <w:r>
        <w:rPr>
          <w:b/>
          <w:lang w:eastAsia="zh-CN"/>
        </w:rPr>
        <w:t>《操守准则》第</w:t>
      </w:r>
      <w:r>
        <w:rPr>
          <w:b/>
          <w:lang w:eastAsia="zh-CN"/>
        </w:rPr>
        <w:t>17.11(c)(i)</w:t>
      </w:r>
      <w:r>
        <w:rPr>
          <w:b/>
          <w:lang w:eastAsia="zh-CN"/>
        </w:rPr>
        <w:t>条</w:t>
      </w:r>
      <w:r>
        <w:rPr>
          <w:lang w:eastAsia="zh-CN"/>
        </w:rPr>
        <w:t>：香港保荐人应委任交易小组，小组成员须具备开展香港首次公开招股业务所需的相应知识、技能及经验，并在整个项目周期内履职。</w:t>
      </w:r>
    </w:p>
    <w:p w:rsidR="002E7C3C" w:rsidRDefault="00AA293B">
      <w:pPr>
        <w:pStyle w:val="Compact"/>
        <w:numPr>
          <w:ilvl w:val="0"/>
          <w:numId w:val="9"/>
        </w:numPr>
        <w:rPr>
          <w:lang w:eastAsia="zh-CN"/>
        </w:rPr>
      </w:pPr>
      <w:r>
        <w:rPr>
          <w:b/>
          <w:lang w:eastAsia="zh-CN"/>
        </w:rPr>
        <w:t>《保荐人指引》</w:t>
      </w:r>
      <w:hyperlink w:anchor="footnote-598-9">
        <w:r>
          <w:rPr>
            <w:vertAlign w:val="superscript"/>
            <w:lang w:eastAsia="zh-CN"/>
          </w:rPr>
          <w:t>9</w:t>
        </w:r>
      </w:hyperlink>
      <w:r>
        <w:rPr>
          <w:lang w:eastAsia="zh-CN"/>
        </w:rPr>
        <w:t xml:space="preserve"> </w:t>
      </w:r>
      <w:r>
        <w:rPr>
          <w:b/>
          <w:lang w:eastAsia="zh-CN"/>
        </w:rPr>
        <w:t>第</w:t>
      </w:r>
      <w:r>
        <w:rPr>
          <w:b/>
          <w:lang w:eastAsia="zh-CN"/>
        </w:rPr>
        <w:t>1.2</w:t>
      </w:r>
      <w:r>
        <w:rPr>
          <w:b/>
          <w:lang w:eastAsia="zh-CN"/>
        </w:rPr>
        <w:t>条及第</w:t>
      </w:r>
      <w:r>
        <w:rPr>
          <w:b/>
          <w:lang w:eastAsia="zh-CN"/>
        </w:rPr>
        <w:t>3.1.1</w:t>
      </w:r>
      <w:r>
        <w:rPr>
          <w:b/>
          <w:lang w:eastAsia="zh-CN"/>
        </w:rPr>
        <w:t>条</w:t>
      </w:r>
      <w:r>
        <w:rPr>
          <w:lang w:eastAsia="zh-CN"/>
        </w:rPr>
        <w:t>：管理层</w:t>
      </w:r>
      <w:hyperlink w:anchor="footnote-598-10">
        <w:r>
          <w:rPr>
            <w:vertAlign w:val="superscript"/>
            <w:lang w:eastAsia="zh-CN"/>
          </w:rPr>
          <w:t>10</w:t>
        </w:r>
      </w:hyperlink>
      <w:r>
        <w:rPr>
          <w:lang w:eastAsia="zh-CN"/>
        </w:rPr>
        <w:t xml:space="preserve"> </w:t>
      </w:r>
      <w:r>
        <w:rPr>
          <w:lang w:eastAsia="zh-CN"/>
        </w:rPr>
        <w:t>应确保委派足够的主要人员监督交易小组；主要人员应充分了解每项上市项目的关键事项。</w:t>
      </w:r>
    </w:p>
    <w:p w:rsidR="002E7C3C" w:rsidRDefault="00AA293B">
      <w:pPr>
        <w:pStyle w:val="Heading2"/>
        <w:rPr>
          <w:lang w:eastAsia="zh-CN"/>
        </w:rPr>
      </w:pPr>
      <w:bookmarkStart w:id="4" w:name="二-过度依赖专家及第三方"/>
      <w:r>
        <w:rPr>
          <w:lang w:eastAsia="zh-CN"/>
        </w:rPr>
        <w:lastRenderedPageBreak/>
        <w:t>二、</w:t>
      </w:r>
      <w:r>
        <w:rPr>
          <w:lang w:eastAsia="zh-CN"/>
        </w:rPr>
        <w:t xml:space="preserve"> </w:t>
      </w:r>
      <w:r>
        <w:rPr>
          <w:lang w:eastAsia="zh-CN"/>
        </w:rPr>
        <w:t>过度依赖专家及第三方</w:t>
      </w:r>
      <w:bookmarkEnd w:id="4"/>
    </w:p>
    <w:p w:rsidR="002E7C3C" w:rsidRDefault="00AA293B">
      <w:pPr>
        <w:pStyle w:val="FirstParagraph"/>
        <w:rPr>
          <w:lang w:eastAsia="zh-CN"/>
        </w:rPr>
      </w:pPr>
      <w:r>
        <w:rPr>
          <w:lang w:eastAsia="zh-CN"/>
        </w:rPr>
        <w:t>《证监会保荐人通函附录》指出，上市文件草拟本存在的严重缺陷，可能表明香港保荐人过度依赖律师、会计师、估值师等专家及第三方负责撰写上市文件等特定工作，但保荐人并未充分评估这些专家及第三方的胜任能力与资源配备情况。</w:t>
      </w:r>
    </w:p>
    <w:p w:rsidR="002E7C3C" w:rsidRDefault="00AA293B">
      <w:pPr>
        <w:pStyle w:val="BodyText"/>
        <w:rPr>
          <w:lang w:eastAsia="zh-CN"/>
        </w:rPr>
      </w:pPr>
      <w:r>
        <w:rPr>
          <w:b/>
          <w:i/>
          <w:lang w:eastAsia="zh-CN"/>
        </w:rPr>
        <w:t>相关监管条款</w:t>
      </w:r>
    </w:p>
    <w:p w:rsidR="002E7C3C" w:rsidRDefault="00AA293B">
      <w:pPr>
        <w:pStyle w:val="BodyText"/>
        <w:rPr>
          <w:lang w:eastAsia="zh-CN"/>
        </w:rPr>
      </w:pPr>
      <w:r>
        <w:rPr>
          <w:b/>
          <w:lang w:eastAsia="zh-CN"/>
        </w:rPr>
        <w:t>《操守准则》第</w:t>
      </w:r>
      <w:r>
        <w:rPr>
          <w:b/>
          <w:lang w:eastAsia="zh-CN"/>
        </w:rPr>
        <w:t>17.6(g)</w:t>
      </w:r>
      <w:r>
        <w:rPr>
          <w:b/>
          <w:lang w:eastAsia="zh-CN"/>
        </w:rPr>
        <w:t>条第</w:t>
      </w:r>
      <w:r>
        <w:rPr>
          <w:b/>
          <w:lang w:eastAsia="zh-CN"/>
        </w:rPr>
        <w:t>17.7(a)</w:t>
      </w:r>
      <w:r>
        <w:rPr>
          <w:b/>
          <w:lang w:eastAsia="zh-CN"/>
        </w:rPr>
        <w:t>条规定</w:t>
      </w:r>
      <w:r>
        <w:rPr>
          <w:lang w:eastAsia="zh-CN"/>
        </w:rPr>
        <w:t>：香港保荐人委托专家及第三方承担特定工作的，仍需对该等工作负责。香港保荐人应评估该等专家或第三方是否具备开展相关工作所需的适当资质、经验及胜任能力，同时评估其是否配备充足资源。保荐人应从合资格人员配备及技术能力两方面，评估专家及第三方是否具备充足资源，确保其能够按要求标准履行职责。</w:t>
      </w:r>
    </w:p>
    <w:p w:rsidR="002E7C3C" w:rsidRDefault="00AA293B">
      <w:pPr>
        <w:pStyle w:val="BodyText"/>
        <w:rPr>
          <w:lang w:eastAsia="zh-CN"/>
        </w:rPr>
      </w:pPr>
      <w:r>
        <w:rPr>
          <w:lang w:eastAsia="zh-CN"/>
        </w:rPr>
        <w:t>基于上述高度关注的问题，证监会向业内部分活跃保荐人调取项目资料，以了解香港首次公开招股市场的现状，包括上市项目数量及保荐人承接委聘项目的资源配备情况。调查结果进一步揭示了保荐人在上市委聘项目人力资源配备的充足性与胜任能力方面存在</w:t>
      </w:r>
      <w:r>
        <w:rPr>
          <w:lang w:eastAsia="zh-CN"/>
        </w:rPr>
        <w:t>的其他严重问题，具体内容详见本附录第三至第五部分。</w:t>
      </w:r>
    </w:p>
    <w:p w:rsidR="002E7C3C" w:rsidRDefault="00AA293B">
      <w:pPr>
        <w:pStyle w:val="Heading2"/>
        <w:rPr>
          <w:lang w:eastAsia="zh-CN"/>
        </w:rPr>
      </w:pPr>
      <w:bookmarkStart w:id="5" w:name="三-主要人员履职能力不足"/>
      <w:r>
        <w:rPr>
          <w:lang w:eastAsia="zh-CN"/>
        </w:rPr>
        <w:t>三、</w:t>
      </w:r>
      <w:r>
        <w:rPr>
          <w:lang w:eastAsia="zh-CN"/>
        </w:rPr>
        <w:t xml:space="preserve"> </w:t>
      </w:r>
      <w:r>
        <w:rPr>
          <w:lang w:eastAsia="zh-CN"/>
        </w:rPr>
        <w:t>主要人员履职能力不足</w:t>
      </w:r>
      <w:bookmarkEnd w:id="5"/>
    </w:p>
    <w:p w:rsidR="002E7C3C" w:rsidRDefault="00AA293B">
      <w:pPr>
        <w:pStyle w:val="FirstParagraph"/>
        <w:rPr>
          <w:lang w:eastAsia="zh-CN"/>
        </w:rPr>
      </w:pPr>
      <w:r>
        <w:rPr>
          <w:lang w:eastAsia="zh-CN"/>
        </w:rPr>
        <w:t>主要人员在新上市申请中应发挥关键作用，包括监督交易小组、处理核心尽职调查流程，以及在需要时及时为交易小组提供指引。然而，证监会发现，许多主要人员同时承担</w:t>
      </w:r>
      <w:r>
        <w:rPr>
          <w:b/>
          <w:lang w:eastAsia="zh-CN"/>
        </w:rPr>
        <w:t>六项及以上</w:t>
      </w:r>
      <w:r>
        <w:rPr>
          <w:lang w:eastAsia="zh-CN"/>
        </w:rPr>
        <w:t>的活跃上市项目，这一现象引发监管关注。</w:t>
      </w:r>
    </w:p>
    <w:p w:rsidR="002E7C3C" w:rsidRDefault="00AA293B">
      <w:pPr>
        <w:pStyle w:val="BodyText"/>
        <w:rPr>
          <w:lang w:eastAsia="zh-CN"/>
        </w:rPr>
      </w:pPr>
      <w:r>
        <w:rPr>
          <w:lang w:eastAsia="zh-CN"/>
        </w:rPr>
        <w:t>在证监会发现的最严重案例中，部分主要人员同时担任多达</w:t>
      </w:r>
      <w:r>
        <w:rPr>
          <w:b/>
          <w:lang w:eastAsia="zh-CN"/>
        </w:rPr>
        <w:t>19</w:t>
      </w:r>
      <w:r>
        <w:rPr>
          <w:b/>
          <w:lang w:eastAsia="zh-CN"/>
        </w:rPr>
        <w:t>个活跃上市委聘项目</w:t>
      </w:r>
      <w:r>
        <w:rPr>
          <w:lang w:eastAsia="zh-CN"/>
        </w:rPr>
        <w:t>的签署主要人员。该数量远超其合理的管理能力范围，令人严重怀疑其能否充分履行监督职责。</w:t>
      </w:r>
    </w:p>
    <w:tbl>
      <w:tblPr>
        <w:tblStyle w:val="TableGridLight"/>
        <w:tblW w:w="5000" w:type="pct"/>
        <w:tblLook w:val="07C0" w:firstRow="0" w:lastRow="1" w:firstColumn="1" w:lastColumn="1" w:noHBand="1" w:noVBand="1"/>
      </w:tblPr>
      <w:tblGrid>
        <w:gridCol w:w="10394"/>
      </w:tblGrid>
      <w:tr w:rsidR="002E7C3C" w:rsidTr="00AA293B">
        <w:tc>
          <w:tcPr>
            <w:tcW w:w="0" w:type="auto"/>
            <w:shd w:val="clear" w:color="auto" w:fill="F2F2F2" w:themeFill="background1" w:themeFillShade="F2"/>
          </w:tcPr>
          <w:p w:rsidR="002E7C3C" w:rsidRDefault="00AA293B">
            <w:pPr>
              <w:rPr>
                <w:lang w:eastAsia="zh-CN"/>
              </w:rPr>
            </w:pPr>
            <w:r>
              <w:rPr>
                <w:rFonts w:ascii="SimSun" w:eastAsia="SimSun" w:hAnsi="SimSun" w:cs="SimSun" w:hint="eastAsia"/>
                <w:b/>
                <w:lang w:eastAsia="zh-CN"/>
              </w:rPr>
              <w:t>案例</w:t>
            </w:r>
            <w:r>
              <w:rPr>
                <w:b/>
                <w:lang w:eastAsia="zh-CN"/>
              </w:rPr>
              <w:t xml:space="preserve"> J</w:t>
            </w:r>
            <w:r>
              <w:rPr>
                <w:rFonts w:ascii="SimSun" w:eastAsia="SimSun" w:hAnsi="SimSun" w:cs="SimSun" w:hint="eastAsia"/>
                <w:b/>
                <w:lang w:eastAsia="zh-CN"/>
              </w:rPr>
              <w:t>：主要人员工作量超负荷</w:t>
            </w:r>
          </w:p>
          <w:p w:rsidR="002E7C3C" w:rsidRDefault="00AA293B">
            <w:pPr>
              <w:rPr>
                <w:lang w:eastAsia="zh-CN"/>
              </w:rPr>
            </w:pPr>
            <w:r>
              <w:rPr>
                <w:rFonts w:ascii="SimSun" w:eastAsia="SimSun" w:hAnsi="SimSun" w:cs="SimSun" w:hint="eastAsia"/>
                <w:b/>
                <w:lang w:eastAsia="zh-CN"/>
              </w:rPr>
              <w:t>某保荐人</w:t>
            </w:r>
            <w:r>
              <w:rPr>
                <w:rFonts w:ascii="SimSun" w:eastAsia="SimSun" w:hAnsi="SimSun" w:cs="SimSun" w:hint="eastAsia"/>
                <w:lang w:eastAsia="zh-CN"/>
              </w:rPr>
              <w:t>的所有主要人员，均同时监管六个</w:t>
            </w:r>
            <w:r>
              <w:rPr>
                <w:rFonts w:ascii="SimSun" w:eastAsia="SimSun" w:hAnsi="SimSun" w:cs="SimSun" w:hint="eastAsia"/>
                <w:lang w:eastAsia="zh-CN"/>
              </w:rPr>
              <w:t>及以上的活跃上市委聘项目。其中，该保荐人最忙碌的主要人员在</w:t>
            </w:r>
            <w:r>
              <w:rPr>
                <w:lang w:eastAsia="zh-CN"/>
              </w:rPr>
              <w:t>2025</w:t>
            </w:r>
            <w:r>
              <w:rPr>
                <w:rFonts w:ascii="SimSun" w:eastAsia="SimSun" w:hAnsi="SimSun" w:cs="SimSun" w:hint="eastAsia"/>
                <w:lang w:eastAsia="zh-CN"/>
              </w:rPr>
              <w:t>年</w:t>
            </w:r>
            <w:r>
              <w:rPr>
                <w:lang w:eastAsia="zh-CN"/>
              </w:rPr>
              <w:t>12</w:t>
            </w:r>
            <w:r>
              <w:rPr>
                <w:rFonts w:ascii="SimSun" w:eastAsia="SimSun" w:hAnsi="SimSun" w:cs="SimSun" w:hint="eastAsia"/>
                <w:lang w:eastAsia="zh-CN"/>
              </w:rPr>
              <w:t>月</w:t>
            </w:r>
            <w:r>
              <w:rPr>
                <w:lang w:eastAsia="zh-CN"/>
              </w:rPr>
              <w:t>31</w:t>
            </w:r>
            <w:r>
              <w:rPr>
                <w:rFonts w:ascii="SimSun" w:eastAsia="SimSun" w:hAnsi="SimSun" w:cs="SimSun" w:hint="eastAsia"/>
                <w:lang w:eastAsia="zh-CN"/>
              </w:rPr>
              <w:t>日，同时担任</w:t>
            </w:r>
            <w:r>
              <w:rPr>
                <w:lang w:eastAsia="zh-CN"/>
              </w:rPr>
              <w:t>10</w:t>
            </w:r>
            <w:r>
              <w:rPr>
                <w:rFonts w:ascii="SimSun" w:eastAsia="SimSun" w:hAnsi="SimSun" w:cs="SimSun" w:hint="eastAsia"/>
                <w:lang w:eastAsia="zh-CN"/>
              </w:rPr>
              <w:t>个活跃上市委聘项目的签署主要人员，还兼任另外</w:t>
            </w:r>
            <w:r>
              <w:rPr>
                <w:lang w:eastAsia="zh-CN"/>
              </w:rPr>
              <w:t>9</w:t>
            </w:r>
            <w:r>
              <w:rPr>
                <w:rFonts w:ascii="SimSun" w:eastAsia="SimSun" w:hAnsi="SimSun" w:cs="SimSun" w:hint="eastAsia"/>
                <w:lang w:eastAsia="zh-CN"/>
              </w:rPr>
              <w:t>个活跃上市项目的交易小组成员。此外，该保荐人的其他主要人员，也以签署主要人员或交易小组成员的身份，参与</w:t>
            </w:r>
            <w:r>
              <w:rPr>
                <w:lang w:eastAsia="zh-CN"/>
              </w:rPr>
              <w:t>11</w:t>
            </w:r>
            <w:r>
              <w:rPr>
                <w:rFonts w:ascii="SimSun" w:eastAsia="SimSun" w:hAnsi="SimSun" w:cs="SimSun" w:hint="eastAsia"/>
                <w:lang w:eastAsia="zh-CN"/>
              </w:rPr>
              <w:t>个及以上的活跃上市项目。</w:t>
            </w:r>
          </w:p>
          <w:p w:rsidR="002E7C3C" w:rsidRDefault="00AA293B">
            <w:pPr>
              <w:rPr>
                <w:lang w:eastAsia="zh-CN"/>
              </w:rPr>
            </w:pPr>
            <w:r>
              <w:rPr>
                <w:rFonts w:ascii="SimSun" w:eastAsia="SimSun" w:hAnsi="SimSun" w:cs="SimSun" w:hint="eastAsia"/>
                <w:b/>
                <w:lang w:eastAsia="zh-CN"/>
              </w:rPr>
              <w:t>在另外三家活跃的香港保荐人中</w:t>
            </w:r>
            <w:r>
              <w:rPr>
                <w:rFonts w:ascii="SimSun" w:eastAsia="SimSun" w:hAnsi="SimSun" w:cs="SimSun" w:hint="eastAsia"/>
                <w:lang w:eastAsia="zh-CN"/>
              </w:rPr>
              <w:t>，超过</w:t>
            </w:r>
            <w:r>
              <w:rPr>
                <w:lang w:eastAsia="zh-CN"/>
              </w:rPr>
              <w:t>80%</w:t>
            </w:r>
            <w:r>
              <w:rPr>
                <w:rFonts w:ascii="SimSun" w:eastAsia="SimSun" w:hAnsi="SimSun" w:cs="SimSun" w:hint="eastAsia"/>
                <w:lang w:eastAsia="zh-CN"/>
              </w:rPr>
              <w:t>的主要人员同时监管或参与六个及以上的活跃上市委聘项目。事实上，这三家保荐人中最忙碌的主要人员，分别同时担任</w:t>
            </w:r>
            <w:r>
              <w:rPr>
                <w:lang w:eastAsia="zh-CN"/>
              </w:rPr>
              <w:t xml:space="preserve"> 19 </w:t>
            </w:r>
            <w:r>
              <w:rPr>
                <w:rFonts w:ascii="SimSun" w:eastAsia="SimSun" w:hAnsi="SimSun" w:cs="SimSun" w:hint="eastAsia"/>
                <w:lang w:eastAsia="zh-CN"/>
              </w:rPr>
              <w:t>个、</w:t>
            </w:r>
            <w:r>
              <w:rPr>
                <w:lang w:eastAsia="zh-CN"/>
              </w:rPr>
              <w:t xml:space="preserve">17 </w:t>
            </w:r>
            <w:r>
              <w:rPr>
                <w:rFonts w:ascii="SimSun" w:eastAsia="SimSun" w:hAnsi="SimSun" w:cs="SimSun" w:hint="eastAsia"/>
                <w:lang w:eastAsia="zh-CN"/>
              </w:rPr>
              <w:t>个及</w:t>
            </w:r>
            <w:r>
              <w:rPr>
                <w:lang w:eastAsia="zh-CN"/>
              </w:rPr>
              <w:t xml:space="preserve"> 7 </w:t>
            </w:r>
            <w:r>
              <w:rPr>
                <w:rFonts w:ascii="SimSun" w:eastAsia="SimSun" w:hAnsi="SimSun" w:cs="SimSun" w:hint="eastAsia"/>
                <w:lang w:eastAsia="zh-CN"/>
              </w:rPr>
              <w:t>个活跃上市项目的签署负责人。</w:t>
            </w:r>
          </w:p>
          <w:p w:rsidR="002E7C3C" w:rsidRDefault="00AA293B">
            <w:pPr>
              <w:rPr>
                <w:lang w:eastAsia="zh-CN"/>
              </w:rPr>
            </w:pPr>
            <w:r>
              <w:rPr>
                <w:rFonts w:ascii="SimSun" w:eastAsia="SimSun" w:hAnsi="SimSun" w:cs="SimSun" w:hint="eastAsia"/>
                <w:lang w:eastAsia="zh-CN"/>
              </w:rPr>
              <w:t>截至</w:t>
            </w:r>
            <w:r>
              <w:rPr>
                <w:lang w:eastAsia="zh-CN"/>
              </w:rPr>
              <w:t xml:space="preserve"> 2025</w:t>
            </w:r>
            <w:r>
              <w:rPr>
                <w:rFonts w:ascii="SimSun" w:eastAsia="SimSun" w:hAnsi="SimSun" w:cs="SimSun" w:hint="eastAsia"/>
                <w:lang w:eastAsia="zh-CN"/>
              </w:rPr>
              <w:t>年</w:t>
            </w:r>
            <w:r>
              <w:rPr>
                <w:lang w:eastAsia="zh-CN"/>
              </w:rPr>
              <w:t>12</w:t>
            </w:r>
            <w:r>
              <w:rPr>
                <w:rFonts w:ascii="SimSun" w:eastAsia="SimSun" w:hAnsi="SimSun" w:cs="SimSun" w:hint="eastAsia"/>
                <w:lang w:eastAsia="zh-CN"/>
              </w:rPr>
              <w:t>月</w:t>
            </w:r>
            <w:r>
              <w:rPr>
                <w:lang w:eastAsia="zh-CN"/>
              </w:rPr>
              <w:t>31</w:t>
            </w:r>
            <w:r>
              <w:rPr>
                <w:rFonts w:ascii="SimSun" w:eastAsia="SimSun" w:hAnsi="SimSun" w:cs="SimSun" w:hint="eastAsia"/>
                <w:lang w:eastAsia="zh-CN"/>
              </w:rPr>
              <w:t>日，</w:t>
            </w:r>
            <w:r>
              <w:rPr>
                <w:rFonts w:ascii="SimSun" w:eastAsia="SimSun" w:hAnsi="SimSun" w:cs="SimSun" w:hint="eastAsia"/>
                <w:b/>
                <w:lang w:eastAsia="zh-CN"/>
              </w:rPr>
              <w:t>另有一</w:t>
            </w:r>
            <w:r>
              <w:rPr>
                <w:rFonts w:ascii="SimSun" w:eastAsia="SimSun" w:hAnsi="SimSun" w:cs="SimSun" w:hint="eastAsia"/>
                <w:b/>
                <w:lang w:eastAsia="zh-CN"/>
              </w:rPr>
              <w:t>家香港保荐人</w:t>
            </w:r>
            <w:r>
              <w:rPr>
                <w:rFonts w:ascii="SimSun" w:eastAsia="SimSun" w:hAnsi="SimSun" w:cs="SimSun" w:hint="eastAsia"/>
                <w:lang w:eastAsia="zh-CN"/>
              </w:rPr>
              <w:t>的最活跃主要人员，同时担任</w:t>
            </w:r>
            <w:r>
              <w:rPr>
                <w:lang w:eastAsia="zh-CN"/>
              </w:rPr>
              <w:t>8</w:t>
            </w:r>
            <w:r>
              <w:rPr>
                <w:rFonts w:ascii="SimSun" w:eastAsia="SimSun" w:hAnsi="SimSun" w:cs="SimSun" w:hint="eastAsia"/>
                <w:lang w:eastAsia="zh-CN"/>
              </w:rPr>
              <w:t>个活跃上市项目的签署主要人员，以及另外</w:t>
            </w:r>
            <w:r>
              <w:rPr>
                <w:lang w:eastAsia="zh-CN"/>
              </w:rPr>
              <w:t>6</w:t>
            </w:r>
            <w:r>
              <w:rPr>
                <w:rFonts w:ascii="SimSun" w:eastAsia="SimSun" w:hAnsi="SimSun" w:cs="SimSun" w:hint="eastAsia"/>
                <w:lang w:eastAsia="zh-CN"/>
              </w:rPr>
              <w:t>个活跃上市项目的交易小组成员。</w:t>
            </w:r>
          </w:p>
        </w:tc>
      </w:tr>
    </w:tbl>
    <w:p w:rsidR="002E7C3C" w:rsidRDefault="00AA293B">
      <w:pPr>
        <w:pStyle w:val="BodyText"/>
        <w:rPr>
          <w:lang w:eastAsia="zh-CN"/>
        </w:rPr>
      </w:pPr>
      <w:r>
        <w:rPr>
          <w:b/>
          <w:i/>
          <w:lang w:eastAsia="zh-CN"/>
        </w:rPr>
        <w:t>相关监管条款</w:t>
      </w:r>
    </w:p>
    <w:p w:rsidR="002E7C3C" w:rsidRDefault="00AA293B">
      <w:pPr>
        <w:pStyle w:val="BodyText"/>
        <w:rPr>
          <w:lang w:eastAsia="zh-CN"/>
        </w:rPr>
      </w:pPr>
      <w:r>
        <w:rPr>
          <w:b/>
          <w:lang w:eastAsia="zh-CN"/>
        </w:rPr>
        <w:t>《保荐人指引》第</w:t>
      </w:r>
      <w:r>
        <w:rPr>
          <w:b/>
          <w:lang w:eastAsia="zh-CN"/>
        </w:rPr>
        <w:t>1.2</w:t>
      </w:r>
      <w:r>
        <w:rPr>
          <w:b/>
          <w:lang w:eastAsia="zh-CN"/>
        </w:rPr>
        <w:t>条</w:t>
      </w:r>
      <w:r>
        <w:rPr>
          <w:lang w:eastAsia="zh-CN"/>
        </w:rPr>
        <w:t>：管理层应根据保荐人承接的保荐业务工作量、规模、复杂程度及性质，确保委派足够的全职主要人员，履行监督交易小组的职责。若某一上市项目存在多名联席香港保荐人，则每名香港保荐人均须指定主要人员监督该项目。</w:t>
      </w:r>
    </w:p>
    <w:p w:rsidR="002E7C3C" w:rsidRDefault="00AA293B">
      <w:pPr>
        <w:pStyle w:val="BodyText"/>
        <w:rPr>
          <w:lang w:eastAsia="zh-CN"/>
        </w:rPr>
      </w:pPr>
      <w:r>
        <w:rPr>
          <w:b/>
          <w:lang w:eastAsia="zh-CN"/>
        </w:rPr>
        <w:t>《操守准则》第</w:t>
      </w:r>
      <w:r>
        <w:rPr>
          <w:b/>
          <w:lang w:eastAsia="zh-CN"/>
        </w:rPr>
        <w:t>17.11(c)</w:t>
      </w:r>
      <w:r>
        <w:rPr>
          <w:b/>
          <w:lang w:eastAsia="zh-CN"/>
        </w:rPr>
        <w:t>条注释</w:t>
      </w:r>
      <w:r>
        <w:rPr>
          <w:b/>
          <w:lang w:eastAsia="zh-CN"/>
        </w:rPr>
        <w:t>2(B)</w:t>
      </w:r>
      <w:r>
        <w:rPr>
          <w:lang w:eastAsia="zh-CN"/>
        </w:rPr>
        <w:t>：若一名主要人员被指派监督多个交易小组，管理层（根据《操守准则》第</w:t>
      </w:r>
      <w:r>
        <w:rPr>
          <w:lang w:eastAsia="zh-CN"/>
        </w:rPr>
        <w:t>17.15(i)</w:t>
      </w:r>
      <w:r>
        <w:rPr>
          <w:lang w:eastAsia="zh-CN"/>
        </w:rPr>
        <w:t>条之规定，包括董事会、董事总经理、行政总裁、负责人员、主管人员及其他高层管理人员）应确认，每个团队均至少有一名具备监督所需能力、本领及胜任力的主要人员，对团队进行妥善且充分的监督。</w:t>
      </w:r>
    </w:p>
    <w:p w:rsidR="002E7C3C" w:rsidRDefault="00AA293B">
      <w:pPr>
        <w:pStyle w:val="BodyText"/>
        <w:rPr>
          <w:lang w:eastAsia="zh-CN"/>
        </w:rPr>
      </w:pPr>
      <w:r>
        <w:rPr>
          <w:b/>
          <w:lang w:eastAsia="zh-CN"/>
        </w:rPr>
        <w:lastRenderedPageBreak/>
        <w:t>《保荐人指引》第</w:t>
      </w:r>
      <w:r>
        <w:rPr>
          <w:b/>
          <w:lang w:eastAsia="zh-CN"/>
        </w:rPr>
        <w:t>3.1.1</w:t>
      </w:r>
      <w:r>
        <w:rPr>
          <w:b/>
          <w:lang w:eastAsia="zh-CN"/>
        </w:rPr>
        <w:t>条</w:t>
      </w:r>
      <w:r>
        <w:rPr>
          <w:lang w:eastAsia="zh-CN"/>
        </w:rPr>
        <w:t>：主要人员应参与（包括但不限于）以下工作：制定与交易小组工作相关的关键决策；确定尽职调查的范围、深度及所需资源；审慎评估尽职调查结果，并全面判断尽职调查的充分性；确保已采取措施妥善解决尽职调查过程中发现的所有问题。</w:t>
      </w:r>
    </w:p>
    <w:p w:rsidR="002E7C3C" w:rsidRDefault="00AA293B">
      <w:pPr>
        <w:pStyle w:val="BodyText"/>
        <w:rPr>
          <w:lang w:eastAsia="zh-CN"/>
        </w:rPr>
      </w:pPr>
      <w:r>
        <w:rPr>
          <w:lang w:eastAsia="zh-CN"/>
        </w:rPr>
        <w:t>正如</w:t>
      </w:r>
      <w:r>
        <w:rPr>
          <w:lang w:eastAsia="zh-CN"/>
        </w:rPr>
        <w:t>本所</w:t>
      </w:r>
      <w:r>
        <w:rPr>
          <w:lang w:eastAsia="zh-CN"/>
        </w:rPr>
        <w:t>2026</w:t>
      </w:r>
      <w:r>
        <w:rPr>
          <w:lang w:eastAsia="zh-CN"/>
        </w:rPr>
        <w:t>年</w:t>
      </w:r>
      <w:r>
        <w:rPr>
          <w:lang w:eastAsia="zh-CN"/>
        </w:rPr>
        <w:t>1</w:t>
      </w:r>
      <w:r>
        <w:rPr>
          <w:lang w:eastAsia="zh-CN"/>
        </w:rPr>
        <w:t>月</w:t>
      </w:r>
      <w:r>
        <w:rPr>
          <w:lang w:eastAsia="zh-CN"/>
        </w:rPr>
        <w:t>31</w:t>
      </w:r>
      <w:r>
        <w:rPr>
          <w:lang w:eastAsia="zh-CN"/>
        </w:rPr>
        <w:t>日发出的</w:t>
      </w:r>
      <w:hyperlink r:id="rId12">
        <w:r w:rsidRPr="00AA293B">
          <w:rPr>
            <w:color w:val="FF0000"/>
            <w:u w:val="single"/>
            <w:lang w:eastAsia="zh-CN"/>
          </w:rPr>
          <w:t>《证监会保荐人通函》相关法讯</w:t>
        </w:r>
      </w:hyperlink>
      <w:r>
        <w:rPr>
          <w:lang w:eastAsia="zh-CN"/>
        </w:rPr>
        <w:t>所述，以及</w:t>
      </w:r>
      <w:r>
        <w:rPr>
          <w:lang w:eastAsia="zh-CN"/>
        </w:rPr>
        <w:t>2018</w:t>
      </w:r>
      <w:r>
        <w:rPr>
          <w:lang w:eastAsia="zh-CN"/>
        </w:rPr>
        <w:t>年《专题报告》</w:t>
      </w:r>
      <w:hyperlink w:anchor="footnote-598-11">
        <w:r>
          <w:rPr>
            <w:vertAlign w:val="superscript"/>
            <w:lang w:eastAsia="zh-CN"/>
          </w:rPr>
          <w:t>11</w:t>
        </w:r>
      </w:hyperlink>
      <w:r>
        <w:rPr>
          <w:lang w:eastAsia="zh-CN"/>
        </w:rPr>
        <w:t xml:space="preserve"> </w:t>
      </w:r>
      <w:r>
        <w:rPr>
          <w:lang w:eastAsia="zh-CN"/>
        </w:rPr>
        <w:t>第</w:t>
      </w:r>
      <w:r>
        <w:rPr>
          <w:lang w:eastAsia="zh-CN"/>
        </w:rPr>
        <w:t xml:space="preserve"> 26</w:t>
      </w:r>
      <w:r>
        <w:rPr>
          <w:lang w:eastAsia="zh-CN"/>
        </w:rPr>
        <w:t>段明确的内容，证监会对同时监管六个上市申请项目</w:t>
      </w:r>
      <w:r>
        <w:rPr>
          <w:lang w:eastAsia="zh-CN"/>
        </w:rPr>
        <w:t>的主要人员能否充分监督交易小组的能力提出质疑。</w:t>
      </w:r>
    </w:p>
    <w:p w:rsidR="002E7C3C" w:rsidRDefault="00AA293B">
      <w:pPr>
        <w:pStyle w:val="Heading2"/>
        <w:rPr>
          <w:lang w:eastAsia="zh-CN"/>
        </w:rPr>
      </w:pPr>
      <w:bookmarkStart w:id="6" w:name="四-试图委任不合资格人士担任主要人员"/>
      <w:r>
        <w:rPr>
          <w:lang w:eastAsia="zh-CN"/>
        </w:rPr>
        <w:t>四、</w:t>
      </w:r>
      <w:r>
        <w:rPr>
          <w:lang w:eastAsia="zh-CN"/>
        </w:rPr>
        <w:t xml:space="preserve"> </w:t>
      </w:r>
      <w:r>
        <w:rPr>
          <w:lang w:eastAsia="zh-CN"/>
        </w:rPr>
        <w:t>试图委任不合资格人士担任主要人员</w:t>
      </w:r>
      <w:bookmarkEnd w:id="6"/>
    </w:p>
    <w:p w:rsidR="002E7C3C" w:rsidRDefault="00AA293B">
      <w:pPr>
        <w:pStyle w:val="FirstParagraph"/>
        <w:rPr>
          <w:lang w:eastAsia="zh-CN"/>
        </w:rPr>
      </w:pPr>
      <w:r>
        <w:rPr>
          <w:lang w:eastAsia="zh-CN"/>
        </w:rPr>
        <w:t>《证监会保荐人通函附录》指出，部分保荐人试图委任仅具备客户关系或高层管理经验的人士担任主要人员，而非具备上市委聘项目实质参与经验的专业人员。</w:t>
      </w:r>
    </w:p>
    <w:tbl>
      <w:tblPr>
        <w:tblStyle w:val="TableGridLight"/>
        <w:tblW w:w="5000" w:type="pct"/>
        <w:tblLook w:val="07C0" w:firstRow="0" w:lastRow="1" w:firstColumn="1" w:lastColumn="1" w:noHBand="1" w:noVBand="1"/>
      </w:tblPr>
      <w:tblGrid>
        <w:gridCol w:w="10394"/>
      </w:tblGrid>
      <w:tr w:rsidR="002E7C3C" w:rsidTr="00AA293B">
        <w:tc>
          <w:tcPr>
            <w:tcW w:w="0" w:type="auto"/>
            <w:shd w:val="clear" w:color="auto" w:fill="F2F2F2" w:themeFill="background1" w:themeFillShade="F2"/>
          </w:tcPr>
          <w:p w:rsidR="002E7C3C" w:rsidRDefault="00AA293B">
            <w:pPr>
              <w:rPr>
                <w:lang w:eastAsia="zh-CN"/>
              </w:rPr>
            </w:pPr>
            <w:r>
              <w:rPr>
                <w:rFonts w:ascii="SimSun" w:eastAsia="SimSun" w:hAnsi="SimSun" w:cs="SimSun" w:hint="eastAsia"/>
                <w:b/>
                <w:lang w:eastAsia="zh-CN"/>
              </w:rPr>
              <w:t>案例</w:t>
            </w:r>
            <w:r>
              <w:rPr>
                <w:b/>
                <w:lang w:eastAsia="zh-CN"/>
              </w:rPr>
              <w:t xml:space="preserve"> K</w:t>
            </w:r>
            <w:r>
              <w:rPr>
                <w:rFonts w:ascii="SimSun" w:eastAsia="SimSun" w:hAnsi="SimSun" w:cs="SimSun" w:hint="eastAsia"/>
                <w:b/>
                <w:lang w:eastAsia="zh-CN"/>
              </w:rPr>
              <w:t>：主要人员缺乏相关经验</w:t>
            </w:r>
          </w:p>
          <w:p w:rsidR="002E7C3C" w:rsidRDefault="00AA293B">
            <w:pPr>
              <w:rPr>
                <w:lang w:eastAsia="zh-CN"/>
              </w:rPr>
            </w:pPr>
            <w:r>
              <w:rPr>
                <w:rFonts w:ascii="SimSun" w:eastAsia="SimSun" w:hAnsi="SimSun" w:cs="SimSun" w:hint="eastAsia"/>
                <w:lang w:eastAsia="zh-CN"/>
              </w:rPr>
              <w:t>部分香港保荐人试图委任仅具备</w:t>
            </w:r>
            <w:r>
              <w:rPr>
                <w:lang w:eastAsia="zh-CN"/>
              </w:rPr>
              <w:t xml:space="preserve"> “</w:t>
            </w:r>
            <w:r>
              <w:rPr>
                <w:rFonts w:ascii="SimSun" w:eastAsia="SimSun" w:hAnsi="SimSun" w:cs="SimSun" w:hint="eastAsia"/>
                <w:lang w:eastAsia="zh-CN"/>
              </w:rPr>
              <w:t>客户关系</w:t>
            </w:r>
            <w:r>
              <w:rPr>
                <w:lang w:eastAsia="zh-CN"/>
              </w:rPr>
              <w:t>”“</w:t>
            </w:r>
            <w:r>
              <w:rPr>
                <w:rFonts w:ascii="SimSun" w:eastAsia="SimSun" w:hAnsi="SimSun" w:cs="SimSun" w:hint="eastAsia"/>
                <w:lang w:eastAsia="zh-CN"/>
              </w:rPr>
              <w:t>客户管理</w:t>
            </w:r>
            <w:r>
              <w:rPr>
                <w:lang w:eastAsia="zh-CN"/>
              </w:rPr>
              <w:t>”“</w:t>
            </w:r>
            <w:r>
              <w:rPr>
                <w:rFonts w:ascii="SimSun" w:eastAsia="SimSun" w:hAnsi="SimSun" w:cs="SimSun" w:hint="eastAsia"/>
                <w:lang w:eastAsia="zh-CN"/>
              </w:rPr>
              <w:t>行业拓展</w:t>
            </w:r>
            <w:r>
              <w:rPr>
                <w:lang w:eastAsia="zh-CN"/>
              </w:rPr>
              <w:t xml:space="preserve">” </w:t>
            </w:r>
            <w:r>
              <w:rPr>
                <w:rFonts w:ascii="SimSun" w:eastAsia="SimSun" w:hAnsi="SimSun" w:cs="SimSun" w:hint="eastAsia"/>
                <w:lang w:eastAsia="zh-CN"/>
              </w:rPr>
              <w:t>或高层管理职责及经验的人士担任主要人员。当监管机构质疑该等委任的依据，并要求保荐人提供证明该等人士曾实际参与过往上市项目的佐证文件时，部分保荐人无法提供任何规范的书面记录。</w:t>
            </w:r>
          </w:p>
        </w:tc>
      </w:tr>
    </w:tbl>
    <w:p w:rsidR="002E7C3C" w:rsidRDefault="00AA293B">
      <w:pPr>
        <w:pStyle w:val="BodyText"/>
        <w:rPr>
          <w:lang w:eastAsia="zh-CN"/>
        </w:rPr>
      </w:pPr>
      <w:r>
        <w:rPr>
          <w:lang w:eastAsia="zh-CN"/>
        </w:rPr>
        <w:t>这一现</w:t>
      </w:r>
      <w:r>
        <w:rPr>
          <w:lang w:eastAsia="zh-CN"/>
        </w:rPr>
        <w:t>象令人严重怀疑相关主要人员是否真正符合担任主要人员的资格要求，同时也质疑相关香港保荐人是否采取充分措施确保所委任的主要人员具备相应资格。</w:t>
      </w:r>
    </w:p>
    <w:p w:rsidR="002E7C3C" w:rsidRDefault="00AA293B">
      <w:pPr>
        <w:pStyle w:val="BodyText"/>
        <w:rPr>
          <w:lang w:eastAsia="zh-CN"/>
        </w:rPr>
      </w:pPr>
      <w:r>
        <w:rPr>
          <w:b/>
          <w:i/>
          <w:lang w:eastAsia="zh-CN"/>
        </w:rPr>
        <w:t>相关监管条款</w:t>
      </w:r>
    </w:p>
    <w:p w:rsidR="002E7C3C" w:rsidRDefault="00AA293B">
      <w:pPr>
        <w:pStyle w:val="BodyText"/>
        <w:rPr>
          <w:lang w:eastAsia="zh-CN"/>
        </w:rPr>
      </w:pPr>
      <w:r>
        <w:rPr>
          <w:b/>
          <w:lang w:eastAsia="zh-CN"/>
        </w:rPr>
        <w:t>《保荐人指引》第</w:t>
      </w:r>
      <w:r>
        <w:rPr>
          <w:b/>
          <w:lang w:eastAsia="zh-CN"/>
        </w:rPr>
        <w:t>1.2</w:t>
      </w:r>
      <w:r>
        <w:rPr>
          <w:b/>
          <w:lang w:eastAsia="zh-CN"/>
        </w:rPr>
        <w:t>条及第</w:t>
      </w:r>
      <w:r>
        <w:rPr>
          <w:b/>
          <w:lang w:eastAsia="zh-CN"/>
        </w:rPr>
        <w:t>1.3</w:t>
      </w:r>
      <w:r>
        <w:rPr>
          <w:b/>
          <w:lang w:eastAsia="zh-CN"/>
        </w:rPr>
        <w:t>条</w:t>
      </w:r>
      <w:r>
        <w:rPr>
          <w:lang w:eastAsia="zh-CN"/>
        </w:rPr>
        <w:t>：管理层有责任确保香港保荐人委任的主要人员符合《保荐人指引》第3.2</w:t>
      </w:r>
      <w:r>
        <w:rPr>
          <w:lang w:eastAsia="zh-CN"/>
        </w:rPr>
        <w:t>条规定的资格标准；同时应妥善保留委任记录、管理层评估意见及委任决策过程文件，以证明其遵守《保荐人指引》的相关规定。</w:t>
      </w:r>
    </w:p>
    <w:p w:rsidR="002E7C3C" w:rsidRDefault="00AA293B">
      <w:pPr>
        <w:pStyle w:val="BodyText"/>
        <w:rPr>
          <w:lang w:eastAsia="zh-CN"/>
        </w:rPr>
      </w:pPr>
      <w:r>
        <w:rPr>
          <w:b/>
          <w:lang w:eastAsia="zh-CN"/>
        </w:rPr>
        <w:t>《操守准则》第</w:t>
      </w:r>
      <w:r>
        <w:rPr>
          <w:b/>
          <w:lang w:eastAsia="zh-CN"/>
        </w:rPr>
        <w:t>17.10(c)</w:t>
      </w:r>
      <w:r>
        <w:rPr>
          <w:b/>
          <w:lang w:eastAsia="zh-CN"/>
        </w:rPr>
        <w:t>条</w:t>
      </w:r>
      <w:r>
        <w:rPr>
          <w:lang w:eastAsia="zh-CN"/>
        </w:rPr>
        <w:t>：香港保荐人须就每项上市项目，在其管控范围内保留相关记录，包括佐证文件及往来函件。</w:t>
      </w:r>
    </w:p>
    <w:p w:rsidR="002E7C3C" w:rsidRDefault="00AA293B">
      <w:pPr>
        <w:pStyle w:val="Heading2"/>
        <w:rPr>
          <w:lang w:eastAsia="zh-CN"/>
        </w:rPr>
      </w:pPr>
      <w:bookmarkStart w:id="7" w:name="五-具备相应知识技能及经验的从业人员数量不足"/>
      <w:r>
        <w:rPr>
          <w:lang w:eastAsia="zh-CN"/>
        </w:rPr>
        <w:t>五、</w:t>
      </w:r>
      <w:r>
        <w:rPr>
          <w:lang w:eastAsia="zh-CN"/>
        </w:rPr>
        <w:t xml:space="preserve"> </w:t>
      </w:r>
      <w:r>
        <w:rPr>
          <w:lang w:eastAsia="zh-CN"/>
        </w:rPr>
        <w:t>具备相应知识、技能及经验的从业人员数量不足</w:t>
      </w:r>
      <w:bookmarkEnd w:id="7"/>
    </w:p>
    <w:p w:rsidR="002E7C3C" w:rsidRDefault="00AA293B">
      <w:pPr>
        <w:pStyle w:val="FirstParagraph"/>
        <w:rPr>
          <w:lang w:eastAsia="zh-CN"/>
        </w:rPr>
      </w:pPr>
      <w:r>
        <w:rPr>
          <w:lang w:eastAsia="zh-CN"/>
        </w:rPr>
        <w:t>《证监会保荐人通函附录》指出，多家保荐人委任了大量初级人员及临时人员（包括流动专业人员，即每年在香港逗留不超过</w:t>
      </w:r>
      <w:r>
        <w:rPr>
          <w:lang w:eastAsia="zh-CN"/>
        </w:rPr>
        <w:t>45</w:t>
      </w:r>
      <w:r>
        <w:rPr>
          <w:lang w:eastAsia="zh-CN"/>
        </w:rPr>
        <w:t>天、多次入境开展受规管活动的人员）负责上市委聘项目的保荐工作。</w:t>
      </w:r>
    </w:p>
    <w:p w:rsidR="002E7C3C" w:rsidRDefault="00AA293B">
      <w:pPr>
        <w:pStyle w:val="BodyText"/>
        <w:rPr>
          <w:lang w:eastAsia="zh-CN"/>
        </w:rPr>
      </w:pPr>
      <w:r>
        <w:rPr>
          <w:lang w:eastAsia="zh-CN"/>
        </w:rPr>
        <w:t>在截至</w:t>
      </w:r>
      <w:r>
        <w:rPr>
          <w:lang w:eastAsia="zh-CN"/>
        </w:rPr>
        <w:t>2025</w:t>
      </w:r>
      <w:r>
        <w:rPr>
          <w:lang w:eastAsia="zh-CN"/>
        </w:rPr>
        <w:t>年</w:t>
      </w:r>
      <w:r>
        <w:rPr>
          <w:lang w:eastAsia="zh-CN"/>
        </w:rPr>
        <w:t>12</w:t>
      </w:r>
      <w:r>
        <w:rPr>
          <w:lang w:eastAsia="zh-CN"/>
        </w:rPr>
        <w:t>月</w:t>
      </w:r>
      <w:r>
        <w:rPr>
          <w:lang w:eastAsia="zh-CN"/>
        </w:rPr>
        <w:t>31</w:t>
      </w:r>
      <w:r>
        <w:rPr>
          <w:lang w:eastAsia="zh-CN"/>
        </w:rPr>
        <w:t>日的两年内，证监会注意到，两家香港保荐人的整体交易小组成员中，逾</w:t>
      </w:r>
      <w:r>
        <w:rPr>
          <w:b/>
          <w:lang w:eastAsia="zh-CN"/>
        </w:rPr>
        <w:t>40%</w:t>
      </w:r>
      <w:r>
        <w:rPr>
          <w:lang w:eastAsia="zh-CN"/>
        </w:rPr>
        <w:t xml:space="preserve"> </w:t>
      </w:r>
      <w:r>
        <w:rPr>
          <w:lang w:eastAsia="zh-CN"/>
        </w:rPr>
        <w:t>的人员在香港首次公开招股方面的经验不足一年；且在这两家保荐人中，负责所有上市委聘项目的人员里，流动专业人员占比超过</w:t>
      </w:r>
      <w:r>
        <w:rPr>
          <w:b/>
          <w:lang w:eastAsia="zh-CN"/>
        </w:rPr>
        <w:t>50%</w:t>
      </w:r>
      <w:r>
        <w:rPr>
          <w:lang w:eastAsia="zh-CN"/>
        </w:rPr>
        <w:t>。</w:t>
      </w:r>
    </w:p>
    <w:tbl>
      <w:tblPr>
        <w:tblStyle w:val="TableGridLight"/>
        <w:tblW w:w="5000" w:type="pct"/>
        <w:tblLook w:val="07C0" w:firstRow="0" w:lastRow="1" w:firstColumn="1" w:lastColumn="1" w:noHBand="1" w:noVBand="1"/>
      </w:tblPr>
      <w:tblGrid>
        <w:gridCol w:w="10394"/>
      </w:tblGrid>
      <w:tr w:rsidR="002E7C3C" w:rsidTr="00AA293B">
        <w:tc>
          <w:tcPr>
            <w:tcW w:w="0" w:type="auto"/>
            <w:shd w:val="clear" w:color="auto" w:fill="F2F2F2" w:themeFill="background1" w:themeFillShade="F2"/>
          </w:tcPr>
          <w:p w:rsidR="002E7C3C" w:rsidRDefault="00AA293B">
            <w:pPr>
              <w:rPr>
                <w:lang w:eastAsia="zh-CN"/>
              </w:rPr>
            </w:pPr>
            <w:r>
              <w:rPr>
                <w:rFonts w:ascii="SimSun" w:eastAsia="SimSun" w:hAnsi="SimSun" w:cs="SimSun" w:hint="eastAsia"/>
                <w:b/>
                <w:lang w:eastAsia="zh-CN"/>
              </w:rPr>
              <w:t>案例</w:t>
            </w:r>
            <w:r>
              <w:rPr>
                <w:b/>
                <w:lang w:eastAsia="zh-CN"/>
              </w:rPr>
              <w:t xml:space="preserve"> L</w:t>
            </w:r>
            <w:r>
              <w:rPr>
                <w:rFonts w:ascii="SimSun" w:eastAsia="SimSun" w:hAnsi="SimSun" w:cs="SimSun" w:hint="eastAsia"/>
                <w:b/>
                <w:lang w:eastAsia="zh-CN"/>
              </w:rPr>
              <w:t>：流动专业人员未通过规定考试</w:t>
            </w:r>
          </w:p>
          <w:p w:rsidR="002E7C3C" w:rsidRDefault="00AA293B">
            <w:pPr>
              <w:rPr>
                <w:lang w:eastAsia="zh-CN"/>
              </w:rPr>
            </w:pPr>
            <w:r>
              <w:rPr>
                <w:rFonts w:ascii="SimSun" w:eastAsia="SimSun" w:hAnsi="SimSun" w:cs="SimSun" w:hint="eastAsia"/>
                <w:lang w:eastAsia="zh-CN"/>
              </w:rPr>
              <w:t>两家香港保荐人未能确保其</w:t>
            </w:r>
            <w:r>
              <w:rPr>
                <w:rFonts w:ascii="SimSun" w:eastAsia="SimSun" w:hAnsi="SimSun" w:cs="SimSun" w:hint="eastAsia"/>
                <w:lang w:eastAsia="zh-CN"/>
              </w:rPr>
              <w:t>所有流动专业人员均符合资格标准。事实上，这两家香港保荐人无法证明，其所有流动专业人员均在首次从事保荐工作之前，或从事该工作后的六个月内通过了规定考试。该两家保荐人的大部分流动专业人员，可能未满足相关资格标准。</w:t>
            </w:r>
          </w:p>
        </w:tc>
      </w:tr>
    </w:tbl>
    <w:p w:rsidR="002E7C3C" w:rsidRDefault="002E7C3C">
      <w:pPr>
        <w:pStyle w:val="BodyText"/>
        <w:rPr>
          <w:lang w:eastAsia="zh-CN"/>
        </w:rPr>
      </w:pPr>
    </w:p>
    <w:tbl>
      <w:tblPr>
        <w:tblStyle w:val="TableGridLight"/>
        <w:tblW w:w="5000" w:type="pct"/>
        <w:tblLook w:val="07C0" w:firstRow="0" w:lastRow="1" w:firstColumn="1" w:lastColumn="1" w:noHBand="1" w:noVBand="1"/>
      </w:tblPr>
      <w:tblGrid>
        <w:gridCol w:w="10394"/>
      </w:tblGrid>
      <w:tr w:rsidR="002E7C3C" w:rsidTr="00AA293B">
        <w:tc>
          <w:tcPr>
            <w:tcW w:w="0" w:type="auto"/>
            <w:shd w:val="clear" w:color="auto" w:fill="F2F2F2" w:themeFill="background1" w:themeFillShade="F2"/>
          </w:tcPr>
          <w:p w:rsidR="002E7C3C" w:rsidRDefault="00AA293B">
            <w:pPr>
              <w:rPr>
                <w:lang w:eastAsia="zh-CN"/>
              </w:rPr>
            </w:pPr>
            <w:r>
              <w:rPr>
                <w:rFonts w:ascii="SimSun" w:eastAsia="SimSun" w:hAnsi="SimSun" w:cs="SimSun" w:hint="eastAsia"/>
                <w:b/>
                <w:lang w:eastAsia="zh-CN"/>
              </w:rPr>
              <w:t>案例</w:t>
            </w:r>
            <w:r>
              <w:rPr>
                <w:b/>
                <w:lang w:eastAsia="zh-CN"/>
              </w:rPr>
              <w:t xml:space="preserve"> M</w:t>
            </w:r>
            <w:r>
              <w:rPr>
                <w:rFonts w:ascii="SimSun" w:eastAsia="SimSun" w:hAnsi="SimSun" w:cs="SimSun" w:hint="eastAsia"/>
                <w:b/>
                <w:lang w:eastAsia="zh-CN"/>
              </w:rPr>
              <w:t>：交易小组主要由流动专业人员构成</w:t>
            </w:r>
          </w:p>
          <w:p w:rsidR="002E7C3C" w:rsidRDefault="00AA293B">
            <w:pPr>
              <w:rPr>
                <w:lang w:eastAsia="zh-CN"/>
              </w:rPr>
            </w:pPr>
            <w:r>
              <w:rPr>
                <w:rFonts w:ascii="SimSun" w:eastAsia="SimSun" w:hAnsi="SimSun" w:cs="SimSun" w:hint="eastAsia"/>
                <w:lang w:eastAsia="zh-CN"/>
              </w:rPr>
              <w:t>三宗拟于两个月内提交的上市申请，其交易小组主要由流动专业人员组成。在最极端的案例中，某交易小组十名成员里有八名是流动专业人员，其中四人申报的香港首次公开招股经验不足一</w:t>
            </w:r>
            <w:r>
              <w:rPr>
                <w:rFonts w:ascii="SimSun" w:eastAsia="SimSun" w:hAnsi="SimSun" w:cs="SimSun" w:hint="eastAsia"/>
                <w:lang w:eastAsia="zh-CN"/>
              </w:rPr>
              <w:lastRenderedPageBreak/>
              <w:t>年。</w:t>
            </w:r>
          </w:p>
        </w:tc>
      </w:tr>
    </w:tbl>
    <w:p w:rsidR="002E7C3C" w:rsidRDefault="002E7C3C">
      <w:pPr>
        <w:pStyle w:val="BodyText"/>
        <w:rPr>
          <w:lang w:eastAsia="zh-CN"/>
        </w:rPr>
      </w:pPr>
    </w:p>
    <w:tbl>
      <w:tblPr>
        <w:tblStyle w:val="TableGridLight"/>
        <w:tblW w:w="5000" w:type="pct"/>
        <w:tblLook w:val="07C0" w:firstRow="0" w:lastRow="1" w:firstColumn="1" w:lastColumn="1" w:noHBand="1" w:noVBand="1"/>
      </w:tblPr>
      <w:tblGrid>
        <w:gridCol w:w="10394"/>
      </w:tblGrid>
      <w:tr w:rsidR="002E7C3C" w:rsidTr="00AA293B">
        <w:tc>
          <w:tcPr>
            <w:tcW w:w="0" w:type="auto"/>
            <w:shd w:val="clear" w:color="auto" w:fill="F2F2F2" w:themeFill="background1" w:themeFillShade="F2"/>
          </w:tcPr>
          <w:p w:rsidR="002E7C3C" w:rsidRDefault="00AA293B">
            <w:pPr>
              <w:rPr>
                <w:lang w:eastAsia="zh-CN"/>
              </w:rPr>
            </w:pPr>
            <w:r>
              <w:rPr>
                <w:rFonts w:ascii="SimSun" w:eastAsia="SimSun" w:hAnsi="SimSun" w:cs="SimSun" w:hint="eastAsia"/>
                <w:b/>
                <w:lang w:eastAsia="zh-CN"/>
              </w:rPr>
              <w:t>案例</w:t>
            </w:r>
            <w:r>
              <w:rPr>
                <w:b/>
                <w:lang w:eastAsia="zh-CN"/>
              </w:rPr>
              <w:t xml:space="preserve"> N</w:t>
            </w:r>
            <w:r>
              <w:rPr>
                <w:rFonts w:ascii="SimSun" w:eastAsia="SimSun" w:hAnsi="SimSun" w:cs="SimSun" w:hint="eastAsia"/>
                <w:b/>
                <w:lang w:eastAsia="zh-CN"/>
              </w:rPr>
              <w:t>：资深流动专业人员缺乏香港首次公开招股经验</w:t>
            </w:r>
          </w:p>
          <w:p w:rsidR="002E7C3C" w:rsidRDefault="00AA293B">
            <w:pPr>
              <w:rPr>
                <w:lang w:eastAsia="zh-CN"/>
              </w:rPr>
            </w:pPr>
            <w:r>
              <w:rPr>
                <w:rFonts w:ascii="SimSun" w:eastAsia="SimSun" w:hAnsi="SimSun" w:cs="SimSun" w:hint="eastAsia"/>
                <w:lang w:eastAsia="zh-CN"/>
              </w:rPr>
              <w:t>在截至</w:t>
            </w:r>
            <w:r>
              <w:rPr>
                <w:lang w:eastAsia="zh-CN"/>
              </w:rPr>
              <w:t>2025</w:t>
            </w:r>
            <w:r>
              <w:rPr>
                <w:rFonts w:ascii="SimSun" w:eastAsia="SimSun" w:hAnsi="SimSun" w:cs="SimSun" w:hint="eastAsia"/>
                <w:lang w:eastAsia="zh-CN"/>
              </w:rPr>
              <w:t>年</w:t>
            </w:r>
            <w:r>
              <w:rPr>
                <w:lang w:eastAsia="zh-CN"/>
              </w:rPr>
              <w:t>12</w:t>
            </w:r>
            <w:r>
              <w:rPr>
                <w:rFonts w:ascii="SimSun" w:eastAsia="SimSun" w:hAnsi="SimSun" w:cs="SimSun" w:hint="eastAsia"/>
                <w:lang w:eastAsia="zh-CN"/>
              </w:rPr>
              <w:t>月</w:t>
            </w:r>
            <w:r>
              <w:rPr>
                <w:lang w:eastAsia="zh-CN"/>
              </w:rPr>
              <w:t>3</w:t>
            </w:r>
            <w:r>
              <w:rPr>
                <w:lang w:eastAsia="zh-CN"/>
              </w:rPr>
              <w:t>1</w:t>
            </w:r>
            <w:r>
              <w:rPr>
                <w:rFonts w:ascii="SimSun" w:eastAsia="SimSun" w:hAnsi="SimSun" w:cs="SimSun" w:hint="eastAsia"/>
                <w:lang w:eastAsia="zh-CN"/>
              </w:rPr>
              <w:t>日的两年内，两家保荐人所委任的流动专业人员中，约</w:t>
            </w:r>
            <w:r>
              <w:rPr>
                <w:lang w:eastAsia="zh-CN"/>
              </w:rPr>
              <w:t>50%</w:t>
            </w:r>
            <w:r>
              <w:rPr>
                <w:rFonts w:ascii="SimSun" w:eastAsia="SimSun" w:hAnsi="SimSun" w:cs="SimSun" w:hint="eastAsia"/>
                <w:lang w:eastAsia="zh-CN"/>
              </w:rPr>
              <w:t>及</w:t>
            </w:r>
            <w:r>
              <w:rPr>
                <w:lang w:eastAsia="zh-CN"/>
              </w:rPr>
              <w:t>75%</w:t>
            </w:r>
            <w:r>
              <w:rPr>
                <w:rFonts w:ascii="SimSun" w:eastAsia="SimSun" w:hAnsi="SimSun" w:cs="SimSun" w:hint="eastAsia"/>
                <w:lang w:eastAsia="zh-CN"/>
              </w:rPr>
              <w:t>的人员担任副总裁及以上职级；而在这些资深流动专业人员中，分别有约</w:t>
            </w:r>
            <w:r>
              <w:rPr>
                <w:lang w:eastAsia="zh-CN"/>
              </w:rPr>
              <w:t>50%</w:t>
            </w:r>
            <w:r>
              <w:rPr>
                <w:rFonts w:ascii="SimSun" w:eastAsia="SimSun" w:hAnsi="SimSun" w:cs="SimSun" w:hint="eastAsia"/>
                <w:lang w:eastAsia="zh-CN"/>
              </w:rPr>
              <w:t>及</w:t>
            </w:r>
            <w:r>
              <w:rPr>
                <w:lang w:eastAsia="zh-CN"/>
              </w:rPr>
              <w:t>80%</w:t>
            </w:r>
            <w:r>
              <w:rPr>
                <w:rFonts w:ascii="SimSun" w:eastAsia="SimSun" w:hAnsi="SimSun" w:cs="SimSun" w:hint="eastAsia"/>
                <w:lang w:eastAsia="zh-CN"/>
              </w:rPr>
              <w:t>的人员完全没有香港首次公开招股经验，或相关经验不足一年。</w:t>
            </w:r>
          </w:p>
        </w:tc>
      </w:tr>
    </w:tbl>
    <w:p w:rsidR="002E7C3C" w:rsidRDefault="00AA293B">
      <w:pPr>
        <w:pStyle w:val="BodyText"/>
        <w:rPr>
          <w:lang w:eastAsia="zh-CN"/>
        </w:rPr>
      </w:pPr>
      <w:r>
        <w:rPr>
          <w:b/>
          <w:i/>
          <w:lang w:eastAsia="zh-CN"/>
        </w:rPr>
        <w:t>相关监管条款</w:t>
      </w:r>
    </w:p>
    <w:p w:rsidR="002E7C3C" w:rsidRDefault="00AA293B">
      <w:pPr>
        <w:pStyle w:val="BodyText"/>
        <w:rPr>
          <w:lang w:eastAsia="zh-CN"/>
        </w:rPr>
      </w:pPr>
      <w:r>
        <w:rPr>
          <w:b/>
          <w:lang w:eastAsia="zh-CN"/>
        </w:rPr>
        <w:t>《保荐人指引》第</w:t>
      </w:r>
      <w:r>
        <w:rPr>
          <w:b/>
          <w:lang w:eastAsia="zh-CN"/>
        </w:rPr>
        <w:t>4.1</w:t>
      </w:r>
      <w:r>
        <w:rPr>
          <w:b/>
          <w:lang w:eastAsia="zh-CN"/>
        </w:rPr>
        <w:t>条及第</w:t>
      </w:r>
      <w:r>
        <w:rPr>
          <w:b/>
          <w:lang w:eastAsia="zh-CN"/>
        </w:rPr>
        <w:t>4.4</w:t>
      </w:r>
      <w:r>
        <w:rPr>
          <w:b/>
          <w:lang w:eastAsia="zh-CN"/>
        </w:rPr>
        <w:t>条</w:t>
      </w:r>
      <w:r>
        <w:rPr>
          <w:lang w:eastAsia="zh-CN"/>
        </w:rPr>
        <w:t>：所有从事第</w:t>
      </w:r>
      <w:r>
        <w:rPr>
          <w:lang w:eastAsia="zh-CN"/>
        </w:rPr>
        <w:t>6</w:t>
      </w:r>
      <w:r>
        <w:rPr>
          <w:lang w:eastAsia="zh-CN"/>
        </w:rPr>
        <w:t>类受规管活动的持牌代表（包括流动专业人员），若拟从事首次公开招股保荐工作，除非获得豁免，否则须在首次开展该工作前三年内，或开展该工作后六个月内，通过香港证券及投资学会的证券及期货资格考试卷十六。若相关人员未能在六个月期限届满前通过该考试，则在通过</w:t>
      </w:r>
      <w:r>
        <w:rPr>
          <w:lang w:eastAsia="zh-CN"/>
        </w:rPr>
        <w:t>考试前，不得从事任何保荐工作。</w:t>
      </w:r>
    </w:p>
    <w:p w:rsidR="002E7C3C" w:rsidRDefault="00AA293B">
      <w:pPr>
        <w:pStyle w:val="BodyText"/>
        <w:rPr>
          <w:lang w:eastAsia="zh-CN"/>
        </w:rPr>
      </w:pPr>
      <w:r>
        <w:rPr>
          <w:b/>
          <w:lang w:eastAsia="zh-CN"/>
        </w:rPr>
        <w:t>《操守准则》第</w:t>
      </w:r>
      <w:r>
        <w:rPr>
          <w:b/>
          <w:lang w:eastAsia="zh-CN"/>
        </w:rPr>
        <w:t>17.11(a)</w:t>
      </w:r>
      <w:r>
        <w:rPr>
          <w:b/>
          <w:lang w:eastAsia="zh-CN"/>
        </w:rPr>
        <w:t>条及第</w:t>
      </w:r>
      <w:r>
        <w:rPr>
          <w:b/>
          <w:lang w:eastAsia="zh-CN"/>
        </w:rPr>
        <w:t>17.11(c)(i)</w:t>
      </w:r>
      <w:r>
        <w:rPr>
          <w:b/>
          <w:lang w:eastAsia="zh-CN"/>
        </w:rPr>
        <w:t>条</w:t>
      </w:r>
      <w:r>
        <w:rPr>
          <w:lang w:eastAsia="zh-CN"/>
        </w:rPr>
        <w:t>：香港保荐人在接受委任为香港保荐人前，应综合考量自身已承接的其他工作，确保配备足够具备相应知识、技能及经验的人员，全程投入该上市项目，并确保该等人员被委派至交易小组。</w:t>
      </w:r>
    </w:p>
    <w:p w:rsidR="002E7C3C" w:rsidRDefault="00AA293B">
      <w:pPr>
        <w:pStyle w:val="BodyText"/>
        <w:rPr>
          <w:lang w:eastAsia="zh-CN"/>
        </w:rPr>
      </w:pPr>
      <w:r>
        <w:rPr>
          <w:b/>
          <w:lang w:eastAsia="zh-CN"/>
        </w:rPr>
        <w:t>《企业融资顾问操守准则》</w:t>
      </w:r>
      <w:hyperlink w:anchor="footnote-598-12">
        <w:r>
          <w:rPr>
            <w:vertAlign w:val="superscript"/>
            <w:lang w:eastAsia="zh-CN"/>
          </w:rPr>
          <w:t>12</w:t>
        </w:r>
      </w:hyperlink>
      <w:r>
        <w:rPr>
          <w:lang w:eastAsia="zh-CN"/>
        </w:rPr>
        <w:t xml:space="preserve"> </w:t>
      </w:r>
      <w:r>
        <w:rPr>
          <w:b/>
          <w:lang w:eastAsia="zh-CN"/>
        </w:rPr>
        <w:t>第</w:t>
      </w:r>
      <w:r>
        <w:rPr>
          <w:b/>
          <w:lang w:eastAsia="zh-CN"/>
        </w:rPr>
        <w:t>2.2(d)</w:t>
      </w:r>
      <w:r>
        <w:rPr>
          <w:b/>
          <w:lang w:eastAsia="zh-CN"/>
        </w:rPr>
        <w:t>条</w:t>
      </w:r>
      <w:r>
        <w:rPr>
          <w:lang w:eastAsia="zh-CN"/>
        </w:rPr>
        <w:t>：企业融资顾问（包括香港保荐人）应确保自身具备充足的胜任能力、专业知识及人力技术资源，以妥善履行职责。</w:t>
      </w:r>
    </w:p>
    <w:p w:rsidR="002E7C3C" w:rsidRDefault="00AA293B">
      <w:pPr>
        <w:pStyle w:val="BodyText"/>
        <w:rPr>
          <w:lang w:eastAsia="zh-CN"/>
        </w:rPr>
      </w:pPr>
      <w:r>
        <w:rPr>
          <w:b/>
          <w:lang w:eastAsia="zh-CN"/>
        </w:rPr>
        <w:t>《保荐人指引》第</w:t>
      </w:r>
      <w:r>
        <w:rPr>
          <w:b/>
          <w:lang w:eastAsia="zh-CN"/>
        </w:rPr>
        <w:t>1.5</w:t>
      </w:r>
      <w:r>
        <w:rPr>
          <w:b/>
          <w:lang w:eastAsia="zh-CN"/>
        </w:rPr>
        <w:t>条</w:t>
      </w:r>
      <w:r>
        <w:rPr>
          <w:lang w:eastAsia="zh-CN"/>
        </w:rPr>
        <w:t>：</w:t>
      </w:r>
      <w:r>
        <w:rPr>
          <w:lang w:eastAsia="zh-CN"/>
        </w:rPr>
        <w:t>香港保荐人应在各交易小组与管理层其他成员之间，就所承接的保荐工作建立有效的汇报途径及沟通机制。</w:t>
      </w:r>
    </w:p>
    <w:p w:rsidR="002E7C3C" w:rsidRDefault="00AA293B">
      <w:pPr>
        <w:pStyle w:val="Heading2"/>
        <w:rPr>
          <w:lang w:eastAsia="zh-CN"/>
        </w:rPr>
      </w:pPr>
      <w:bookmarkStart w:id="8" w:name="资源要求附录第47条"/>
      <w:r>
        <w:rPr>
          <w:lang w:eastAsia="zh-CN"/>
        </w:rPr>
        <w:t>资源要求：附录第</w:t>
      </w:r>
      <w:r>
        <w:rPr>
          <w:lang w:eastAsia="zh-CN"/>
        </w:rPr>
        <w:t>47</w:t>
      </w:r>
      <w:r>
        <w:rPr>
          <w:lang w:eastAsia="zh-CN"/>
        </w:rPr>
        <w:t>条</w:t>
      </w:r>
      <w:bookmarkEnd w:id="8"/>
    </w:p>
    <w:p w:rsidR="002E7C3C" w:rsidRDefault="00AA293B">
      <w:pPr>
        <w:pStyle w:val="FirstParagraph"/>
      </w:pPr>
      <w:r>
        <w:rPr>
          <w:lang w:eastAsia="zh-CN"/>
        </w:rPr>
        <w:t>《证监会保荐人通函附录》第</w:t>
      </w:r>
      <w:r>
        <w:rPr>
          <w:lang w:eastAsia="zh-CN"/>
        </w:rPr>
        <w:t>47</w:t>
      </w:r>
      <w:r>
        <w:rPr>
          <w:lang w:eastAsia="zh-CN"/>
        </w:rPr>
        <w:t>条明确了证监会对保荐人资源配置的要求。该要求在《证监会保荐人通函》正文中亦有提及，适用于主要人员工作量超负荷的保荐人需提交的纠正及资源计划，以及从事第</w:t>
      </w:r>
      <w:r>
        <w:rPr>
          <w:lang w:eastAsia="zh-CN"/>
        </w:rPr>
        <w:t>6</w:t>
      </w:r>
      <w:r>
        <w:rPr>
          <w:lang w:eastAsia="zh-CN"/>
        </w:rPr>
        <w:t>类受规管活动的牌照申请所需提交的证明文件。</w:t>
      </w:r>
      <w:hyperlink w:anchor="footnote-598-13">
        <w:r>
          <w:rPr>
            <w:vertAlign w:val="superscript"/>
          </w:rPr>
          <w:t>13</w:t>
        </w:r>
      </w:hyperlink>
    </w:p>
    <w:p w:rsidR="002E7C3C" w:rsidRDefault="00AA293B">
      <w:pPr>
        <w:pStyle w:val="BodyText"/>
      </w:pPr>
      <w:r>
        <w:t>根据附录第</w:t>
      </w:r>
      <w:r>
        <w:t>47</w:t>
      </w:r>
      <w:r>
        <w:t>条，保荐人应做到以下几点：</w:t>
      </w:r>
    </w:p>
    <w:p w:rsidR="002E7C3C" w:rsidRDefault="00AA293B">
      <w:pPr>
        <w:pStyle w:val="Compact"/>
        <w:numPr>
          <w:ilvl w:val="0"/>
          <w:numId w:val="10"/>
        </w:numPr>
        <w:rPr>
          <w:lang w:eastAsia="zh-CN"/>
        </w:rPr>
      </w:pPr>
      <w:r>
        <w:rPr>
          <w:lang w:eastAsia="zh-CN"/>
        </w:rPr>
        <w:t>合理平衡驻港主要人员与非驻港主要人员的比例；</w:t>
      </w:r>
      <w:hyperlink w:anchor="footnote-598-14">
        <w:r>
          <w:rPr>
            <w:vertAlign w:val="superscript"/>
            <w:lang w:eastAsia="zh-CN"/>
          </w:rPr>
          <w:t>14</w:t>
        </w:r>
      </w:hyperlink>
    </w:p>
    <w:p w:rsidR="002E7C3C" w:rsidRDefault="00AA293B">
      <w:pPr>
        <w:pStyle w:val="Compact"/>
        <w:numPr>
          <w:ilvl w:val="0"/>
          <w:numId w:val="10"/>
        </w:numPr>
        <w:rPr>
          <w:lang w:eastAsia="zh-CN"/>
        </w:rPr>
      </w:pPr>
      <w:r>
        <w:rPr>
          <w:lang w:eastAsia="zh-CN"/>
        </w:rPr>
        <w:t>确保每个交易小组中，具备相应资历及香港首次公开招股知识的人员占比合理；</w:t>
      </w:r>
    </w:p>
    <w:p w:rsidR="002E7C3C" w:rsidRDefault="00AA293B">
      <w:pPr>
        <w:pStyle w:val="Compact"/>
        <w:numPr>
          <w:ilvl w:val="0"/>
          <w:numId w:val="10"/>
        </w:numPr>
        <w:rPr>
          <w:lang w:eastAsia="zh-CN"/>
        </w:rPr>
      </w:pPr>
      <w:r>
        <w:rPr>
          <w:lang w:eastAsia="zh-CN"/>
        </w:rPr>
        <w:t>确保每名主要人员仅处理数量合理的上市项目，具体数量需结合其有效监督及管理项目执行人员的能力综合确定。</w:t>
      </w:r>
    </w:p>
    <w:p w:rsidR="002E7C3C" w:rsidRDefault="00AA293B">
      <w:pPr>
        <w:pStyle w:val="FirstParagraph"/>
        <w:rPr>
          <w:lang w:eastAsia="zh-CN"/>
        </w:rPr>
      </w:pPr>
      <w:r>
        <w:rPr>
          <w:lang w:eastAsia="zh-CN"/>
        </w:rPr>
        <w:t>上述要求旨在确保保荐人分配充足资源用于管理新上市申请，并有效监督《上市规则》规定的各项必要程序及流程。</w:t>
      </w:r>
    </w:p>
    <w:p w:rsidR="002E7C3C" w:rsidRDefault="00AA293B">
      <w:pPr>
        <w:pStyle w:val="Heading2"/>
        <w:rPr>
          <w:lang w:eastAsia="zh-CN"/>
        </w:rPr>
      </w:pPr>
      <w:bookmarkStart w:id="9" w:name="结论与实务启示"/>
      <w:r>
        <w:rPr>
          <w:lang w:eastAsia="zh-CN"/>
        </w:rPr>
        <w:t>结论与实务启示</w:t>
      </w:r>
      <w:bookmarkEnd w:id="9"/>
    </w:p>
    <w:p w:rsidR="002E7C3C" w:rsidRDefault="00AA293B">
      <w:pPr>
        <w:pStyle w:val="FirstParagraph"/>
        <w:rPr>
          <w:lang w:eastAsia="zh-CN"/>
        </w:rPr>
      </w:pPr>
      <w:r>
        <w:rPr>
          <w:lang w:eastAsia="zh-CN"/>
        </w:rPr>
        <w:t>《证监会保荐人通函附录》深入阐释了证监会对香港保荐人履职行为的监管要求，并全面列明了香港保荐人未达要求时可能涉及的监管条款。</w:t>
      </w:r>
    </w:p>
    <w:p w:rsidR="002E7C3C" w:rsidRDefault="00AA293B">
      <w:pPr>
        <w:pStyle w:val="BodyText"/>
        <w:rPr>
          <w:lang w:eastAsia="zh-CN"/>
        </w:rPr>
      </w:pPr>
      <w:r>
        <w:rPr>
          <w:lang w:eastAsia="zh-CN"/>
        </w:rPr>
        <w:t>附录所载的</w:t>
      </w:r>
      <w:r>
        <w:rPr>
          <w:lang w:eastAsia="zh-CN"/>
        </w:rPr>
        <w:t>14</w:t>
      </w:r>
      <w:r>
        <w:rPr>
          <w:lang w:eastAsia="zh-CN"/>
        </w:rPr>
        <w:t>个案例（案例</w:t>
      </w:r>
      <w:r>
        <w:rPr>
          <w:lang w:eastAsia="zh-CN"/>
        </w:rPr>
        <w:t>A</w:t>
      </w:r>
      <w:r>
        <w:rPr>
          <w:lang w:eastAsia="zh-CN"/>
        </w:rPr>
        <w:t>至案例</w:t>
      </w:r>
      <w:r>
        <w:rPr>
          <w:lang w:eastAsia="zh-CN"/>
        </w:rPr>
        <w:t>N</w:t>
      </w:r>
      <w:r>
        <w:rPr>
          <w:lang w:eastAsia="zh-CN"/>
        </w:rPr>
        <w:t>），列举了证监会认定的保荐人不达标的具体行为类型。这些案例覆盖了保荐工作的全流程，从上市文件拟备到发售阶段均有涉及，既包括工作成果质量问题，也涵盖资源配备不足的问题。</w:t>
      </w:r>
    </w:p>
    <w:p w:rsidR="00AA293B" w:rsidRPr="00AA293B" w:rsidRDefault="00AA293B">
      <w:pPr>
        <w:pStyle w:val="Heading3"/>
        <w:rPr>
          <w:rFonts w:hint="eastAsia"/>
          <w:color w:val="auto"/>
          <w:lang w:eastAsia="zh-CN"/>
        </w:rPr>
      </w:pPr>
      <w:bookmarkStart w:id="10" w:name="香港保荐人需重点关注的事项"/>
      <w:r w:rsidRPr="00AA293B">
        <w:rPr>
          <w:color w:val="auto"/>
          <w:lang w:eastAsia="zh-CN"/>
        </w:rPr>
        <w:lastRenderedPageBreak/>
        <w:t>香港保荐人需重点关注的事项：</w:t>
      </w:r>
      <w:bookmarkEnd w:id="10"/>
    </w:p>
    <w:p w:rsidR="002E7C3C" w:rsidRDefault="00AA293B">
      <w:pPr>
        <w:pStyle w:val="Compact"/>
        <w:numPr>
          <w:ilvl w:val="0"/>
          <w:numId w:val="11"/>
        </w:numPr>
        <w:rPr>
          <w:lang w:eastAsia="zh-CN"/>
        </w:rPr>
      </w:pPr>
      <w:r>
        <w:rPr>
          <w:b/>
          <w:lang w:eastAsia="zh-CN"/>
        </w:rPr>
        <w:t>上市文件质量</w:t>
      </w:r>
      <w:r>
        <w:rPr>
          <w:lang w:eastAsia="zh-CN"/>
        </w:rPr>
        <w:t>：保荐人须确保上市文件并非仅满足流程要求，而是提供充分的实质信息，使得投资者能够形成有依据且合理的判断。篇幅过长、充斥营销用语、模板化披露等均属于违规红线。</w:t>
      </w:r>
    </w:p>
    <w:p w:rsidR="002E7C3C" w:rsidRDefault="00AA293B">
      <w:pPr>
        <w:pStyle w:val="Compact"/>
        <w:numPr>
          <w:ilvl w:val="0"/>
          <w:numId w:val="11"/>
        </w:numPr>
        <w:rPr>
          <w:lang w:eastAsia="zh-CN"/>
        </w:rPr>
      </w:pPr>
      <w:r>
        <w:rPr>
          <w:b/>
          <w:lang w:eastAsia="zh-CN"/>
        </w:rPr>
        <w:t>监管沟通</w:t>
      </w:r>
      <w:r>
        <w:rPr>
          <w:lang w:eastAsia="zh-CN"/>
        </w:rPr>
        <w:t>：监管机构就关注事项给出指引后，保荐人应提交完整、准确、前后一致的回复。未能做到这一点可能导致上市申请审理流程</w:t>
      </w:r>
      <w:r>
        <w:rPr>
          <w:lang w:eastAsia="zh-CN"/>
        </w:rPr>
        <w:t>暂停，甚至触发监管行动。</w:t>
      </w:r>
    </w:p>
    <w:p w:rsidR="002E7C3C" w:rsidRDefault="00AA293B">
      <w:pPr>
        <w:pStyle w:val="Compact"/>
        <w:numPr>
          <w:ilvl w:val="0"/>
          <w:numId w:val="11"/>
        </w:numPr>
        <w:rPr>
          <w:lang w:eastAsia="zh-CN"/>
        </w:rPr>
      </w:pPr>
      <w:r>
        <w:rPr>
          <w:b/>
          <w:lang w:eastAsia="zh-CN"/>
        </w:rPr>
        <w:t>发售阶段流程</w:t>
      </w:r>
      <w:r>
        <w:rPr>
          <w:lang w:eastAsia="zh-CN"/>
        </w:rPr>
        <w:t>：保荐人须委派足够资深且经验丰富的人员，负责处理</w:t>
      </w:r>
      <w:r>
        <w:rPr>
          <w:lang w:eastAsia="zh-CN"/>
        </w:rPr>
        <w:t>FINI</w:t>
      </w:r>
      <w:r>
        <w:rPr>
          <w:lang w:eastAsia="zh-CN"/>
        </w:rPr>
        <w:t>系统相关流程及发售阶段其他工作。境外团队需接受充分监督，并确保能及时响应沟通。</w:t>
      </w:r>
    </w:p>
    <w:p w:rsidR="002E7C3C" w:rsidRDefault="00AA293B">
      <w:pPr>
        <w:pStyle w:val="Compact"/>
        <w:numPr>
          <w:ilvl w:val="0"/>
          <w:numId w:val="11"/>
        </w:numPr>
        <w:rPr>
          <w:lang w:eastAsia="zh-CN"/>
        </w:rPr>
      </w:pPr>
      <w:r>
        <w:rPr>
          <w:b/>
          <w:lang w:eastAsia="zh-CN"/>
        </w:rPr>
        <w:t>主要人员工作量</w:t>
      </w:r>
      <w:r>
        <w:rPr>
          <w:lang w:eastAsia="zh-CN"/>
        </w:rPr>
        <w:t>：六项上市项目已成为明确的监管基准线，同时监管六个以上活跃上市项目的主要人员，将被纳入监管重点关注范围。</w:t>
      </w:r>
    </w:p>
    <w:p w:rsidR="002E7C3C" w:rsidRDefault="00AA293B">
      <w:pPr>
        <w:pStyle w:val="Compact"/>
        <w:numPr>
          <w:ilvl w:val="0"/>
          <w:numId w:val="11"/>
        </w:numPr>
        <w:rPr>
          <w:lang w:eastAsia="zh-CN"/>
        </w:rPr>
      </w:pPr>
      <w:r>
        <w:rPr>
          <w:b/>
          <w:lang w:eastAsia="zh-CN"/>
        </w:rPr>
        <w:t>主要人员资格</w:t>
      </w:r>
      <w:r>
        <w:rPr>
          <w:lang w:eastAsia="zh-CN"/>
        </w:rPr>
        <w:t>：仅具备</w:t>
      </w:r>
      <w:r>
        <w:rPr>
          <w:lang w:eastAsia="zh-CN"/>
        </w:rPr>
        <w:t xml:space="preserve"> “</w:t>
      </w:r>
      <w:r>
        <w:rPr>
          <w:lang w:eastAsia="zh-CN"/>
        </w:rPr>
        <w:t>客户关系</w:t>
      </w:r>
      <w:r>
        <w:rPr>
          <w:lang w:eastAsia="zh-CN"/>
        </w:rPr>
        <w:t xml:space="preserve">” </w:t>
      </w:r>
      <w:r>
        <w:rPr>
          <w:lang w:eastAsia="zh-CN"/>
        </w:rPr>
        <w:t>或</w:t>
      </w:r>
      <w:r>
        <w:rPr>
          <w:lang w:eastAsia="zh-CN"/>
        </w:rPr>
        <w:t xml:space="preserve"> “</w:t>
      </w:r>
      <w:r>
        <w:rPr>
          <w:lang w:eastAsia="zh-CN"/>
        </w:rPr>
        <w:t>行业拓展</w:t>
      </w:r>
      <w:r>
        <w:rPr>
          <w:lang w:eastAsia="zh-CN"/>
        </w:rPr>
        <w:t xml:space="preserve">” </w:t>
      </w:r>
      <w:r>
        <w:rPr>
          <w:lang w:eastAsia="zh-CN"/>
        </w:rPr>
        <w:t>经验，不足以担任保荐人主要人员。主要人员必须拥有可佐证的、实际参与上市项目的经验。</w:t>
      </w:r>
    </w:p>
    <w:p w:rsidR="002E7C3C" w:rsidRDefault="00AA293B">
      <w:pPr>
        <w:pStyle w:val="Compact"/>
        <w:numPr>
          <w:ilvl w:val="0"/>
          <w:numId w:val="11"/>
        </w:numPr>
      </w:pPr>
      <w:r>
        <w:rPr>
          <w:b/>
          <w:lang w:eastAsia="zh-CN"/>
        </w:rPr>
        <w:t>流动专业人员依赖问题</w:t>
      </w:r>
      <w:r>
        <w:rPr>
          <w:lang w:eastAsia="zh-CN"/>
        </w:rPr>
        <w:t>：过度依赖缺乏香港首次公开招股经验，或未通过规定的香港证券及</w:t>
      </w:r>
      <w:r>
        <w:rPr>
          <w:lang w:eastAsia="zh-CN"/>
        </w:rPr>
        <w:t>投资学会资格考试的流动专业人员，是监管机构重点关注的问题。</w:t>
      </w:r>
      <w:r>
        <w:t>所有流动专业人员均须符合考试要求。</w:t>
      </w:r>
    </w:p>
    <w:p w:rsidR="002E7C3C" w:rsidRDefault="00AA293B">
      <w:pPr>
        <w:pStyle w:val="FirstParagraph"/>
        <w:rPr>
          <w:lang w:eastAsia="zh-CN"/>
        </w:rPr>
      </w:pPr>
      <w:r>
        <w:rPr>
          <w:lang w:eastAsia="zh-CN"/>
        </w:rPr>
        <w:t>所有香港保荐人均应仔细研读《证监会保荐人通函附录》，并对照附录所列案例及监管条款，审视自身现行执业做法。对于发现的不足，应立即采取补救措施。</w:t>
      </w:r>
    </w:p>
    <w:p w:rsidR="002E7C3C" w:rsidRDefault="00AA293B">
      <w:pPr>
        <w:pStyle w:val="BodyText"/>
        <w:rPr>
          <w:lang w:eastAsia="zh-CN"/>
        </w:rPr>
      </w:pPr>
      <w:r>
        <w:rPr>
          <w:b/>
          <w:lang w:eastAsia="zh-CN"/>
        </w:rPr>
        <w:t>如欲就本通讯所讨论的事宜查询更多资料或寻求协助，请联络：</w:t>
      </w:r>
    </w:p>
    <w:p w:rsidR="002E7C3C" w:rsidRDefault="00AA293B">
      <w:pPr>
        <w:pStyle w:val="BodyText"/>
      </w:pPr>
      <w:r>
        <w:rPr>
          <w:b/>
        </w:rPr>
        <w:t>易周律师行</w:t>
      </w:r>
    </w:p>
    <w:p w:rsidR="002E7C3C" w:rsidRPr="00AA293B" w:rsidRDefault="00AA293B">
      <w:pPr>
        <w:pStyle w:val="BodyText"/>
        <w:rPr>
          <w:color w:val="FF0000"/>
          <w:u w:val="single"/>
        </w:rPr>
      </w:pPr>
      <w:hyperlink r:id="rId13">
        <w:r w:rsidRPr="00AA293B">
          <w:rPr>
            <w:color w:val="FF0000"/>
            <w:u w:val="single"/>
          </w:rPr>
          <w:t>enquiries@charltonslaw.com</w:t>
        </w:r>
      </w:hyperlink>
    </w:p>
    <w:p w:rsidR="002E7C3C" w:rsidRDefault="00AA293B">
      <w:pPr>
        <w:pStyle w:val="BodyText"/>
        <w:rPr>
          <w:lang w:eastAsia="zh-CN"/>
        </w:rPr>
      </w:pPr>
      <w:r>
        <w:rPr>
          <w:lang w:eastAsia="zh-CN"/>
        </w:rPr>
        <w:t>东美中心</w:t>
      </w:r>
      <w:r>
        <w:rPr>
          <w:lang w:eastAsia="zh-CN"/>
        </w:rPr>
        <w:t>12</w:t>
      </w:r>
      <w:r>
        <w:rPr>
          <w:lang w:eastAsia="zh-CN"/>
        </w:rPr>
        <w:t>楼</w:t>
      </w:r>
    </w:p>
    <w:p w:rsidR="002E7C3C" w:rsidRDefault="00AA293B">
      <w:pPr>
        <w:pStyle w:val="BodyText"/>
        <w:rPr>
          <w:lang w:eastAsia="zh-CN"/>
        </w:rPr>
      </w:pPr>
      <w:r>
        <w:rPr>
          <w:lang w:eastAsia="zh-CN"/>
        </w:rPr>
        <w:t>皇后大道东</w:t>
      </w:r>
      <w:r>
        <w:rPr>
          <w:lang w:eastAsia="zh-CN"/>
        </w:rPr>
        <w:t>43-59</w:t>
      </w:r>
      <w:r>
        <w:rPr>
          <w:lang w:eastAsia="zh-CN"/>
        </w:rPr>
        <w:t>号</w:t>
      </w:r>
    </w:p>
    <w:p w:rsidR="002E7C3C" w:rsidRDefault="00AA293B">
      <w:pPr>
        <w:pStyle w:val="BodyText"/>
        <w:rPr>
          <w:lang w:eastAsia="zh-CN"/>
        </w:rPr>
      </w:pPr>
      <w:r>
        <w:rPr>
          <w:lang w:eastAsia="zh-CN"/>
        </w:rPr>
        <w:t>香港</w:t>
      </w:r>
    </w:p>
    <w:p w:rsidR="002E7C3C" w:rsidRDefault="00AA293B">
      <w:pPr>
        <w:pStyle w:val="BodyText"/>
        <w:rPr>
          <w:lang w:eastAsia="zh-CN"/>
        </w:rPr>
      </w:pPr>
      <w:r>
        <w:rPr>
          <w:lang w:eastAsia="zh-CN"/>
        </w:rPr>
        <w:t>电话</w:t>
      </w:r>
      <w:r>
        <w:rPr>
          <w:lang w:eastAsia="zh-CN"/>
        </w:rPr>
        <w:t>: + (852) 2905 7888</w:t>
      </w:r>
    </w:p>
    <w:p w:rsidR="002E7C3C" w:rsidRDefault="00AA293B">
      <w:pPr>
        <w:pStyle w:val="BodyText"/>
        <w:rPr>
          <w:lang w:eastAsia="zh-CN"/>
        </w:rPr>
      </w:pPr>
      <w:r>
        <w:rPr>
          <w:lang w:eastAsia="zh-CN"/>
        </w:rPr>
        <w:t>www.charltonslaw.com</w:t>
      </w:r>
    </w:p>
    <w:p w:rsidR="002E7C3C" w:rsidRDefault="00AA293B">
      <w:pPr>
        <w:pStyle w:val="BodyText"/>
      </w:pPr>
      <w:hyperlink w:anchor="footnote-598-1-backlink">
        <w:r>
          <w:t>1</w:t>
        </w:r>
      </w:hyperlink>
      <w:r>
        <w:t xml:space="preserve"> </w:t>
      </w:r>
      <w:r>
        <w:t>详见证监会</w:t>
      </w:r>
      <w:r>
        <w:t>2026</w:t>
      </w:r>
      <w:r>
        <w:t>年</w:t>
      </w:r>
      <w:r>
        <w:t>1</w:t>
      </w:r>
      <w:r>
        <w:t>月</w:t>
      </w:r>
      <w:r>
        <w:t>30</w:t>
      </w:r>
      <w:r>
        <w:t>日《致持牌法团有关保荐人工作的通函》之附录，访问地址为：</w:t>
      </w:r>
      <w:hyperlink r:id="rId14">
        <w:r w:rsidRPr="00AA293B">
          <w:rPr>
            <w:color w:val="FF0000"/>
            <w:u w:val="single"/>
          </w:rPr>
          <w:t>https://sc.sfc.hk/TuniS/apps.sfc.hk/edistributionWeb/api/circular/openAppendix?lang=TC&amp;refNo=26EC4&amp;appendix=0</w:t>
        </w:r>
      </w:hyperlink>
    </w:p>
    <w:p w:rsidR="002E7C3C" w:rsidRDefault="00AA293B">
      <w:pPr>
        <w:pStyle w:val="BodyText"/>
        <w:rPr>
          <w:lang w:eastAsia="zh-CN"/>
        </w:rPr>
      </w:pPr>
      <w:hyperlink w:anchor="footnote-598-2-backlink">
        <w:r>
          <w:rPr>
            <w:lang w:eastAsia="zh-CN"/>
          </w:rPr>
          <w:t>2</w:t>
        </w:r>
      </w:hyperlink>
      <w:r>
        <w:rPr>
          <w:lang w:eastAsia="zh-CN"/>
        </w:rPr>
        <w:t xml:space="preserve"> </w:t>
      </w:r>
      <w:r>
        <w:rPr>
          <w:lang w:eastAsia="zh-CN"/>
        </w:rPr>
        <w:t>根据《证券及期货事务监察委员会持牌人或注册人操守准则》第</w:t>
      </w:r>
      <w:r>
        <w:rPr>
          <w:lang w:eastAsia="zh-CN"/>
        </w:rPr>
        <w:t>17.15(l)</w:t>
      </w:r>
      <w:r>
        <w:rPr>
          <w:lang w:eastAsia="zh-CN"/>
        </w:rPr>
        <w:t>条，就上市任务而言，主要人员指由保荐人委任负责监督交易小组的个人。</w:t>
      </w:r>
    </w:p>
    <w:p w:rsidR="002E7C3C" w:rsidRDefault="00AA293B">
      <w:pPr>
        <w:pStyle w:val="BodyText"/>
        <w:rPr>
          <w:lang w:eastAsia="zh-CN"/>
        </w:rPr>
      </w:pPr>
      <w:hyperlink w:anchor="footnote-598-3-backlink">
        <w:r>
          <w:rPr>
            <w:lang w:eastAsia="zh-CN"/>
          </w:rPr>
          <w:t>3</w:t>
        </w:r>
      </w:hyperlink>
      <w:r>
        <w:rPr>
          <w:lang w:eastAsia="zh-CN"/>
        </w:rPr>
        <w:t xml:space="preserve"> </w:t>
      </w:r>
      <w:r>
        <w:rPr>
          <w:lang w:eastAsia="zh-CN"/>
        </w:rPr>
        <w:t>根据《证券及期货事务监察委员会持牌人或注册人操守准则》第</w:t>
      </w:r>
      <w:r>
        <w:rPr>
          <w:lang w:eastAsia="zh-CN"/>
        </w:rPr>
        <w:t>17.15(s)</w:t>
      </w:r>
      <w:r>
        <w:rPr>
          <w:lang w:eastAsia="zh-CN"/>
        </w:rPr>
        <w:t>条，指获保荐人委任执行上市任务的职员。</w:t>
      </w:r>
    </w:p>
    <w:p w:rsidR="002E7C3C" w:rsidRDefault="00AA293B" w:rsidP="00AA293B">
      <w:pPr>
        <w:pStyle w:val="BodyText"/>
        <w:jc w:val="left"/>
      </w:pPr>
      <w:hyperlink w:anchor="footnote-598-4-backlink">
        <w:r>
          <w:t>4</w:t>
        </w:r>
      </w:hyperlink>
      <w:r>
        <w:t xml:space="preserve"> </w:t>
      </w:r>
      <w:r>
        <w:t>《证券及期货事务监察委员会持牌人或注册人操守准则》（</w:t>
      </w:r>
      <w:r>
        <w:t>2026</w:t>
      </w:r>
      <w:r>
        <w:t>年</w:t>
      </w:r>
      <w:r>
        <w:t>1</w:t>
      </w:r>
      <w:r>
        <w:t>月</w:t>
      </w:r>
      <w:r>
        <w:t>2</w:t>
      </w:r>
      <w:r>
        <w:t>日版），访问地址为</w:t>
      </w:r>
      <w:r>
        <w:t>：</w:t>
      </w:r>
      <w:hyperlink r:id="rId15">
        <w:r w:rsidRPr="00AA293B">
          <w:rPr>
            <w:color w:val="FF0000"/>
            <w:u w:val="single"/>
          </w:rPr>
          <w:t>https://www.sfc.hk/-/media/TC/assets/comp</w:t>
        </w:r>
        <w:r w:rsidRPr="00AA293B">
          <w:rPr>
            <w:color w:val="FF0000"/>
            <w:u w:val="single"/>
          </w:rPr>
          <w:t>onents/codes/files-current/zh-hant/codes/code-of-conduct-for-persons-licensed-by-or-registered-with-the-securities-and-futures-commission/Code_of_conduct-Dec-2025_Chi-Final-with-Bookmark_Jan-2026.pdf?rev=88ccbaea9b7444ccb36bfe35a949fe3c</w:t>
        </w:r>
      </w:hyperlink>
    </w:p>
    <w:p w:rsidR="002E7C3C" w:rsidRDefault="00AA293B">
      <w:pPr>
        <w:pStyle w:val="BodyText"/>
      </w:pPr>
      <w:hyperlink w:anchor="footnote-598-5-backlink">
        <w:r>
          <w:t>5</w:t>
        </w:r>
      </w:hyperlink>
      <w:r>
        <w:t xml:space="preserve"> </w:t>
      </w:r>
      <w:r>
        <w:t>（单独或连同其他受规管产品）作为生物科技公司根据《主板上市规则》第</w:t>
      </w:r>
      <w:r>
        <w:t>18A</w:t>
      </w:r>
      <w:r>
        <w:t>章申请上市基础的受规管产品，访问地址为：</w:t>
      </w:r>
      <w:hyperlink r:id="rId16">
        <w:r w:rsidRPr="00AA293B">
          <w:rPr>
            <w:color w:val="FF0000"/>
            <w:u w:val="single"/>
          </w:rPr>
          <w:t>https://sc.hkex.com.hk/TuniS/cn-rules.hkex.com.hk/%E8%A6%8F%E5%89%87%E6%89%8B%E5%86%8A/%E7%AC%AC%E5%</w:t>
        </w:r>
        <w:r w:rsidRPr="00AA293B">
          <w:rPr>
            <w:color w:val="FF0000"/>
            <w:u w:val="single"/>
          </w:rPr>
          <w:lastRenderedPageBreak/>
          <w:t>8D%81%E5%85%ABa%E7%AB%A0%C2%A0%E7%94%9F%E7%89%A9%E7%A7%91%E6%8A%80%E5%85%AC%E5%8F%B8</w:t>
        </w:r>
      </w:hyperlink>
    </w:p>
    <w:p w:rsidR="002E7C3C" w:rsidRDefault="00AA293B">
      <w:pPr>
        <w:pStyle w:val="BodyText"/>
        <w:rPr>
          <w:lang w:eastAsia="zh-CN"/>
        </w:rPr>
      </w:pPr>
      <w:hyperlink w:anchor="footnote-598-6-backlink">
        <w:r>
          <w:rPr>
            <w:lang w:eastAsia="zh-CN"/>
          </w:rPr>
          <w:t>6</w:t>
        </w:r>
      </w:hyperlink>
      <w:r>
        <w:rPr>
          <w:lang w:eastAsia="zh-CN"/>
        </w:rPr>
        <w:t xml:space="preserve"> </w:t>
      </w:r>
      <w:r>
        <w:rPr>
          <w:lang w:eastAsia="zh-CN"/>
        </w:rPr>
        <w:t>资深独立投资者在上市申请之日的至少</w:t>
      </w:r>
      <w:r>
        <w:rPr>
          <w:lang w:eastAsia="zh-CN"/>
        </w:rPr>
        <w:t>12</w:t>
      </w:r>
      <w:r>
        <w:rPr>
          <w:lang w:eastAsia="zh-CN"/>
        </w:rPr>
        <w:t>个月前已投资于联交所上市申请人。</w:t>
      </w:r>
    </w:p>
    <w:p w:rsidR="002E7C3C" w:rsidRDefault="00AA293B">
      <w:pPr>
        <w:pStyle w:val="BodyText"/>
      </w:pPr>
      <w:hyperlink w:anchor="footnote-598-7-backlink">
        <w:r>
          <w:t>7</w:t>
        </w:r>
      </w:hyperlink>
      <w:r>
        <w:t xml:space="preserve"> </w:t>
      </w:r>
      <w:r>
        <w:t>联交所不时发布的《新上市申请人指南》，访问地址为：</w:t>
      </w:r>
      <w:hyperlink r:id="rId17">
        <w:r w:rsidRPr="00AA293B">
          <w:rPr>
            <w:color w:val="FF0000"/>
            <w:u w:val="single"/>
          </w:rPr>
          <w:t>https://sc.hkex.com.hk/TuniS/cn-rules.hkex.com.hk/%E8%A6%8F%E5%89%87%E6%89%8B%E5%86%8A/%E6%96%B0%E4%B8%8A%E5%B8%82%E7%94%B3%E8%AB%8B%E4%BA%BA%E6%8C%87%E5%8D%97</w:t>
        </w:r>
      </w:hyperlink>
    </w:p>
    <w:p w:rsidR="002E7C3C" w:rsidRDefault="00AA293B" w:rsidP="00AA293B">
      <w:pPr>
        <w:pStyle w:val="BodyText"/>
        <w:jc w:val="left"/>
      </w:pPr>
      <w:hyperlink w:anchor="footnote-598-8-backlink">
        <w:r>
          <w:t>8</w:t>
        </w:r>
      </w:hyperlink>
      <w:r>
        <w:t xml:space="preserve"> </w:t>
      </w:r>
      <w:r>
        <w:t>证监会和联交所于</w:t>
      </w:r>
      <w:r>
        <w:t>2024</w:t>
      </w:r>
      <w:r>
        <w:t>年</w:t>
      </w:r>
      <w:r>
        <w:t>10</w:t>
      </w:r>
      <w:r>
        <w:t>月</w:t>
      </w:r>
      <w:r>
        <w:t>18</w:t>
      </w:r>
      <w:r>
        <w:t>日发布的《有关优化新上市申请审批流程时间表的联合声明》，访问地址为：</w:t>
      </w:r>
      <w:hyperlink r:id="rId18">
        <w:r w:rsidRPr="00AA293B">
          <w:rPr>
            <w:color w:val="FF0000"/>
            <w:u w:val="single"/>
          </w:rPr>
          <w:t>https://sc.hkex.com.hk/TuniS/cn-rules.hkex.com.hk/%E8%A6%8F%E5%89%87%E6%89%8B%E5%86%8A/%E6%96%B0%E4%B8%8A%E5%B8%82%E7%94%B3%E8%AB%8B%E4%BA%BA%E6%8C%87%E5%8D%97</w:t>
        </w:r>
      </w:hyperlink>
    </w:p>
    <w:p w:rsidR="002E7C3C" w:rsidRDefault="00AA293B">
      <w:pPr>
        <w:pStyle w:val="BodyText"/>
        <w:rPr>
          <w:lang w:eastAsia="zh-CN"/>
        </w:rPr>
      </w:pPr>
      <w:hyperlink w:anchor="footnote-598-9-backlink">
        <w:r>
          <w:rPr>
            <w:lang w:eastAsia="zh-CN"/>
          </w:rPr>
          <w:t>9</w:t>
        </w:r>
      </w:hyperlink>
      <w:r>
        <w:rPr>
          <w:lang w:eastAsia="zh-CN"/>
        </w:rPr>
        <w:t xml:space="preserve"> </w:t>
      </w:r>
      <w:r>
        <w:rPr>
          <w:lang w:eastAsia="zh-CN"/>
        </w:rPr>
        <w:t>《适用于从事保荐人和合规顾问工作的法团及个人的额外胜任能力规定》，为《胜任能力的指引》</w:t>
      </w:r>
      <w:r>
        <w:rPr>
          <w:lang w:eastAsia="zh-CN"/>
        </w:rPr>
        <w:t>附录</w:t>
      </w:r>
      <w:r>
        <w:rPr>
          <w:lang w:eastAsia="zh-CN"/>
        </w:rPr>
        <w:t>A</w:t>
      </w:r>
      <w:r>
        <w:rPr>
          <w:lang w:eastAsia="zh-CN"/>
        </w:rPr>
        <w:t>。访问地址为：</w:t>
      </w:r>
      <w:hyperlink r:id="rId19">
        <w:r w:rsidRPr="00AA293B">
          <w:rPr>
            <w:color w:val="FF0000"/>
            <w:u w:val="single"/>
            <w:lang w:eastAsia="zh-CN"/>
          </w:rPr>
          <w:t>https://www.sfc.hk/-/media/TC/assets/</w:t>
        </w:r>
        <w:r w:rsidRPr="00AA293B">
          <w:rPr>
            <w:color w:val="FF0000"/>
            <w:u w:val="single"/>
            <w:lang w:eastAsia="zh-CN"/>
          </w:rPr>
          <w:t>components/codes/files-current/zh-hant/guidelines/guidelines-on-competence/Guidelines-on-Competence_TC_Oct-2024.pdf?rev=699b25567ca943abbeb6e429c9532272</w:t>
        </w:r>
      </w:hyperlink>
    </w:p>
    <w:p w:rsidR="002E7C3C" w:rsidRDefault="00AA293B">
      <w:pPr>
        <w:pStyle w:val="BodyText"/>
        <w:rPr>
          <w:lang w:eastAsia="zh-CN"/>
        </w:rPr>
      </w:pPr>
      <w:hyperlink w:anchor="footnote-598-10-backlink">
        <w:r>
          <w:rPr>
            <w:lang w:eastAsia="zh-CN"/>
          </w:rPr>
          <w:t>10</w:t>
        </w:r>
      </w:hyperlink>
      <w:r>
        <w:rPr>
          <w:lang w:eastAsia="zh-CN"/>
        </w:rPr>
        <w:t xml:space="preserve"> </w:t>
      </w:r>
      <w:r>
        <w:rPr>
          <w:lang w:eastAsia="zh-CN"/>
        </w:rPr>
        <w:t>根据《证券及期货事务监察委员会持牌人或注册人操守准则》第</w:t>
      </w:r>
      <w:r>
        <w:rPr>
          <w:lang w:eastAsia="zh-CN"/>
        </w:rPr>
        <w:t>17.15(i)</w:t>
      </w:r>
      <w:r>
        <w:rPr>
          <w:lang w:eastAsia="zh-CN"/>
        </w:rPr>
        <w:t>条，包括保荐人的董事会、董事总经理</w:t>
      </w:r>
      <w:r>
        <w:rPr>
          <w:lang w:eastAsia="zh-CN"/>
        </w:rPr>
        <w:t>、行政总裁、负责人员、主管人员及其他高层管理人员。</w:t>
      </w:r>
    </w:p>
    <w:p w:rsidR="002E7C3C" w:rsidRDefault="00AA293B">
      <w:pPr>
        <w:pStyle w:val="BodyText"/>
      </w:pPr>
      <w:hyperlink w:anchor="footnote-598-11-backlink">
        <w:r>
          <w:t>11</w:t>
        </w:r>
      </w:hyperlink>
      <w:r>
        <w:t xml:space="preserve"> </w:t>
      </w:r>
      <w:r>
        <w:t>香港证监会</w:t>
      </w:r>
      <w:r>
        <w:t>2018</w:t>
      </w:r>
      <w:r>
        <w:t>年</w:t>
      </w:r>
      <w:r>
        <w:t>3</w:t>
      </w:r>
      <w:r>
        <w:t>月关于从事保荐人业务的持牌法团的主题检视报告，访问地址为：</w:t>
      </w:r>
      <w:hyperlink r:id="rId20">
        <w:r w:rsidRPr="00AA293B">
          <w:rPr>
            <w:color w:val="FF0000"/>
            <w:u w:val="single"/>
          </w:rPr>
          <w:t>https://www.sfc.hk/-/media/TC/files/IS/publications/Report-on-the-Thematic-Review-of-Licensed-Corporations-Engaged-in-Sponsor-Business-TC.pdf?rev=2ea926174d084f22bb6a5c96af1e5a2d</w:t>
        </w:r>
      </w:hyperlink>
    </w:p>
    <w:p w:rsidR="002E7C3C" w:rsidRDefault="00AA293B">
      <w:pPr>
        <w:pStyle w:val="BodyText"/>
      </w:pPr>
      <w:hyperlink w:anchor="footnote-598-12-backlink">
        <w:r>
          <w:t>12</w:t>
        </w:r>
      </w:hyperlink>
      <w:r>
        <w:t xml:space="preserve"> </w:t>
      </w:r>
      <w:r>
        <w:t>《企业融资顾问操守准则》（</w:t>
      </w:r>
      <w:r>
        <w:t>2013</w:t>
      </w:r>
      <w:r>
        <w:t>年</w:t>
      </w:r>
      <w:r>
        <w:t>10</w:t>
      </w:r>
      <w:r>
        <w:t>月版），访问地址为：</w:t>
      </w:r>
      <w:hyperlink r:id="rId21">
        <w:r w:rsidRPr="00AA293B">
          <w:rPr>
            <w:color w:val="FF0000"/>
            <w:u w:val="single"/>
          </w:rPr>
          <w:t>https://www.sfc.hk/-/media/TC/assets/components/codes/files-current/zh-hant/codes/corporate-finance-adviser-code-of-conduct/corporate-finance-adviser-code-of-conduct.pdf?rev=-1</w:t>
        </w:r>
      </w:hyperlink>
    </w:p>
    <w:p w:rsidR="002E7C3C" w:rsidRDefault="00AA293B">
      <w:pPr>
        <w:pStyle w:val="BodyText"/>
        <w:rPr>
          <w:lang w:eastAsia="zh-CN"/>
        </w:rPr>
      </w:pPr>
      <w:hyperlink w:anchor="footnote-598-13-backlink">
        <w:r>
          <w:rPr>
            <w:lang w:eastAsia="zh-CN"/>
          </w:rPr>
          <w:t>13</w:t>
        </w:r>
      </w:hyperlink>
      <w:r>
        <w:rPr>
          <w:lang w:eastAsia="zh-CN"/>
        </w:rPr>
        <w:t xml:space="preserve"> </w:t>
      </w:r>
      <w:r>
        <w:rPr>
          <w:lang w:eastAsia="zh-CN"/>
        </w:rPr>
        <w:t>详见《证监会保荐人通函》第</w:t>
      </w:r>
      <w:r>
        <w:rPr>
          <w:lang w:eastAsia="zh-CN"/>
        </w:rPr>
        <w:t>10(b), 14</w:t>
      </w:r>
      <w:r>
        <w:rPr>
          <w:lang w:eastAsia="zh-CN"/>
        </w:rPr>
        <w:t>和</w:t>
      </w:r>
      <w:r>
        <w:rPr>
          <w:lang w:eastAsia="zh-CN"/>
        </w:rPr>
        <w:t>21</w:t>
      </w:r>
      <w:r>
        <w:rPr>
          <w:lang w:eastAsia="zh-CN"/>
        </w:rPr>
        <w:t>条，本</w:t>
      </w:r>
      <w:r>
        <w:rPr>
          <w:lang w:eastAsia="zh-CN"/>
        </w:rPr>
        <w:t>所</w:t>
      </w:r>
      <w:r>
        <w:rPr>
          <w:lang w:eastAsia="zh-CN"/>
        </w:rPr>
        <w:t>2026</w:t>
      </w:r>
      <w:r>
        <w:rPr>
          <w:lang w:eastAsia="zh-CN"/>
        </w:rPr>
        <w:t>年</w:t>
      </w:r>
      <w:r>
        <w:rPr>
          <w:lang w:eastAsia="zh-CN"/>
        </w:rPr>
        <w:t>1</w:t>
      </w:r>
      <w:r>
        <w:rPr>
          <w:lang w:eastAsia="zh-CN"/>
        </w:rPr>
        <w:t>月</w:t>
      </w:r>
      <w:r>
        <w:rPr>
          <w:lang w:eastAsia="zh-CN"/>
        </w:rPr>
        <w:t>31</w:t>
      </w:r>
      <w:r>
        <w:rPr>
          <w:lang w:eastAsia="zh-CN"/>
        </w:rPr>
        <w:t>日发布的关于《证监会保荐人通函》的法讯亦有提及，访问地址为：</w:t>
      </w:r>
      <w:hyperlink r:id="rId22">
        <w:r w:rsidRPr="00AA293B">
          <w:rPr>
            <w:color w:val="FF0000"/>
            <w:u w:val="single"/>
            <w:lang w:eastAsia="zh-CN"/>
          </w:rPr>
          <w:t>https://www.charltonslaw.com.cn/xiang-gang-zheng-jian-hui-fa-bu-chi-pai-f</w:t>
        </w:r>
        <w:r w:rsidRPr="00AA293B">
          <w:rPr>
            <w:color w:val="FF0000"/>
            <w:u w:val="single"/>
            <w:lang w:eastAsia="zh-CN"/>
          </w:rPr>
          <w:t>a-tuan-you-guan-bao-jian-ren-gong-zuo-de-tong-han/</w:t>
        </w:r>
      </w:hyperlink>
    </w:p>
    <w:p w:rsidR="002E7C3C" w:rsidRDefault="00AA293B">
      <w:pPr>
        <w:pStyle w:val="BodyText"/>
        <w:rPr>
          <w:lang w:eastAsia="zh-CN"/>
        </w:rPr>
      </w:pPr>
      <w:hyperlink w:anchor="footnote-598-14-backlink">
        <w:r>
          <w:rPr>
            <w:lang w:eastAsia="zh-CN"/>
          </w:rPr>
          <w:t>14</w:t>
        </w:r>
      </w:hyperlink>
      <w:r>
        <w:rPr>
          <w:lang w:eastAsia="zh-CN"/>
        </w:rPr>
        <w:t xml:space="preserve"> </w:t>
      </w:r>
      <w:r>
        <w:rPr>
          <w:lang w:eastAsia="zh-CN"/>
        </w:rPr>
        <w:t>根据《保荐人指引》第</w:t>
      </w:r>
      <w:r>
        <w:rPr>
          <w:lang w:eastAsia="zh-CN"/>
        </w:rPr>
        <w:t>3.2.2</w:t>
      </w:r>
      <w:r>
        <w:rPr>
          <w:lang w:eastAsia="zh-CN"/>
        </w:rPr>
        <w:t>条件，非驻于香港的牌照持有人受非独立负责条件的约束，且该等非驻于香港的主要人员的委任也受香港保荐人有另外一名常驻于香港的主要人员这一条件的约束。</w:t>
      </w:r>
    </w:p>
    <w:p w:rsidR="002E7C3C" w:rsidRDefault="00AA293B">
      <w:pPr>
        <w:pStyle w:val="DisclaimerBold"/>
        <w:rPr>
          <w:lang w:eastAsia="zh-CN"/>
        </w:rPr>
      </w:pPr>
      <w:r>
        <w:rPr>
          <w:lang w:eastAsia="zh-CN"/>
        </w:rPr>
        <w:t>此法讯仅为提供相关资料信息之用，其内容并</w:t>
      </w:r>
    </w:p>
    <w:p w:rsidR="002E7C3C" w:rsidRDefault="00AA293B">
      <w:pPr>
        <w:pStyle w:val="Disclaimer"/>
        <w:rPr>
          <w:lang w:eastAsia="zh-CN"/>
        </w:rPr>
      </w:pPr>
      <w:r>
        <w:rPr>
          <w:lang w:eastAsia="zh-CN"/>
        </w:rPr>
        <w:t>不构成法律建议及个案的法律分析。</w:t>
      </w:r>
    </w:p>
    <w:p w:rsidR="002E7C3C" w:rsidRDefault="00AA293B">
      <w:pPr>
        <w:pStyle w:val="Disclaimer"/>
        <w:rPr>
          <w:lang w:eastAsia="zh-CN"/>
        </w:rPr>
      </w:pPr>
      <w:r>
        <w:rPr>
          <w:lang w:eastAsia="zh-CN"/>
        </w:rPr>
        <w:t>此法讯的发送并不是为了在易周律师行与用户或浏览者之间建立一</w:t>
      </w:r>
      <w:r>
        <w:rPr>
          <w:lang w:eastAsia="zh-CN"/>
        </w:rPr>
        <w:t>种律师与客户之关系。</w:t>
      </w:r>
    </w:p>
    <w:p w:rsidR="002E7C3C" w:rsidRDefault="00AA293B">
      <w:pPr>
        <w:pStyle w:val="Disclaimer"/>
        <w:rPr>
          <w:lang w:eastAsia="zh-CN"/>
        </w:rPr>
      </w:pPr>
      <w:r>
        <w:rPr>
          <w:lang w:eastAsia="zh-CN"/>
        </w:rPr>
        <w:t>易周律师行并不对可从互联网获得的任何第三方内容负责。</w:t>
      </w:r>
    </w:p>
    <w:p w:rsidR="002E7C3C" w:rsidRDefault="00AA293B">
      <w:pPr>
        <w:pStyle w:val="Disclaimer"/>
        <w:rPr>
          <w:lang w:eastAsia="zh-CN"/>
        </w:rPr>
      </w:pPr>
      <w:r>
        <w:rPr>
          <w:lang w:eastAsia="zh-CN"/>
        </w:rPr>
        <w:t>如你不希望再收到易周法讯，请发送电邮至</w:t>
      </w:r>
      <w:r>
        <w:rPr>
          <w:lang w:eastAsia="zh-CN"/>
        </w:rPr>
        <w:t xml:space="preserve">  </w:t>
      </w:r>
      <w:hyperlink r:id="rId23">
        <w:r>
          <w:rPr>
            <w:lang w:eastAsia="zh-CN"/>
          </w:rPr>
          <w:t>unsubscribe@charltonslaw.com</w:t>
        </w:r>
      </w:hyperlink>
    </w:p>
    <w:p w:rsidR="002E7C3C" w:rsidRDefault="00AA293B">
      <w:pPr>
        <w:pStyle w:val="BlackStrips"/>
      </w:pPr>
      <w:r>
        <w:t xml:space="preserve">Charltons - </w:t>
      </w:r>
      <w:r>
        <w:t>香港法律</w:t>
      </w:r>
      <w:r>
        <w:t xml:space="preserve"> - 2026</w:t>
      </w:r>
      <w:r>
        <w:t>年</w:t>
      </w:r>
      <w:bookmarkStart w:id="11" w:name="_GoBack"/>
      <w:bookmarkEnd w:id="11"/>
      <w:r>
        <w:t>2</w:t>
      </w:r>
      <w:r>
        <w:t>月</w:t>
      </w:r>
      <w:r>
        <w:t>11</w:t>
      </w:r>
      <w:r>
        <w:t>日</w:t>
      </w:r>
    </w:p>
    <w:sectPr w:rsidR="002E7C3C">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A293B">
      <w:pPr>
        <w:spacing w:after="0"/>
      </w:pPr>
      <w:r>
        <w:separator/>
      </w:r>
    </w:p>
  </w:endnote>
  <w:endnote w:type="continuationSeparator" w:id="0">
    <w:p w:rsidR="00000000" w:rsidRDefault="00AA29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C3C" w:rsidRDefault="00AA293B">
      <w:r>
        <w:separator/>
      </w:r>
    </w:p>
  </w:footnote>
  <w:footnote w:type="continuationSeparator" w:id="0">
    <w:p w:rsidR="002E7C3C" w:rsidRDefault="00AA2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CEC2A064"/>
    <w:lvl w:ilvl="0">
      <w:start w:val="1"/>
      <w:numFmt w:val="upperRoman"/>
      <w:lvlText w:val="%1."/>
      <w:lvlJc w:val="left"/>
      <w:pPr>
        <w:tabs>
          <w:tab w:val="num" w:pos="0"/>
        </w:tabs>
        <w:ind w:left="480" w:hanging="480"/>
      </w:pPr>
    </w:lvl>
    <w:lvl w:ilvl="1">
      <w:start w:val="1"/>
      <w:numFmt w:val="upperRoman"/>
      <w:lvlText w:val="%2."/>
      <w:lvlJc w:val="left"/>
      <w:pPr>
        <w:tabs>
          <w:tab w:val="num" w:pos="720"/>
        </w:tabs>
        <w:ind w:left="1200" w:hanging="480"/>
      </w:pPr>
    </w:lvl>
    <w:lvl w:ilvl="2">
      <w:start w:val="1"/>
      <w:numFmt w:val="upperRoman"/>
      <w:lvlText w:val="%3."/>
      <w:lvlJc w:val="left"/>
      <w:pPr>
        <w:tabs>
          <w:tab w:val="num" w:pos="1440"/>
        </w:tabs>
        <w:ind w:left="1920" w:hanging="480"/>
      </w:pPr>
    </w:lvl>
    <w:lvl w:ilvl="3">
      <w:start w:val="1"/>
      <w:numFmt w:val="upperRoman"/>
      <w:lvlText w:val="%4."/>
      <w:lvlJc w:val="left"/>
      <w:pPr>
        <w:tabs>
          <w:tab w:val="num" w:pos="2160"/>
        </w:tabs>
        <w:ind w:left="2640" w:hanging="480"/>
      </w:pPr>
    </w:lvl>
    <w:lvl w:ilvl="4">
      <w:start w:val="1"/>
      <w:numFmt w:val="upperRoman"/>
      <w:lvlText w:val="%5."/>
      <w:lvlJc w:val="left"/>
      <w:pPr>
        <w:tabs>
          <w:tab w:val="num" w:pos="2880"/>
        </w:tabs>
        <w:ind w:left="3360" w:hanging="480"/>
      </w:pPr>
    </w:lvl>
    <w:lvl w:ilvl="5">
      <w:start w:val="1"/>
      <w:numFmt w:val="upperRoman"/>
      <w:lvlText w:val="%6."/>
      <w:lvlJc w:val="left"/>
      <w:pPr>
        <w:tabs>
          <w:tab w:val="num" w:pos="3600"/>
        </w:tabs>
        <w:ind w:left="4080" w:hanging="480"/>
      </w:pPr>
    </w:lvl>
    <w:lvl w:ilvl="6">
      <w:start w:val="1"/>
      <w:numFmt w:val="upperRoman"/>
      <w:lvlText w:val="%7."/>
      <w:lvlJc w:val="left"/>
      <w:pPr>
        <w:tabs>
          <w:tab w:val="num" w:pos="4320"/>
        </w:tabs>
        <w:ind w:left="4800" w:hanging="480"/>
      </w:pPr>
    </w:lvl>
    <w:lvl w:ilvl="7">
      <w:start w:val="1"/>
      <w:numFmt w:val="upperRoman"/>
      <w:lvlText w:val="%8."/>
      <w:lvlJc w:val="left"/>
      <w:pPr>
        <w:tabs>
          <w:tab w:val="num" w:pos="5040"/>
        </w:tabs>
        <w:ind w:left="5520" w:hanging="480"/>
      </w:pPr>
    </w:lvl>
    <w:lvl w:ilvl="8">
      <w:start w:val="1"/>
      <w:numFmt w:val="upperRoman"/>
      <w:lvlText w:val="%9."/>
      <w:lvlJc w:val="left"/>
      <w:pPr>
        <w:tabs>
          <w:tab w:val="num" w:pos="5760"/>
        </w:tabs>
        <w:ind w:left="6240" w:hanging="480"/>
      </w:pPr>
    </w:lvl>
  </w:abstractNum>
  <w:abstractNum w:abstractNumId="1" w15:restartNumberingAfterBreak="0">
    <w:nsid w:val="170CD2DE"/>
    <w:multiLevelType w:val="multilevel"/>
    <w:tmpl w:val="26C25F4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D65C0AB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47261BAD"/>
    <w:multiLevelType w:val="multilevel"/>
    <w:tmpl w:val="FA2612C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4" w15:restartNumberingAfterBreak="0">
    <w:nsid w:val="71315DCA"/>
    <w:multiLevelType w:val="multilevel"/>
    <w:tmpl w:val="8F1C93A0"/>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
    <w:abstractNumId w:val="1"/>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205AC1"/>
    <w:rsid w:val="002E7C3C"/>
    <w:rsid w:val="002F1B07"/>
    <w:rsid w:val="004E29B3"/>
    <w:rsid w:val="00590D07"/>
    <w:rsid w:val="005F3945"/>
    <w:rsid w:val="00784D58"/>
    <w:rsid w:val="008D6863"/>
    <w:rsid w:val="00A36F8A"/>
    <w:rsid w:val="00AA293B"/>
    <w:rsid w:val="00B86B75"/>
    <w:rsid w:val="00BC48D5"/>
    <w:rsid w:val="00C36279"/>
    <w:rsid w:val="00E315A3"/>
    <w:rsid w:val="00F8778B"/>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6CAC7"/>
  <w15:docId w15:val="{10223FD4-E8B9-47E4-9FE8-3568ACDD2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Light">
    <w:name w:val="Grid Table Light"/>
    <w:basedOn w:val="TableNormal"/>
    <w:rsid w:val="00F8778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rltonslaw.com.cn/xiang-gang-zheng-jian-hui-bao-jian-ren-tong-han-fu-lu-bao-jian-ren-bu-da-biao-xing-wei--an-li-ji-jian-guan-yao-qiu" TargetMode="External"/><Relationship Id="rId13" Type="http://schemas.openxmlformats.org/officeDocument/2006/relationships/hyperlink" Target="mailto:enquiries@charltonslaw.com" TargetMode="External"/><Relationship Id="rId18" Type="http://schemas.openxmlformats.org/officeDocument/2006/relationships/hyperlink" Target="https://sc.hkex.com.hk/TuniS/cn-rules.hkex.com.hk/%E8%A6%8F%E5%89%87%E6%89%8B%E5%86%8A/%E6%96%B0%E4%B8%8A%E5%B8%82%E7%94%B3%E8%AB%8B%E4%BA%BA%E6%8C%87%E5%8D%97" TargetMode="External"/><Relationship Id="rId3" Type="http://schemas.openxmlformats.org/officeDocument/2006/relationships/styles" Target="styles.xml"/><Relationship Id="rId21" Type="http://schemas.openxmlformats.org/officeDocument/2006/relationships/hyperlink" Target="https://www.sfc.hk/-/media/TC/assets/components/codes/files-current/zh-hant/codes/corporate-finance-adviser-code-of-conduct/corporate-finance-adviser-code-of-conduct.pdf?rev=-1" TargetMode="External"/><Relationship Id="rId7" Type="http://schemas.openxmlformats.org/officeDocument/2006/relationships/endnotes" Target="endnotes.xml"/><Relationship Id="rId12" Type="http://schemas.openxmlformats.org/officeDocument/2006/relationships/hyperlink" Target="https://www.charltonslaw.com.cn/xiang-gang-zheng-jian-hui-fa-bu-chi-pai-fa-tuan-you-guan-bao-jian-ren-gong-zuo-de-tong-han/" TargetMode="External"/><Relationship Id="rId17" Type="http://schemas.openxmlformats.org/officeDocument/2006/relationships/hyperlink" Target="https://sc.hkex.com.hk/TuniS/cn-rules.hkex.com.hk/%E8%A6%8F%E5%89%87%E6%89%8B%E5%86%8A/%E6%96%B0%E4%B8%8A%E5%B8%82%E7%94%B3%E8%AB%8B%E4%BA%BA%E6%8C%87%E5%8D%9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c.hkex.com.hk/TuniS/cn-rules.hkex.com.hk/%E8%A6%8F%E5%89%87%E6%89%8B%E5%86%8A/%E7%AC%AC%E5%8D%81%E5%85%ABa%E7%AB%A0%C2%A0%E7%94%9F%E7%89%A9%E7%A7%91%E6%8A%80%E5%85%AC%E5%8F%B8" TargetMode="External"/><Relationship Id="rId20" Type="http://schemas.openxmlformats.org/officeDocument/2006/relationships/hyperlink" Target="https://www.sfc.hk/-/media/TC/files/IS/publications/Report-on-the-Thematic-Review-of-Licensed-Corporations-Engaged-in-Sponsor-Business-TC.pdf?rev=2ea926174d084f22bb6a5c96af1e5a2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arltonslaw.com.cn/xiang-gang-zheng-jian-hui-fa-bu-chi-pai-fa-tuan-you-guan-bao-jian-ren-gong-zuo-de-tong-ha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fc.hk/-/media/TC/assets/components/codes/files-current/zh-hant/codes/code-of-conduct-for-persons-licensed-by-or-registered-with-the-securities-and-futures-commission/Code_of_conduct-Dec-2025_Chi-Final-with-Bookmark_Jan-2026.pdf?rev=88ccbaea9b7444ccb36bfe35a949fe3c" TargetMode="External"/><Relationship Id="rId23" Type="http://schemas.openxmlformats.org/officeDocument/2006/relationships/hyperlink" Target="mailto:unsubscribe@charltonslaw.com?subject=unsubscribe%20-Hong%20Kong%20Law-" TargetMode="External"/><Relationship Id="rId10" Type="http://schemas.openxmlformats.org/officeDocument/2006/relationships/hyperlink" Target="https://www.charltonslaw.com.cn/xiang-gang-zheng-jian-hui-fa-bu-chi-pai-fa-tuan-you-guan-bao-jian-ren-gong-zuo-de-tong-han/" TargetMode="External"/><Relationship Id="rId19" Type="http://schemas.openxmlformats.org/officeDocument/2006/relationships/hyperlink" Target="https://www.sfc.hk/-/media/TC/assets/components/codes/files-current/zh-hant/guidelines/guidelines-on-competence/Guidelines-on-Competence_TC_Oct-2024.pdf?rev=699b25567ca943abbeb6e429c9532272" TargetMode="External"/><Relationship Id="rId4" Type="http://schemas.openxmlformats.org/officeDocument/2006/relationships/settings" Target="settings.xml"/><Relationship Id="rId9" Type="http://schemas.openxmlformats.org/officeDocument/2006/relationships/hyperlink" Target="https://apps.sfc.hk/edistributionWeb/api/circular/openAppendix?lang=TC&amp;refNo=26EC4&amp;appendix=0" TargetMode="External"/><Relationship Id="rId14" Type="http://schemas.openxmlformats.org/officeDocument/2006/relationships/hyperlink" Target="https://sc.sfc.hk/TuniS/apps.sfc.hk/edistributionWeb/api/circular/openAppendix?lang=TC&amp;refNo=26EC4&amp;appendix=0" TargetMode="External"/><Relationship Id="rId22" Type="http://schemas.openxmlformats.org/officeDocument/2006/relationships/hyperlink" Target="https://www.charltonslaw.com.cn/xiang-gang-zheng-jian-hui-fa-bu-chi-pai-fa-tuan-you-guan-bao-jian-ren-gong-zuo-de-tong-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B196E-B28D-4D7D-9387-C4471CE07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9</Pages>
  <Words>2193</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14665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9</cp:revision>
  <dcterms:created xsi:type="dcterms:W3CDTF">2026-02-11T07:36:00Z</dcterms:created>
  <dcterms:modified xsi:type="dcterms:W3CDTF">2026-02-11T08:08:00Z</dcterms:modified>
</cp:coreProperties>
</file>