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- 2017年8月4日</w:t>
      </w:r>
    </w:p>
    <w:p>
      <w:pPr>
        <w:pStyle w:val="ReadOnline"/>
      </w:pPr>
      <w:hyperlink r:id="rId8">
        <w:r>
          <w:rPr/>
          <w:t>online version</w:t>
        </w:r>
      </w:hyperlink>
    </w:p>
    <w:p>
      <w:pPr>
        <w:pStyle w:val="Title"/>
      </w:pPr>
      <w:r>
        <w:t>深圳证券交易所与中科院开展战略合作，共同培育经济发展新动能</w:t>
      </w:r>
    </w:p>
    <w:p>
      <w:pPr>
        <w:pStyle w:val="Heading2"/>
      </w:pPr>
      <w:bookmarkStart w:id="21" w:name="资本市场"/>
      <w:bookmarkEnd w:id="21"/>
      <w:r>
        <w:t xml:space="preserve">资本市场</w:t>
      </w:r>
    </w:p>
    <w:p>
      <w:pPr>
        <w:pStyle w:val="Heading3"/>
      </w:pPr>
      <w:bookmarkStart w:id="22" w:name="深圳证券交易所与中科院开展战略合作共同培育经济发展新动能"/>
      <w:bookmarkEnd w:id="22"/>
      <w:r>
        <w:t xml:space="preserve">深圳证券交易所与中科院开展战略合作，共同培育经济发展新动能</w:t>
      </w:r>
    </w:p>
    <w:p>
      <w:pPr>
        <w:pStyle w:val="FirstParagraph"/>
      </w:pPr>
      <w:r>
        <w:t xml:space="preserve">近日，深圳证券交易所（以下简称“深交所”）与中国科学院（以下简称“中科院”）在深圳共同签署《战略合作协议》。根据协议，双方将依据“优势互补、合作共赢”的原则，建立全方位、多层次、长期稳定、合作互惠的战略合作关系，在支持已上市企业利用资本市场规范发展,分层分批培育拟上市企业,拓展债券等多元融资渠道,搭建平台促进投融资对接等方面开展战略合作。</w:t>
      </w:r>
    </w:p>
    <w:p>
      <w:pPr>
        <w:pStyle w:val="TextBody"/>
      </w:pPr>
      <w:r>
        <w:t xml:space="preserve">双方表示，将以签署战略合作协议为契机，持续联合开展专题培训、联合调研、投融资路演等活动，不断促进创新链、产业链、资本链联动融合，推动金融服务实体经济，培育经济发展新动能，在更大范围服务国家发展战略全局。中科院高度重视资本市场的作用，目前境内外上市企业25家，新三板挂牌企业15家。深交所多年来积极推进多层次资本市场建设，全力打造创新资本形成中心，不断提升服务实体经济能力，目前上市公司突破2000家，成为战略新兴企业集聚地。以创业板为例，7成以上公司属于战略新兴产业，8成以上拥有自主研发核心能力，9成以上为高新技术企业。</w:t>
      </w:r>
    </w:p>
    <w:p>
      <w:pPr>
        <w:pStyle w:val="TextBody"/>
      </w:pPr>
      <w:hyperlink r:id="rId23">
        <w:r>
          <w:rPr>
            <w:b/>
            <w:rStyle w:val="Hyperlink"/>
          </w:rPr>
          <w:t xml:space="preserve">http://www.szse.cn/main/aboutus/bsyw/39774012.shtml</w:t>
        </w:r>
      </w:hyperlink>
    </w:p>
    <w:p>
      <w:pPr>
        <w:pStyle w:val="Heading3"/>
      </w:pPr>
      <w:bookmarkStart w:id="24" w:name="财政部深交所政府债券发行系统正式启用"/>
      <w:bookmarkEnd w:id="24"/>
      <w:r>
        <w:t xml:space="preserve">财政部深交所政府债券发行系统正式启用</w:t>
      </w:r>
    </w:p>
    <w:p>
      <w:pPr>
        <w:pStyle w:val="FirstParagraph"/>
      </w:pPr>
      <w:r>
        <w:t xml:space="preserve">2017年8月1日，财政部深交所政府债券发行系统正式启用，2017年第五批四川省政府一般债券首批通过该系统顺利发行，标志着地方债发行渠道进一步拓宽。</w:t>
      </w:r>
    </w:p>
    <w:p>
      <w:pPr>
        <w:pStyle w:val="TextBody"/>
      </w:pPr>
      <w:r>
        <w:t xml:space="preserve">财政部深交所政府债券发行系统成功启用及四川省地方债成功发行，拓宽了地方政府债券发行渠道，同时，个人投资者认购地方债将进一步丰富地方债投资群体。下一步，深交所将继续推进相关机制制度创新，服务地方债市场发展，更好地支持地方经济建设。近年以来，深交所高度重视服务地方债相关工作，在财政部专业指导和证监会大力支持下，经过包括地方政府部门、登记结算机构、银行和证券公司等各方通力协作，全面完成技术系统、规则指引和市场组织准备各项工作。同时，深交所积极试点个人投资者通过网上及网下分销的方式参与认购地方政府债，中信证券、中山证券、国信证券等8家证券公司均参与试点，向深交所申请了12个有效分销代码，方便个人投资者在分销日通过深交所集中竞价系统以既定价格按照时间优先的原则进行认购。</w:t>
      </w:r>
    </w:p>
    <w:p>
      <w:pPr>
        <w:pStyle w:val="TextBody"/>
      </w:pPr>
      <w:hyperlink r:id="rId25">
        <w:r>
          <w:rPr>
            <w:b/>
            <w:rStyle w:val="Hyperlink"/>
          </w:rPr>
          <w:t xml:space="preserve">http://www.szse.cn/main/aboutus/bsyw/39774061.shtml</w:t>
        </w:r>
      </w:hyperlink>
    </w:p>
    <w:p>
      <w:pPr>
        <w:pStyle w:val="Heading3"/>
      </w:pPr>
      <w:bookmarkStart w:id="26" w:name="银监会民政部联合印发慈善信托管理办法"/>
      <w:bookmarkEnd w:id="26"/>
      <w:r>
        <w:t xml:space="preserve">银监会、民政部联合印发《慈善信托管理办法》</w:t>
      </w:r>
    </w:p>
    <w:p>
      <w:pPr>
        <w:pStyle w:val="FirstParagraph"/>
      </w:pPr>
      <w:r>
        <w:t xml:space="preserve">近日，为贯彻落实党中央决策部署，规范慈善信托，保护慈善信托当事人的合法权益，促进慈善事业发展，银监会、民政部联合印发《慈善信托管理办法》（以下简称《办法》），标志着我国慈善信托规制体系基本建立。</w:t>
      </w:r>
    </w:p>
    <w:p>
      <w:pPr>
        <w:pStyle w:val="TextBody"/>
      </w:pPr>
      <w:r>
        <w:t xml:space="preserve">《办法》共9章、65条，涵盖了总则、慈善信托的设立、慈善信托的备案、慈善信托财产的管理和处分、慈善信托的变更和终止、促进措施、监督管理和信息公开、法律责任、附则等九个方面的内容。制定《办法》的基本思路是，一是坚持鼓励发展，逐步将慈善信托打造成我国慈善事业的重要渠道；二是坚持比较优势，充分发挥信托公司和慈善组织在慈善信托中的积极作用；三是坚持风险为本，确保慈善信托规范化、阳光化运行；四是坚持问题导向，切实解决慈善信托实践中的瓶颈和障碍。</w:t>
      </w:r>
    </w:p>
    <w:p>
      <w:pPr>
        <w:pStyle w:val="TextBody"/>
      </w:pPr>
      <w:hyperlink r:id="rId27">
        <w:r>
          <w:rPr>
            <w:b/>
            <w:rStyle w:val="Hyperlink"/>
          </w:rPr>
          <w:t xml:space="preserve">http://www.cbrc.gov.cn/chinese/home/docView/B770D2306F3A4F8EAE403E1E66EC2426.html</w:t>
        </w:r>
      </w:hyperlink>
    </w:p>
    <w:p>
      <w:pPr>
        <w:pStyle w:val="Heading3"/>
      </w:pPr>
      <w:bookmarkStart w:id="28" w:name="中国在印尼投资实现率显著提高"/>
      <w:bookmarkEnd w:id="28"/>
      <w:r>
        <w:t xml:space="preserve">中国在印尼投资实现率显著提高</w:t>
      </w:r>
    </w:p>
    <w:p>
      <w:pPr>
        <w:pStyle w:val="FirstParagraph"/>
      </w:pPr>
      <w:r>
        <w:t xml:space="preserve">印尼投资协调委员会公布的最新数据显示，今年上半年，中国在印尼的投资实现率显著提高，投资金额增至19.6亿美元。印尼投资协调委员会主席莱姆邦表示，无论从规模还是从质量上看，中资表现均显著提高。</w:t>
      </w:r>
    </w:p>
    <w:p>
      <w:pPr>
        <w:pStyle w:val="TextBody"/>
      </w:pPr>
      <w:r>
        <w:t xml:space="preserve">据了解，在佐科总统亲自带队的印尼代表团5月份中国之行中，印尼重点向中方推介了基建等领域内的投资机会。随后，印尼海洋统筹部长鲁胡特于6月中旬访问北京，进一步落实双方最高领导人就强化中国与印尼经贸关系的各项部署，表示欢迎中资在北苏门答腊省的港口建设、北加里曼丹省的核工业发展和北苏拉威西省的旅游业升级中加大投资力度。出于对投资前景的良好预期，加之标准普尔等国际评级机构均已将印尼主权债务信用评级调高到投资级，印尼政府已将2018年投资增长率设定为17.2%，计划吸引600亿美元外国直接投资。</w:t>
      </w:r>
    </w:p>
    <w:p>
      <w:pPr>
        <w:pStyle w:val="TextBody"/>
      </w:pPr>
      <w:hyperlink r:id="rId29">
        <w:r>
          <w:rPr>
            <w:b/>
            <w:rStyle w:val="Hyperlink"/>
          </w:rPr>
          <w:t xml:space="preserve">http://www.chinaforex.com.cn/index.php/cms/item-view-id-44465.shtml</w:t>
        </w:r>
      </w:hyperlink>
    </w:p>
    <w:p>
      <w:pPr>
        <w:pStyle w:val="Heading2"/>
      </w:pPr>
      <w:bookmarkStart w:id="30" w:name="保险"/>
      <w:bookmarkEnd w:id="30"/>
      <w:r>
        <w:t xml:space="preserve">保险</w:t>
      </w:r>
    </w:p>
    <w:p>
      <w:pPr>
        <w:pStyle w:val="Heading3"/>
      </w:pPr>
      <w:bookmarkStart w:id="31" w:name="中国保监会发布首批保险业务要素数据规范"/>
      <w:bookmarkEnd w:id="31"/>
      <w:r>
        <w:t xml:space="preserve">中国保监会发布首批《保险业务要素数据规范》</w:t>
      </w:r>
    </w:p>
    <w:p>
      <w:pPr>
        <w:pStyle w:val="FirstParagraph"/>
      </w:pPr>
      <w:r>
        <w:t xml:space="preserve">中国保监会近日发布了首批《保险业务要素数据规范》（以下简称《规范》）。《规范》是从保险业务活动出发，覆盖财产险、人寿险、健康险、意外险等不同险种，穿透承保、保全、理赔、收付、再保等核心业务流程的系列数据规范。</w:t>
      </w:r>
    </w:p>
    <w:p>
      <w:pPr>
        <w:pStyle w:val="TextBody"/>
      </w:pPr>
      <w:r>
        <w:t xml:space="preserve">据了解，首批《规范》包含人身险和财产险2个基础数据规范，以及健康险、意外险和农险3个专项数据规范。更多险种的专项数据规范将陆续推出。《规范》坚持科学合理和适度超前的原则。目标是建立保险行业的数据基线，在立足公共通用的基础上，寻找行业在数据管理上的“最大公约数”。《规范》的发布对行业具有基础性、战略性意义，是做好行业数据源头治理、推动行业数据资源共享开放的重要举措，对引导行业实现精细管理、科学经营，推进行业信息共享平台等保险业基础设施建设具有积极作用。</w:t>
      </w:r>
    </w:p>
    <w:p>
      <w:pPr>
        <w:pStyle w:val="TextBody"/>
      </w:pPr>
      <w:hyperlink r:id="rId32">
        <w:r>
          <w:rPr>
            <w:b/>
            <w:rStyle w:val="Hyperlink"/>
          </w:rPr>
          <w:t xml:space="preserve">http://www.gov.cn/xinwen/2017-08/03/content_5215523.htm</w:t>
        </w:r>
      </w:hyperlink>
    </w:p>
    <w:p>
      <w:pPr>
        <w:pStyle w:val="Heading2"/>
      </w:pPr>
      <w:bookmarkStart w:id="33" w:name="税收"/>
      <w:bookmarkEnd w:id="33"/>
      <w:r>
        <w:t xml:space="preserve">税收</w:t>
      </w:r>
    </w:p>
    <w:p>
      <w:pPr>
        <w:pStyle w:val="Heading3"/>
      </w:pPr>
      <w:bookmarkStart w:id="34" w:name="国家税务总局和环境保护部签署备忘录建立环境保护税征管协作机制"/>
      <w:bookmarkEnd w:id="34"/>
      <w:r>
        <w:t xml:space="preserve">国家税务总局和环境保护部签署备忘录，建立环境保护税征管协作机制</w:t>
      </w:r>
    </w:p>
    <w:p>
      <w:pPr>
        <w:pStyle w:val="FirstParagraph"/>
      </w:pPr>
      <w:r>
        <w:t xml:space="preserve">为切实做好环境保护税征收管理工作，日前国家税务总局、环境保护部正式签署《环境保护税征管协作机制备忘录》，进一步强化部门合作，明确职责分工，为环境保护税的顺利开征迈出了坚实的一步。</w:t>
      </w:r>
    </w:p>
    <w:p>
      <w:pPr>
        <w:pStyle w:val="TextBody"/>
      </w:pPr>
      <w:r>
        <w:t xml:space="preserve">此次签署的协作机制重点明确了税务和环保部门合作的七大类工作任务，突出了当前做好环境保护税征管准备工作的关键事项。协作机制还对《环境保护税法》实施过程中的计划制定、成果共享、对外宣传、支持保障等事项提出了具体要求和处理方法，确保两部门高效合作，共同做好环境保护税征管准备工作。据税务总局财产和行为税司有关负责人介绍，随着2018年1月1日环境保护税正式开征日期临近，相关征管准备工作已进入倒计时。税务总局和环境保护部签署备忘录意义重大，既是做好当前环境保护税征管准备工作的迫切之需、创新之举，也是落实《环境保护税法》关于建立税务和环保部门分工协作机制的重要抓手，有利于规范部门合作方式、提升部门合作效能。</w:t>
      </w:r>
    </w:p>
    <w:p>
      <w:pPr>
        <w:pStyle w:val="TextBody"/>
      </w:pPr>
      <w:hyperlink r:id="rId35">
        <w:r>
          <w:rPr>
            <w:b/>
            <w:rStyle w:val="Hyperlink"/>
          </w:rPr>
          <w:t xml:space="preserve">http://www.chinatax.gov.cn/n810219/n810724/c2738549/content.html</w:t>
        </w:r>
      </w:hyperlink>
    </w:p>
    <w:p>
      <w:pPr>
        <w:pStyle w:val="Heading3"/>
      </w:pPr>
      <w:bookmarkStart w:id="36" w:name="国家税务总局在新的起点上深化金砖税收合作"/>
      <w:bookmarkEnd w:id="36"/>
      <w:r>
        <w:t xml:space="preserve">国家税务总局：在新的起点上深化金砖税收合作</w:t>
      </w:r>
    </w:p>
    <w:p>
      <w:pPr>
        <w:pStyle w:val="FirstParagraph"/>
      </w:pPr>
      <w:r>
        <w:t xml:space="preserve">近日，2017年金砖国家税务局长会议在杭州举行。这是今年9月在厦门举办的金砖国家领导人第九次会晤前夕召开的税收专业部长级会议。金砖五国税务部门负责人围绕落实二十国集团（G20）税制改革成果、深化金砖国家多边税收合作、加强税收征管能力建设等议题深入讨论并达成共识。</w:t>
      </w:r>
    </w:p>
    <w:p>
      <w:pPr>
        <w:pStyle w:val="TextBody"/>
      </w:pPr>
      <w:r>
        <w:t xml:space="preserve">会议期间，金砖各国税务部门负责人联合签署了金砖国家税务合作的第一份机制性文件《金砖国家税务合作备忘录》，首次以官方文件形式将金砖国家税收领域合作上升至制度层面，标志着金砖国家税务合作机制建设进入了一个新的时期。会后，发布了金砖国家税务局长会议公报，规划了金砖国家税收合作路线图，承诺推动落实G20税制改革成果，支持建立公平和现代化的国际税收体系，倡议金砖国家深化多边税收合作，加强税收征管能力建设并向发展中国家提供能力建设援助，鼓励发展中国家深度参与国际税收合作。</w:t>
      </w:r>
    </w:p>
    <w:p>
      <w:pPr>
        <w:pStyle w:val="TextBody"/>
      </w:pPr>
      <w:hyperlink r:id="rId37">
        <w:r>
          <w:rPr>
            <w:b/>
            <w:rStyle w:val="Hyperlink"/>
          </w:rPr>
          <w:t xml:space="preserve">http://www.chinatax.gov.cn/n810219/n810729/n811748/c2735956/content.html</w:t>
        </w:r>
      </w:hyperlink>
    </w:p>
    <w:p>
      <w:pPr>
        <w:pStyle w:val="Heading2"/>
      </w:pPr>
      <w:bookmarkStart w:id="38" w:name="知识产权"/>
      <w:bookmarkEnd w:id="38"/>
      <w:r>
        <w:t xml:space="preserve">知识产权</w:t>
      </w:r>
    </w:p>
    <w:p>
      <w:pPr>
        <w:pStyle w:val="Heading3"/>
      </w:pPr>
      <w:bookmarkStart w:id="39" w:name="专利优先审查管理办法于2017年8月1日起施行"/>
      <w:bookmarkEnd w:id="39"/>
      <w:r>
        <w:t xml:space="preserve">《专利优先审查管理办法》于2017年8月1日起施行</w:t>
      </w:r>
    </w:p>
    <w:p>
      <w:pPr>
        <w:pStyle w:val="FirstParagraph"/>
      </w:pPr>
      <w:r>
        <w:t xml:space="preserve">由于我国“放管服”改革不断深化，科技创新正在加快释放“源头活水”，我国从2017年8月1日起施行《专利优先审查管理办法》，将丰富和拓展适用专利优先审查的情形，以进一步压缩审查周期、提升审查效率。</w:t>
      </w:r>
    </w:p>
    <w:p>
      <w:pPr>
        <w:pStyle w:val="TextBody"/>
      </w:pPr>
      <w:r>
        <w:t xml:space="preserve">相较于《发明专利申请优先审查管理办法》仅规定发明专利申请的优先审查，新办法的适用范围涵盖实质审查阶段的发明专利申请、实用新型和外观设计专利申请，发明、实用新型和外观设计专利申请的复审以及发明、实用新型和外观设计专利的无效宣告案件。为优化营商环境，方便申请人、减轻文件准备负担、提高工作效率，新办法进一步简化办理优先审查的手续。例如，不再要求提交检索报告，请求人仅需提交现有技术或现有设计信息材料；在某些情况下，不再需要国务院相关部门或者省级知识产权局签署推荐意见。</w:t>
      </w:r>
    </w:p>
    <w:p>
      <w:pPr>
        <w:pStyle w:val="TextBody"/>
      </w:pPr>
      <w:hyperlink r:id="rId40">
        <w:r>
          <w:rPr>
            <w:b/>
            <w:rStyle w:val="Hyperlink"/>
          </w:rPr>
          <w:t xml:space="preserve">http://legal.china.com.cn/2017-08/01/content_41323900.htm</w:t>
        </w:r>
      </w:hyperlink>
    </w:p>
    <w:p>
      <w:pPr>
        <w:pStyle w:val="Heading2"/>
      </w:pPr>
      <w:bookmarkStart w:id="41" w:name="行业"/>
      <w:bookmarkEnd w:id="41"/>
      <w:r>
        <w:t xml:space="preserve">行业</w:t>
      </w:r>
    </w:p>
    <w:p>
      <w:pPr>
        <w:pStyle w:val="Heading3"/>
      </w:pPr>
      <w:bookmarkStart w:id="42" w:name="中国工商部门严格落实最严厉信用处罚措施33家企业被列入严重违法失信企业名单"/>
      <w:bookmarkEnd w:id="42"/>
      <w:r>
        <w:t xml:space="preserve">中国工商部门严格落实最严厉信用处罚措施，33家企业被列入严重违法失信企业名单</w:t>
      </w:r>
    </w:p>
    <w:p>
      <w:pPr>
        <w:pStyle w:val="FirstParagraph"/>
      </w:pPr>
      <w:r>
        <w:t xml:space="preserve">为强化信用监管，切实发挥企业信息公示制度的作用，构建以信用监管为核心的新型监管模式，推动建立企业自治、行业自律、政府监管、社会监督的社会共治新格局，工商总局制定出台了《严重违法失信企业名单管理暂行办法》，将企业各类违法失信情形都纳入其中，明确对被列入严重违法失信企业名单的企业实施信用约束和部门联合惩戒，并通过企业信用信息公示系统予以公示，“一处违法，处处受限”的惩戒机制逐步形成。这是工商总局出台的最严厉的信用处罚措施。</w:t>
      </w:r>
    </w:p>
    <w:p>
      <w:pPr>
        <w:pStyle w:val="TextBody"/>
      </w:pPr>
      <w:r>
        <w:t xml:space="preserve">按照相关规定，对于存在《严重违法失信企业名单管理暂行办法》不同条款规定的违法失信情形的企业，分别由工商总局及省、自治区、直辖市工商和市场监管部门严重违法失信企业名单管理部门以及登记该企业的工商和市场监管部门的严重违法失信企业名单管理部门或执法办案部门将其列入严重违法失信企业名单，或者由作出相关行政决定的业务部门通知严重违法失信企业名单管理部门将其列入，并在企业信用信息公示系统上记录、公示。截至2017年7月24日，全国有33家企业被列入严重违法失信企业名单，其中陕西省8家、江苏省8家、四川省6家、江西省6家、广西壮族自治区4家、湖南省1家，并在国家企业信用信息公示系统上公示。</w:t>
      </w:r>
    </w:p>
    <w:p>
      <w:pPr>
        <w:pStyle w:val="TextBody"/>
      </w:pPr>
      <w:hyperlink r:id="rId43">
        <w:r>
          <w:rPr>
            <w:b/>
            <w:rStyle w:val="Hyperlink"/>
          </w:rPr>
          <w:t xml:space="preserve">http://www.saic.gov.cn/xw/zyxw/201707/t20170728_267978.html</w:t>
        </w:r>
      </w:hyperlink>
    </w:p>
    <w:p>
      <w:pPr>
        <w:pStyle w:val="Heading3"/>
      </w:pPr>
      <w:bookmarkStart w:id="44" w:name="国务院印发关于强化实施创新驱动发展战略进一步推进大众创业万众创新深入发展的意见"/>
      <w:bookmarkEnd w:id="44"/>
      <w:r>
        <w:t xml:space="preserve">国务院印发《关于强化实施创新驱动发展战略进一步推进大众创业万众创新深入发展的意见》</w:t>
      </w:r>
    </w:p>
    <w:p>
      <w:pPr>
        <w:pStyle w:val="FirstParagraph"/>
      </w:pPr>
      <w:r>
        <w:t xml:space="preserve">经李克强总理签批，国务院日前印发《关于强化实施创新驱动发展战略进一步推进大众创业万众创新深入发展的意见》（以下简称《意见》），进一步系统性优化创新创业生态环境，强化政策供给，突破发展瓶颈，充分释放全社会创新创业潜能，在更大范围、更高层次、更深程度上推进大众创业、万众创新。</w:t>
      </w:r>
    </w:p>
    <w:p>
      <w:pPr>
        <w:pStyle w:val="TextBody"/>
      </w:pPr>
      <w:r>
        <w:t xml:space="preserve">《意见》提出五个领域的政策措施。一是加快科技成果转化，重点突破科技成果转移转化的制度障碍，保护知识产权，活跃技术交易，提升创业服务能力，优化激励机制；二是拓展企业融资渠道，不断完善金融财税政策，创新金融产品，扩大信贷支持，发展创业投资；三是促进实体经济转型升级，着力加强创新创业平台建设，培育新兴业态，发展分享经济，以新技术、新业态、新模式改造传统产业；四是完善人才流动激励机制，充分激发人才创新创业活力，改革分配机制，引进国际高层次人才，促进人才合理流动，健全保障体系；五是创新政府管理方式，持续“放管服”改革，加大普惠性政策支持力度，改善营商环境，放宽市场准入，推进试点示范，加强文化建设，推动形成政府、企业、社会良性互动的创新创业生态。</w:t>
      </w:r>
    </w:p>
    <w:p>
      <w:pPr>
        <w:pStyle w:val="TextBody"/>
      </w:pPr>
      <w:hyperlink r:id="rId45">
        <w:r>
          <w:rPr>
            <w:b/>
            <w:rStyle w:val="Hyperlink"/>
          </w:rPr>
          <w:t xml:space="preserve">http://www.chinalaw.gov.cn/art/2017/7/28/art_2_205823.html</w:t>
        </w:r>
      </w:hyperlink>
    </w:p>
    <w:p>
      <w:pPr>
        <w:pStyle w:val="Heading2"/>
      </w:pPr>
      <w:bookmarkStart w:id="46" w:name="并购"/>
      <w:bookmarkEnd w:id="46"/>
      <w:r>
        <w:t xml:space="preserve">并购</w:t>
      </w:r>
    </w:p>
    <w:p>
      <w:pPr>
        <w:pStyle w:val="Heading3"/>
      </w:pPr>
      <w:bookmarkStart w:id="47" w:name="三元和复星联手收购法国st-hubert"/>
      <w:bookmarkEnd w:id="47"/>
      <w:r>
        <w:t xml:space="preserve">三元和复星联手收购法国St-Hubert</w:t>
      </w:r>
    </w:p>
    <w:p>
      <w:pPr>
        <w:pStyle w:val="FirstParagraph"/>
      </w:pPr>
      <w:r>
        <w:t xml:space="preserve">近日，北京三元食品股份有限公司（以下简称“三元”）与复星集团（以下简称“复星”）（买方），与Montagu IV FPCI等（卖方）签署一系列交易文件，收购Brassica TopCo S.A.及PPN Management SAS（以下简称“目标公司”）100%股权。目标公司均为法国及意大利领先植物食品制造商St-Hubert SAS的控股股东。</w:t>
      </w:r>
    </w:p>
    <w:p>
      <w:pPr>
        <w:pStyle w:val="TextBody"/>
      </w:pPr>
      <w:r>
        <w:t xml:space="preserve">三元公告显示，本次交易有助于三元顺应市场需求，引进健康有机产品，树立高端品牌形象，实现显著协同效应，进一步丰富产品线，符合三元发展战略和全体股东利益。St-Hubert公司产品定位高端、有机、健康，产品线方面与三元具有互补协同效应，在保持其原有销售网络的基础上，三元可将其产品返销国内，扩宽进口产品种类。法国St-Hubert是法国家喻户晓的领先健康食品品牌，产品包括植物型涂抹酱系列、植物酸奶、植物饮料、甜品等，在法国及意大利市场均处于领先地位。St-Hubert技术研发和创新实力雄厚，拥有多项专利技术，是健康食品行业的创新先驱，其健康产品不含氢化脂肪、反式脂肪和转基因成分。</w:t>
      </w:r>
    </w:p>
    <w:p>
      <w:pPr>
        <w:pStyle w:val="TextBody"/>
      </w:pPr>
      <w:hyperlink r:id="rId48">
        <w:r>
          <w:rPr>
            <w:rStyle w:val="Hyperlink"/>
          </w:rPr>
          <w:t xml:space="preserve">http://company.stcn.com/2017/0728/13524026.shtml</w:t>
        </w:r>
      </w:hyperlink>
    </w:p>
    <w:p>
      <w:pPr>
        <w:pStyle w:val="Heading3"/>
      </w:pPr>
      <w:bookmarkStart w:id="49" w:name="当代明诚拟34亿现金收购新英体育"/>
      <w:bookmarkEnd w:id="49"/>
      <w:r>
        <w:t xml:space="preserve">当代明诚拟34亿现金收购新英体育</w:t>
      </w:r>
    </w:p>
    <w:p>
      <w:pPr>
        <w:pStyle w:val="FirstParagraph"/>
      </w:pPr>
      <w:r>
        <w:t xml:space="preserve">近日，当代明诚公布了收购新英体育100%股权的详细预案：其拟以全资子公司明诚香港为收购主体，以现金方式购买新英开曼（以下简称“新英体育”）100%股份并认购新股份，本次交易总对价为5亿美元（约为34.32亿元）。</w:t>
      </w:r>
    </w:p>
    <w:p>
      <w:pPr>
        <w:pStyle w:val="TextBody"/>
      </w:pPr>
      <w:r>
        <w:t xml:space="preserve">当代明诚公告称，2016年，新英体育整体营业收入超7亿元，归属母公司所有者净利润超1.77亿元（未经审计数据）。2015年其整体营收为3.84亿元，归属母公司所有者净利润为1.52亿元。值得注意的是，这是新英体育首次公开披露其财务数据。在交易预案公布的财务数据中，截至2017年5月31日，新英体育账面对乐视体育应收款金额为2470万美元（约为1.85亿元）。对新英体育的收购完成后，当代明诚将补齐在赛事内容上的短板，将打通了包括版权内容、场馆运营、足球青训、球员经纪、体育营销、俱乐部管理在内的全产业链条。</w:t>
      </w:r>
    </w:p>
    <w:p>
      <w:pPr>
        <w:pStyle w:val="TextBody"/>
      </w:pPr>
      <w:hyperlink r:id="rId50">
        <w:r>
          <w:rPr>
            <w:rStyle w:val="Hyperlink"/>
          </w:rPr>
          <w:t xml:space="preserve">http://www.stcn.com/2017/0802/13531132.shtml</w:t>
        </w:r>
      </w:hyperlink>
    </w:p>
    <w:p>
      <w:pPr>
        <w:pStyle w:val="Heading3"/>
      </w:pPr>
      <w:bookmarkStart w:id="51" w:name="太保资产收购国联安基金51股权获保监会批准"/>
      <w:bookmarkEnd w:id="51"/>
      <w:r>
        <w:t xml:space="preserve">太保资产收购国联安基金51%股权获保监会批准</w:t>
      </w:r>
    </w:p>
    <w:p>
      <w:pPr>
        <w:pStyle w:val="FirstParagraph"/>
      </w:pPr>
      <w:r>
        <w:t xml:space="preserve">2017年8月2日，中国保监会发布公告，批准太平洋资产管理有限责任公司（以下简称“太保资产”）收购国联安基金管理有限公司51%股权的申请。获得保监会批准之后，国联安基金股权变更还需要证监会审批通过。</w:t>
      </w:r>
    </w:p>
    <w:p>
      <w:pPr>
        <w:pStyle w:val="TextBody"/>
      </w:pPr>
      <w:r>
        <w:t xml:space="preserve">中国太保在此前的公告中称，成功收购国联安基金后，太保资产将取得公募基金牌照，获得通过公开募集资金设立证券投资基金以及从事基金管理及相关业务的资格，丰富和拓展资产管理业务的服务面和业务领域。根据公开资料显示，太平洋资产管理有限责任公司是太平洋保险（集团）股份有限公司旗下子公司，于2006年6月获得工商营业执照。2017年4月28日，中国太保发布公告称，其控股子公司太保资产拟收购国泰君安所持有的国联安基金51%股权。此次交易通过上海联合产权交易所举牌受让方式进行，交易价格为10.45亿元。</w:t>
      </w:r>
    </w:p>
    <w:p>
      <w:pPr>
        <w:pStyle w:val="TextBody"/>
      </w:pPr>
      <w:hyperlink r:id="rId52">
        <w:r>
          <w:rPr>
            <w:b/>
            <w:rStyle w:val="Hyperlink"/>
          </w:rPr>
          <w:t xml:space="preserve">http://www.stcn.com/2017/0803/13533307.shtml</w:t>
        </w:r>
      </w:hyperlink>
    </w:p>
    <w:p>
      <w:pPr>
        <w:pStyle w:val="Heading3"/>
      </w:pPr>
      <w:bookmarkStart w:id="53" w:name="天强制药94.44股权拟作价1.49亿被上市公司收购"/>
      <w:bookmarkEnd w:id="53"/>
      <w:r>
        <w:t xml:space="preserve">天强制药94.44%股权拟作价1.49亿被上市公司收购</w:t>
      </w:r>
    </w:p>
    <w:p>
      <w:pPr>
        <w:pStyle w:val="FirstParagraph"/>
      </w:pPr>
      <w:r>
        <w:t xml:space="preserve">2017年8月1日晚间，天强制药发布公告称，双龙股份拟以支付现金方式向颜忠辉、钓鱼台医药集团、腾岳医药基金、解方购买其合计持有的天强制药94.44%股权，天强制药94.44%股权预估值为1.49亿元。</w:t>
      </w:r>
    </w:p>
    <w:p>
      <w:pPr>
        <w:pStyle w:val="TextBody"/>
      </w:pPr>
      <w:r>
        <w:t xml:space="preserve">公告称，基于中医药产业面临的历史机遇，双龙股份于2014年重大资产重组收购金宝药业控股权，进军中医药产业，形成了“化工+医药”的双主业格局。2016年度，上市公司医药板块和化工板块营业收入占比为75.85%、23.39%，医药板块和化工板块毛利额占比分别为79.79%和20.21%，上市公司逐渐以医药板块收入为主。此次交易完成后，上市公司控股天强制药，完善上市公司在医药领域的产业布局。</w:t>
      </w:r>
    </w:p>
    <w:p>
      <w:pPr>
        <w:pStyle w:val="TextBody"/>
      </w:pPr>
      <w:hyperlink r:id="rId54">
        <w:r>
          <w:rPr>
            <w:b/>
            <w:rStyle w:val="Hyperlink"/>
          </w:rPr>
          <w:t xml:space="preserve">http://kuaixun.stcn.com/2017/0801/13530522.shtml</w:t>
        </w:r>
      </w:hyperlink>
    </w:p>
    <w:p>
      <w:pPr>
        <w:pStyle w:val="Heading3"/>
      </w:pPr>
      <w:bookmarkStart w:id="55" w:name="世纪鼎利拟3.6亿元收购教育资产"/>
      <w:bookmarkEnd w:id="55"/>
      <w:r>
        <w:t xml:space="preserve">世纪鼎利拟3.6亿元收购教育资产</w:t>
      </w:r>
    </w:p>
    <w:p>
      <w:pPr>
        <w:pStyle w:val="FirstParagraph"/>
      </w:pPr>
      <w:r>
        <w:t xml:space="preserve">停牌两周的世纪鼎利宣布，公司近日在珠海与拟购标的公司股东及标的公司签署《股权转让意向书》，拟以3.6亿元的估值现金收购标的公司100%股权。公告未披露标的公司名称，仅透露属教育行业。世纪鼎利将于今天复牌。</w:t>
      </w:r>
    </w:p>
    <w:p>
      <w:pPr>
        <w:pStyle w:val="TextBody"/>
      </w:pPr>
      <w:r>
        <w:t xml:space="preserve">据公告，世纪鼎利拟收购的标的公司属教育行业，成立于2005年，主要从事中外合作的办学业务，办学方向为金融财务类专业，业务模式契合公司在职业教育方向的布局。如本次交易成功，其可以为公司“鼎利学院”的计划提供金融财务专业类的课程内容，横向上扩充了“鼎利学院”的办学方向，纵向上可以为“鼎利学院”学生提供获得海外文凭及出国留学的通道，有利于进一步拓宽“鼎利学院”学生的发展方向。标的公司原股东还作出了业绩承诺：在2017至2020年四年间，对应实现的年净利润分别不低于2500万元、3000万元、3600万元、4200万元。该承诺净利润以扣除非经常性损益前后孰低者为计算依据。</w:t>
      </w:r>
    </w:p>
    <w:p>
      <w:pPr>
        <w:pStyle w:val="TextBody"/>
      </w:pPr>
      <w:hyperlink r:id="rId56">
        <w:r>
          <w:rPr>
            <w:b/>
            <w:rStyle w:val="Hyperlink"/>
          </w:rPr>
          <w:t xml:space="preserve">http://company.stcn.com/2017/0731/13525397.shtml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- 2017年8月4日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3119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48" Type="http://schemas.openxmlformats.org/officeDocument/2006/relationships/hyperlink" Target="http://company.stcn.com/2017/0728/13524026.shtml" TargetMode="External"/><Relationship Id="rId56" Type="http://schemas.openxmlformats.org/officeDocument/2006/relationships/hyperlink" Target="http://company.stcn.com/2017/0731/13525397.shtml" TargetMode="External"/><Relationship Id="rId54" Type="http://schemas.openxmlformats.org/officeDocument/2006/relationships/hyperlink" Target="http://kuaixun.stcn.com/2017/0801/13530522.shtml" TargetMode="External"/><Relationship Id="rId40" Type="http://schemas.openxmlformats.org/officeDocument/2006/relationships/hyperlink" Target="http://legal.china.com.cn/2017-08/01/content_41323900.htm" TargetMode="External"/><Relationship Id="rId27" Type="http://schemas.openxmlformats.org/officeDocument/2006/relationships/hyperlink" Target="http://www.cbrc.gov.cn/chinese/home/docView/B770D2306F3A4F8EAE403E1E66EC2426.html" TargetMode="External"/><Relationship Id="rId29" Type="http://schemas.openxmlformats.org/officeDocument/2006/relationships/hyperlink" Target="http://www.chinaforex.com.cn/index.php/cms/item-view-id-44465.shtml" TargetMode="External"/><Relationship Id="rId45" Type="http://schemas.openxmlformats.org/officeDocument/2006/relationships/hyperlink" Target="http://www.chinalaw.gov.cn/art/2017/7/28/art_2_205823.html" TargetMode="External"/><Relationship Id="rId35" Type="http://schemas.openxmlformats.org/officeDocument/2006/relationships/hyperlink" Target="http://www.chinatax.gov.cn/n810219/n810724/c2738549/content.html" TargetMode="External"/><Relationship Id="rId37" Type="http://schemas.openxmlformats.org/officeDocument/2006/relationships/hyperlink" Target="http://www.chinatax.gov.cn/n810219/n810729/n811748/c2735956/content.html" TargetMode="External"/><Relationship Id="rId32" Type="http://schemas.openxmlformats.org/officeDocument/2006/relationships/hyperlink" Target="http://www.gov.cn/xinwen/2017-08/03/content_5215523.htm" TargetMode="External"/><Relationship Id="rId43" Type="http://schemas.openxmlformats.org/officeDocument/2006/relationships/hyperlink" Target="http://www.saic.gov.cn/xw/zyxw/201707/t20170728_267978.html" TargetMode="External"/><Relationship Id="rId50" Type="http://schemas.openxmlformats.org/officeDocument/2006/relationships/hyperlink" Target="http://www.stcn.com/2017/0802/13531132.shtml" TargetMode="External"/><Relationship Id="rId52" Type="http://schemas.openxmlformats.org/officeDocument/2006/relationships/hyperlink" Target="http://www.stcn.com/2017/0803/13533307.shtml" TargetMode="External"/><Relationship Id="rId23" Type="http://schemas.openxmlformats.org/officeDocument/2006/relationships/hyperlink" Target="http://www.szse.cn/main/aboutus/bsyw/39774012.shtml" TargetMode="External"/><Relationship Id="rId25" Type="http://schemas.openxmlformats.org/officeDocument/2006/relationships/hyperlink" Target="http://www.szse.cn/main/aboutus/bsyw/39774061.shtml" TargetMode="External"/><Relationship Id="rId8" Type="http://schemas.openxmlformats.org/officeDocument/2006/relationships/hyperlink" Target="http://www.charltonslaw.com.cn/shen-zhen-zheng-quan-jiao-yi-suo-yu-zhong-ke-yuan-kai-zhan-zhan-lve-he-zuo-gong-tong-pei-yu-jing-ji-fa-zhan-xin-dong-neng"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8" Type="http://schemas.openxmlformats.org/officeDocument/2006/relationships/hyperlink" Target="http://company.stcn.com/2017/0728/13524026.shtml" TargetMode="External"/><Relationship Id="rId56" Type="http://schemas.openxmlformats.org/officeDocument/2006/relationships/hyperlink" Target="http://company.stcn.com/2017/0731/13525397.shtml" TargetMode="External"/><Relationship Id="rId54" Type="http://schemas.openxmlformats.org/officeDocument/2006/relationships/hyperlink" Target="http://kuaixun.stcn.com/2017/0801/13530522.shtml" TargetMode="External"/><Relationship Id="rId40" Type="http://schemas.openxmlformats.org/officeDocument/2006/relationships/hyperlink" Target="http://legal.china.com.cn/2017-08/01/content_41323900.htm" TargetMode="External"/><Relationship Id="rId27" Type="http://schemas.openxmlformats.org/officeDocument/2006/relationships/hyperlink" Target="http://www.cbrc.gov.cn/chinese/home/docView/B770D2306F3A4F8EAE403E1E66EC2426.html" TargetMode="External"/><Relationship Id="rId29" Type="http://schemas.openxmlformats.org/officeDocument/2006/relationships/hyperlink" Target="http://www.chinaforex.com.cn/index.php/cms/item-view-id-44465.shtml" TargetMode="External"/><Relationship Id="rId45" Type="http://schemas.openxmlformats.org/officeDocument/2006/relationships/hyperlink" Target="http://www.chinalaw.gov.cn/art/2017/7/28/art_2_205823.html" TargetMode="External"/><Relationship Id="rId35" Type="http://schemas.openxmlformats.org/officeDocument/2006/relationships/hyperlink" Target="http://www.chinatax.gov.cn/n810219/n810724/c2738549/content.html" TargetMode="External"/><Relationship Id="rId37" Type="http://schemas.openxmlformats.org/officeDocument/2006/relationships/hyperlink" Target="http://www.chinatax.gov.cn/n810219/n810729/n811748/c2735956/content.html" TargetMode="External"/><Relationship Id="rId32" Type="http://schemas.openxmlformats.org/officeDocument/2006/relationships/hyperlink" Target="http://www.gov.cn/xinwen/2017-08/03/content_5215523.htm" TargetMode="External"/><Relationship Id="rId43" Type="http://schemas.openxmlformats.org/officeDocument/2006/relationships/hyperlink" Target="http://www.saic.gov.cn/xw/zyxw/201707/t20170728_267978.html" TargetMode="External"/><Relationship Id="rId50" Type="http://schemas.openxmlformats.org/officeDocument/2006/relationships/hyperlink" Target="http://www.stcn.com/2017/0802/13531132.shtml" TargetMode="External"/><Relationship Id="rId52" Type="http://schemas.openxmlformats.org/officeDocument/2006/relationships/hyperlink" Target="http://www.stcn.com/2017/0803/13533307.shtml" TargetMode="External"/><Relationship Id="rId23" Type="http://schemas.openxmlformats.org/officeDocument/2006/relationships/hyperlink" Target="http://www.szse.cn/main/aboutus/bsyw/39774012.shtml" TargetMode="External"/><Relationship Id="rId25" Type="http://schemas.openxmlformats.org/officeDocument/2006/relationships/hyperlink" Target="http://www.szse.cn/main/aboutus/bsyw/3977406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2017-08-04T03:25:03Z</dcterms:created>
  <dcterms:modified xsi:type="dcterms:W3CDTF">2017-08-04T03:25:03Z</dcterms:modified>
</cp:coreProperties>
</file>