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- 2017年8月11日</w:t>
      </w:r>
    </w:p>
    <w:p>
      <w:pPr>
        <w:pStyle w:val="ReadOnline"/>
      </w:pPr>
      <w:hyperlink r:id="rId8">
        <w:r>
          <w:rPr/>
          <w:t>online version</w:t>
        </w:r>
      </w:hyperlink>
    </w:p>
    <w:p>
      <w:pPr>
        <w:pStyle w:val="Title"/>
      </w:pPr>
      <w:r>
        <w:t>《国有企业境外投资财务管理办法》施行，境外投资须有书面尽职调查报告</w:t>
      </w:r>
    </w:p>
    <w:p>
      <w:pPr>
        <w:pStyle w:val="Heading2"/>
      </w:pPr>
      <w:bookmarkStart w:id="21" w:name="资本市场"/>
      <w:bookmarkEnd w:id="21"/>
      <w:r>
        <w:t xml:space="preserve">资本市场</w:t>
      </w:r>
    </w:p>
    <w:p>
      <w:pPr>
        <w:pStyle w:val="Heading3"/>
      </w:pPr>
      <w:bookmarkStart w:id="22" w:name="国有企业境外投资财务管理办法施行境外投资须有书面尽职调查报告"/>
      <w:bookmarkEnd w:id="22"/>
      <w:r>
        <w:t xml:space="preserve">《国有企业境外投资财务管理办法》施行，境外投资须有书面尽职调查报告</w:t>
      </w:r>
    </w:p>
    <w:p>
      <w:pPr>
        <w:pStyle w:val="FirstParagraph"/>
      </w:pPr>
      <w:r>
        <w:t xml:space="preserve">中国财政部制定的《国有企业境外投资财务管理办法》（以下简称《办法》）已于2017年8月1日起正式施行。财政部资产管理司有关负责人表示，国有企业在境外投资过程中，事前决策不科学、不履行必要程序是造成投资失利的重要原因。传统财务制度一般仅涉及事中和事后管理，而《办法》专章对境外投资事前决策的财务管理提出了要求。</w:t>
      </w:r>
    </w:p>
    <w:p>
      <w:pPr>
        <w:pStyle w:val="TextBody"/>
      </w:pPr>
      <w:r>
        <w:t xml:space="preserve">《办法》要求企业在董事长、总经理、副总经理、总会计师（财务总监、首席财务官）等领导班子成员中确定一名主管境外投资财务工作的负责人，确保决策层有专人承担财务管理职责。以并购、合营、参股方式投资境外目标企业（项目），投资方要组建包括行业、财务、税收、法律、国际政治等领域专家在内的团队，或者委托具有能力并与委托方无利害关系的中介机构开展尽职调查，形成书面报告。其中，财务尽职调查重点关注目标企业（项目）所在国的宏观经济风险和目标自身的财务风险。</w:t>
      </w:r>
    </w:p>
    <w:p>
      <w:pPr>
        <w:pStyle w:val="TextBody"/>
      </w:pPr>
      <w:hyperlink r:id="rId23">
        <w:r>
          <w:rPr>
            <w:rStyle w:val="Hyperlink"/>
          </w:rPr>
          <w:t xml:space="preserve">http://www.legaldaily.com.cn/index_article/content/2017-08/04/content_7272036.htm?node=5955</w:t>
        </w:r>
      </w:hyperlink>
    </w:p>
    <w:p>
      <w:pPr>
        <w:pStyle w:val="Heading3"/>
      </w:pPr>
      <w:bookmarkStart w:id="24" w:name="中国银监会不得对僵尸企业等实施债转股"/>
      <w:bookmarkEnd w:id="24"/>
      <w:r>
        <w:t xml:space="preserve">中国银监会：不得对僵尸企业等实施债转股</w:t>
      </w:r>
    </w:p>
    <w:p>
      <w:pPr>
        <w:pStyle w:val="FirstParagraph"/>
      </w:pPr>
      <w:r>
        <w:t xml:space="preserve">中国银监会发布《商业银行新设债转股实施机构管理办法（试行）》（征求意见稿），对商业银行债转股实施机构的股东资质、业务范围、风险管理等作出详细规定。征求意见反馈截止时间为2017年9月6日。</w:t>
      </w:r>
    </w:p>
    <w:p>
      <w:pPr>
        <w:pStyle w:val="TextBody"/>
      </w:pPr>
      <w:r>
        <w:t xml:space="preserve">征求意见稿对转股企业设置“红黑名单”，优先考虑对发展前景良好但遇到暂时困难的优质企业开展市场化债转股，同时规定实施机构不得对下列企业实施债转股：扭亏无望、已失去生存发展前景的“僵尸企业”；有恶意逃废债行为的失信企业；债权债务关系复杂且不明晰的企业；不符合国家产业政策，助长过剩产能扩张和增加库存的企业；其他不适合实施债转股的企业。此外，转股债权范围以银行对企业发放贷款形成的债权为主，适当考虑企业债券、票据融资等其他类型债权。</w:t>
      </w:r>
    </w:p>
    <w:p>
      <w:pPr>
        <w:pStyle w:val="TextBody"/>
      </w:pPr>
      <w:hyperlink r:id="rId25">
        <w:r>
          <w:rPr>
            <w:rStyle w:val="Hyperlink"/>
          </w:rPr>
          <w:t xml:space="preserve">http://www.stcn.com/2017/0808/13542482.shtml</w:t>
        </w:r>
      </w:hyperlink>
    </w:p>
    <w:p>
      <w:pPr>
        <w:pStyle w:val="Heading3"/>
      </w:pPr>
      <w:bookmarkStart w:id="26" w:name="中国人民银行开展1400亿逆回购完全对冲到期量"/>
      <w:bookmarkEnd w:id="26"/>
      <w:r>
        <w:t xml:space="preserve">中国人民银行开展1400亿逆回购，完全对冲到期量</w:t>
      </w:r>
    </w:p>
    <w:p>
      <w:pPr>
        <w:pStyle w:val="FirstParagraph"/>
      </w:pPr>
      <w:r>
        <w:t xml:space="preserve">2017年8月8日，中国人民银行（以下简称“央行”）开展700亿元7天、700亿元14天期逆回购操作，当日有1400亿元逆回购到期，完全对冲当日到期量，终结此前连续三日净回笼。市场人士指出，近期流动性状况持续改善，央行顺势转为连续净回笼，基本符合市场预期。展望后市，本周面临7800亿元逆回购到期，但整体扰动因素较少，预计央行将继续通过逆回购来投放资金进行对冲，资金面缓和态势料将延续。</w:t>
      </w:r>
    </w:p>
    <w:p>
      <w:pPr>
        <w:pStyle w:val="TextBody"/>
      </w:pPr>
      <w:r>
        <w:t xml:space="preserve">从市场表现来看，公开市场操作连续三日净回笼资金，不改资金面持续向好态势。昨日银行间质押式回购市场上，多数期限资金利率趋于下行。其中隔夜加权利率上行约8BP至2.745%，指标7天加权利率持稳于2.78%，更长期限的14天、21天加权利率分别下行约13BP、10BP。总体来说，受央行净回笼及本周逆回购的大量到期等因素影响，各机构融出较为谨慎，市场总体均衡，市场对长端资金面依旧维持较为谨慎的态度。申万宏源证券指出，本周将有7800亿元逆回购到期，预计央行将继续在公开市场操作逆回购量以对冲到期量或实现小幅净回笼，资金面整体无虞，加上7月缴税等短期扰动因素消散，预计银行间资金面将持续改善，短端利率下行仍有空间。</w:t>
      </w:r>
    </w:p>
    <w:p>
      <w:pPr>
        <w:pStyle w:val="TextBody"/>
      </w:pPr>
      <w:hyperlink r:id="rId27">
        <w:r>
          <w:rPr>
            <w:rStyle w:val="Hyperlink"/>
          </w:rPr>
          <w:t xml:space="preserve">http://www.cs.com.cn/sylm/jsbd/201708/t20170808_5412942.html</w:t>
        </w:r>
      </w:hyperlink>
    </w:p>
    <w:p>
      <w:pPr>
        <w:pStyle w:val="Heading3"/>
      </w:pPr>
      <w:bookmarkStart w:id="28" w:name="财政部全国ppp入库项目落地投资额达3.3万亿元"/>
      <w:bookmarkEnd w:id="28"/>
      <w:r>
        <w:t xml:space="preserve">财政部：全国PPP入库项目落地投资额达3.3万亿元</w:t>
      </w:r>
    </w:p>
    <w:p>
      <w:pPr>
        <w:pStyle w:val="FirstParagraph"/>
      </w:pPr>
      <w:r>
        <w:t xml:space="preserve">财政部PPP中心日前发布了全国PPP综合信息平台项目库第7期季报，对全国PPP入库项目、PPP示范项目及PPP落地项目投资额等情况进行了通报。</w:t>
      </w:r>
    </w:p>
    <w:p>
      <w:pPr>
        <w:pStyle w:val="TextBody"/>
      </w:pPr>
      <w:r>
        <w:t xml:space="preserve">PPP项目按全生命周期分为识别、准备、采购、执行和移交5个阶段。执行和移交两个阶段项目数之和与准备、采购、执行、移交4个阶段项目数总和的比值为项目落地率。按照这个口径计算，截至6月末，在全国入库项目中，已签约落地的项目有2021个、投资额达到3.3万亿元，覆盖除天津、西藏以外的29个省（自治区、直辖市）及新疆兵团，19个领域，整体项目落地率为34.2%。一般而言，PPP项目的回报机制有三种：使用者付费、政府付费和可行性缺口补助。因为后两种回报机制涉及到政府财政资金的使用，所以业界及社会公众对采用这两种回报机制的项目一直格外关注。</w:t>
      </w:r>
    </w:p>
    <w:p>
      <w:pPr>
        <w:pStyle w:val="TextBody"/>
      </w:pPr>
      <w:hyperlink r:id="rId29">
        <w:r>
          <w:rPr>
            <w:rStyle w:val="Hyperlink"/>
          </w:rPr>
          <w:t xml:space="preserve">http://www.gov.cn/xinwen/2017-08/05/content_5215931.htm</w:t>
        </w:r>
      </w:hyperlink>
    </w:p>
    <w:p>
      <w:pPr>
        <w:pStyle w:val="Heading2"/>
      </w:pPr>
      <w:bookmarkStart w:id="30" w:name="保险"/>
      <w:bookmarkEnd w:id="30"/>
      <w:r>
        <w:t xml:space="preserve">保险</w:t>
      </w:r>
    </w:p>
    <w:p>
      <w:pPr>
        <w:pStyle w:val="Heading3"/>
      </w:pPr>
      <w:bookmarkStart w:id="31" w:name="中国保监会发布偿二代二期工程建设方案征求意见稿"/>
      <w:bookmarkEnd w:id="31"/>
      <w:r>
        <w:t xml:space="preserve">中国保监会发布《偿二代二期工程建设方案(征求意见稿)》</w:t>
      </w:r>
    </w:p>
    <w:p>
      <w:pPr>
        <w:pStyle w:val="FirstParagraph"/>
      </w:pPr>
      <w:r>
        <w:t xml:space="preserve">日前,中国保监会发布《偿二代二期工程建设方案(征求意见稿)》(以下简称《征求意见稿》),明确偿二代二期工程包括三大任务二十五项工作,旨在进一步提高偿付能力监管的科学性和有效性,更好地适应保险业发展改革和风险防范要求。</w:t>
      </w:r>
    </w:p>
    <w:p>
      <w:pPr>
        <w:pStyle w:val="TextBody"/>
      </w:pPr>
      <w:r>
        <w:t xml:space="preserve">《征求意见稿》要求,完善基础设施投资、风险保障型业务等保险服务实体经济相关业务的资本标准,更好地引导保险业发挥长期稳健风险管理和保障功能,提升保险业对实体经济的服务能力；研究建立相互制保险公司、自保公司等的偿付能力监管规则,构建适应新型保险组织性质和特点的审慎监管规则和机制。此外,《征求意见稿》还要求,完善保险风险最低资本标准,根据最新市场数据,重点对健康险、车险、信用保证保险等险种的最低资本要求进行校准更新。总而言之,偿二代二期工程将进一步完善偿付能力监管规定,对创新资产、新兴保险业务、新型保险组织形式等问题的处理进一步明确,将实质性推动保险业的健康发展以及全面风险管理能力的提升。</w:t>
      </w:r>
    </w:p>
    <w:p>
      <w:pPr>
        <w:pStyle w:val="TextBody"/>
      </w:pPr>
      <w:hyperlink r:id="rId32">
        <w:r>
          <w:rPr>
            <w:rStyle w:val="Hyperlink"/>
          </w:rPr>
          <w:t xml:space="preserve">http://www.p5w.net/money/bxzx/201708/t20170808_1911282.htm</w:t>
        </w:r>
      </w:hyperlink>
    </w:p>
    <w:p>
      <w:pPr>
        <w:pStyle w:val="Heading2"/>
      </w:pPr>
      <w:bookmarkStart w:id="33" w:name="税收"/>
      <w:bookmarkEnd w:id="33"/>
      <w:r>
        <w:t xml:space="preserve">税收</w:t>
      </w:r>
    </w:p>
    <w:p>
      <w:pPr>
        <w:pStyle w:val="Heading3"/>
      </w:pPr>
      <w:bookmarkStart w:id="34" w:name="国家税务总局发布关于上海国际能源交易中心原油期货保税交割业务增值税管理问题的公告"/>
      <w:bookmarkEnd w:id="34"/>
      <w:r>
        <w:t xml:space="preserve">国家税务总局发布《关于上海国际能源交易中心原油期货保税交割业务增值税管理问题的公告》</w:t>
      </w:r>
    </w:p>
    <w:p>
      <w:pPr>
        <w:pStyle w:val="FirstParagraph"/>
      </w:pPr>
      <w:r>
        <w:t xml:space="preserve">根据《财政部国家税务总局关于原油和铁矿石期货保税交割业务增值税政策的通知》，关于上海国际能源交易中心股份有限公司（以下简称“上海国际能源交易中心”）开展的原油期货保税交割业务暂免征收增值税，国家税务总局发布《关于上海国际能源交易中心原油期货保税交割业务增值税管理问题的公告》（以下简称《公告》）。</w:t>
      </w:r>
    </w:p>
    <w:p>
      <w:pPr>
        <w:pStyle w:val="TextBody"/>
      </w:pPr>
      <w:r>
        <w:t xml:space="preserve">《公告》中指出上海国际能源交易中心开展的原油期货保税交割业务（以下简称“原油期货保税交割业务”）是指参与原油期货保税交割业务的境内机构、境外机构，通过上海国际能源交易中心，以海关特殊监管区域或场所内处于保税监管状态的原油货物为期货实物交割标的物，开展的原油期货实物交割业务。原油期货保税交割业务的卖方为境外机构时，卖方会员单位应向卖方索取相应的收款凭证，并以此作为免税依据。境内机构包括上海国际能源交易中心的会员单位，以及通过会员单位在上海国际能源交易中心开展原油期货保税交割业务的境内客户；境外机构包括在上海国际能源交易中心开展原油期货保税交割业务的境外经纪机构和境外参与者。</w:t>
      </w:r>
    </w:p>
    <w:p>
      <w:pPr>
        <w:pStyle w:val="TextBody"/>
      </w:pPr>
      <w:hyperlink r:id="rId35">
        <w:r>
          <w:rPr>
            <w:rStyle w:val="Hyperlink"/>
          </w:rPr>
          <w:t xml:space="preserve">http://www.chinatax.gov.cn/n810341/n810755/c2743238/content.html</w:t>
        </w:r>
      </w:hyperlink>
    </w:p>
    <w:p>
      <w:pPr>
        <w:pStyle w:val="Heading3"/>
      </w:pPr>
      <w:bookmarkStart w:id="36" w:name="财政部国家税务总局发布车辆购置税法征求意见稿"/>
      <w:bookmarkEnd w:id="36"/>
      <w:r>
        <w:t xml:space="preserve">财政部、国家税务总局发布《车辆购置税法（征求意见稿）》</w:t>
      </w:r>
    </w:p>
    <w:p>
      <w:pPr>
        <w:pStyle w:val="FirstParagraph"/>
      </w:pPr>
      <w:r>
        <w:t xml:space="preserve">财政部、国家税务总局近日公布《车辆购置税法（征求意见稿）》（以下简称《征求意见稿》），向社会公开征求意见。此次修改采取税制平移的方式将《车辆购置税暂行条例》上升为法律。《征求意见稿》明确，税率仍为10%，不再设定最低计税价格，征税对象改为汽车、摩托车、挂车和有轨电车等4类。</w:t>
      </w:r>
    </w:p>
    <w:p>
      <w:pPr>
        <w:pStyle w:val="TextBody"/>
      </w:pPr>
      <w:r>
        <w:t xml:space="preserve">据了解，2000年10月，国务院颁布了《中华人民共和国车辆购置税暂行条例》，规定自2001年1月1日起，对购置应税车辆的单位和个人征收车辆购置税，车辆购置税实行从价计征，税率为10%。此次修改的一大变化是，采取税制平移的方式将《车辆购置税暂行条例》上升为法律。另外，征税对象也有了变化。根据现行条例，车辆购置税的征税对象为汽车、摩托车、电车、挂车和农用运输车等5类。而此次《征求意见稿》将车辆购置税的征税对象改为汽车、摩托车、挂车和有轨电车等4类。在税率方面，《征求意见稿》规定车辆购置税的税率为10%，维持了现行规定。同时，《征求意见稿》还取消了国家税务总局规定应税车辆最低计税价格的规定。</w:t>
      </w:r>
    </w:p>
    <w:p>
      <w:pPr>
        <w:pStyle w:val="TextBody"/>
      </w:pPr>
      <w:hyperlink r:id="rId37">
        <w:r>
          <w:rPr>
            <w:rStyle w:val="Hyperlink"/>
          </w:rPr>
          <w:t xml:space="preserve">http://www.chinalawinfo.com/News/NewsFullText.aspx?NewsId=86730&amp;NewsType=1</w:t>
        </w:r>
      </w:hyperlink>
    </w:p>
    <w:p>
      <w:pPr>
        <w:pStyle w:val="Heading3"/>
      </w:pPr>
      <w:bookmarkStart w:id="38" w:name="陕西出台房产税实施细则个人非营业用房等5类房产可免征"/>
      <w:bookmarkEnd w:id="38"/>
      <w:r>
        <w:t xml:space="preserve">陕西出台房产税实施细则：个人非营业用房等5类房产可免征</w:t>
      </w:r>
    </w:p>
    <w:p>
      <w:pPr>
        <w:pStyle w:val="FirstParagraph"/>
      </w:pPr>
      <w:r>
        <w:t xml:space="preserve">陕西省政府近日印发《陕西省房产税实施细则》（以下简称《实施细则》），《实施细则》中提到，五类房产可免征房产税。这5类房产包括：国家机关、人民团体、军队自用的房产；由国家财政部门拨付事业经费的单位自用的房产；宗教寺庙、公园、名胜古迹自用的房产；个人所有非营业用的房产；经财政部批准免税的其他房产。</w:t>
      </w:r>
    </w:p>
    <w:p>
      <w:pPr>
        <w:pStyle w:val="TextBody"/>
      </w:pPr>
      <w:r>
        <w:t xml:space="preserve">《实施细则》提出，房产税由产权所有人缴纳。产权属于全民所有的，由经营管理的单位缴纳；产权出典的，由承典人缴纳；产权所有人、承典人不在房产所在地的，或者产权未确定及租典纠纷未解决的，由房产代管人或使用人缴纳。对产权共有的，由共同人确定代表缴纳或经协商分别缴纳房产税。《实施细则》还提出，根据《中华人民共和国房产税暂行条例》的规定，房产税按年计算，分季征收，纳税人应在季度终了１５日内申报纳税。税额依照房产原值一次减除20%后的余值计算缴纳。对纳税人没有房产原值作为计税依据的，由房产所在地税务机关参照同类房产核定价格计算征收。</w:t>
      </w:r>
    </w:p>
    <w:p>
      <w:pPr>
        <w:pStyle w:val="TextBody"/>
      </w:pPr>
      <w:hyperlink r:id="rId39">
        <w:r>
          <w:rPr>
            <w:rStyle w:val="Hyperlink"/>
          </w:rPr>
          <w:t xml:space="preserve">http://www.thepaper.cn/newsDetail_forward_1746864</w:t>
        </w:r>
      </w:hyperlink>
    </w:p>
    <w:p>
      <w:pPr>
        <w:pStyle w:val="Heading2"/>
      </w:pPr>
      <w:bookmarkStart w:id="40" w:name="行业"/>
      <w:bookmarkEnd w:id="40"/>
      <w:r>
        <w:t xml:space="preserve">行业</w:t>
      </w:r>
    </w:p>
    <w:p>
      <w:pPr>
        <w:pStyle w:val="Heading3"/>
      </w:pPr>
      <w:bookmarkStart w:id="41" w:name="国家工商总局印发新规让企业起名更便利规范"/>
      <w:bookmarkEnd w:id="41"/>
      <w:r>
        <w:t xml:space="preserve">国家工商总局印发新规让企业起名更便利规范</w:t>
      </w:r>
    </w:p>
    <w:p>
      <w:pPr>
        <w:pStyle w:val="FirstParagraph"/>
      </w:pPr>
      <w:r>
        <w:t xml:space="preserve">国家工商总局日前印发《企业名称禁限用规则》《企业名称相同相近比对规则》，进一步规范企业名称审核行为，为申请人提供更加便捷高效的企业名称登记、核准、比对服务，推进企业名称登记管理改革。</w:t>
      </w:r>
    </w:p>
    <w:p>
      <w:pPr>
        <w:pStyle w:val="TextBody"/>
      </w:pPr>
      <w:r>
        <w:t xml:space="preserve">《企业名称禁限用规则》共33条，明确了企业名称的禁止性规则和限制性规则。其中，禁止性规则11条，包括企业名称不得含有有损于国家、社会公共利益的内容和文字，不得含有可能对公众造成欺骗或者误解的内容和文字等。限制性规则共15条，包括企业名称的字号不得含有“国家级”“最高级”“最佳”等带有误导性的内容和文字，但有其他含义或者作部分使用、且字号整体有其他含义的除外等。</w:t>
      </w:r>
    </w:p>
    <w:p>
      <w:pPr>
        <w:pStyle w:val="TextBody"/>
      </w:pPr>
      <w:hyperlink r:id="rId42">
        <w:r>
          <w:rPr>
            <w:rStyle w:val="Hyperlink"/>
          </w:rPr>
          <w:t xml:space="preserve">http://www.saic.gov.cn/xw/zyxw/201708/t20170808_268234.html</w:t>
        </w:r>
      </w:hyperlink>
    </w:p>
    <w:p>
      <w:pPr>
        <w:pStyle w:val="Heading3"/>
      </w:pPr>
      <w:bookmarkStart w:id="43" w:name="关于促进小微型客车租赁健康发展的指导意见发布"/>
      <w:bookmarkEnd w:id="43"/>
      <w:r>
        <w:t xml:space="preserve">《关于促进小微型客车租赁健康发展的指导意见》发布</w:t>
      </w:r>
    </w:p>
    <w:p>
      <w:pPr>
        <w:pStyle w:val="FirstParagraph"/>
      </w:pPr>
      <w:r>
        <w:t xml:space="preserve">2017年8月8日，交通运输部、住房城乡建设部联合发布《关于促进小微型客车租赁健康发展的指导意见》（以下简称《指导意见》）。《指导意见》的出台，对保护用户权益、提高小微型客车租赁有效供给、优化交通出行体系、促进行业健康规范发展具有积极意义。</w:t>
      </w:r>
    </w:p>
    <w:p>
      <w:pPr>
        <w:pStyle w:val="TextBody"/>
      </w:pPr>
      <w:r>
        <w:t xml:space="preserve">《指导意见》提出，租赁车辆应按照相关法律法规和技术标准规定到公安机关办理登记，并按照相关规定，对车辆进行安全技术检验、环保检验和报废。按照登记的使用性质对应的保险费率投保交强险、第三者责任险。落实身份查验制度，小微型客车租赁经营者应当具备身份查验所需的设施设备，对承租人提供的有效证件进行查验。《指导意见》明确，要考虑分时租赁非集约化出行的特点，合理确定分时租赁在城市综合交通体系中的定位，研究建立与公众出行需求、城市道路资源、停车资源等相适应的车辆投放机制。分时租赁经营者应提升线上线下服务能力，采用安全、合规的支付结算服务，确保用户押金和资金安全，鼓励采用信用模式代替押金管理。</w:t>
      </w:r>
    </w:p>
    <w:p>
      <w:pPr>
        <w:pStyle w:val="TextBody"/>
      </w:pPr>
      <w:hyperlink r:id="rId44">
        <w:r>
          <w:rPr>
            <w:rStyle w:val="Hyperlink"/>
          </w:rPr>
          <w:t xml:space="preserve">http://www.gov.cn/xinwen/2017-08/08/content_5216571.htm</w:t>
        </w:r>
      </w:hyperlink>
    </w:p>
    <w:p>
      <w:pPr>
        <w:pStyle w:val="Heading2"/>
      </w:pPr>
      <w:bookmarkStart w:id="45" w:name="并购"/>
      <w:bookmarkEnd w:id="45"/>
      <w:r>
        <w:t xml:space="preserve">并购</w:t>
      </w:r>
    </w:p>
    <w:p>
      <w:pPr>
        <w:pStyle w:val="Heading3"/>
      </w:pPr>
      <w:bookmarkStart w:id="46" w:name="东杰智能拟5亿收购常州海登完善智能装备业务布局"/>
      <w:bookmarkEnd w:id="46"/>
      <w:r>
        <w:t xml:space="preserve">东杰智能拟5亿收购常州海登，完善智能装备业务布局</w:t>
      </w:r>
    </w:p>
    <w:p>
      <w:pPr>
        <w:pStyle w:val="FirstParagraph"/>
      </w:pPr>
      <w:r>
        <w:t xml:space="preserve">2017年8月9日，东杰智能公告重组草案显示，公司拟通过发行股份购买方式，作价5亿元，收购常州海登赛思涂装设备有限公司（以下简称“常州海登”）100%股权。公司拟以21.97元/股，共发行2276万股，募资2.25亿元，用于支付本次交易相关的费用、标的公司高效节能汽车涂装线项目和研发中心建设项目的建设投资。</w:t>
      </w:r>
    </w:p>
    <w:p>
      <w:pPr>
        <w:pStyle w:val="TextBody"/>
      </w:pPr>
      <w:r>
        <w:t xml:space="preserve">东杰智能表示，本次交易完成后，通过双方在技术、市场及人才等方面的整合，可以有效的提升上市公司的经营效率，促进上市公司智能装备业务进一步发展，完善上市公司智能装备业务的业务布局，提升市场竞争力和行业地位，提高上市公司智能装备业务的业务价值。双方签订对赌协议，标的公司2017年、2018年、2019年净利润分别不低于3500万元、4600 万元和6000万元。东杰智能是专业供应智能物流输送系统、智能物流仓储系统、机械式立体停车系统、AGV工业机器人、供应链软件等业务的高科技公司，是国内最大的智能物流装备制造商和集成商。</w:t>
      </w:r>
    </w:p>
    <w:p>
      <w:pPr>
        <w:pStyle w:val="TextBody"/>
      </w:pPr>
      <w:hyperlink r:id="rId47">
        <w:r>
          <w:rPr>
            <w:rStyle w:val="Hyperlink"/>
          </w:rPr>
          <w:t xml:space="preserve">http://company.stcn.com/2017/0809/13547447.shtml</w:t>
        </w:r>
      </w:hyperlink>
    </w:p>
    <w:p>
      <w:pPr>
        <w:pStyle w:val="Heading3"/>
      </w:pPr>
      <w:bookmarkStart w:id="48" w:name="安科生物1.05亿元拿下湖北三七七发力上游加码精准医疗产业链"/>
      <w:bookmarkEnd w:id="48"/>
      <w:r>
        <w:t xml:space="preserve">安科生物1.05亿元拿下湖北三七七，发力上游加码精准医疗产业链</w:t>
      </w:r>
    </w:p>
    <w:p>
      <w:pPr>
        <w:pStyle w:val="FirstParagraph"/>
      </w:pPr>
      <w:r>
        <w:t xml:space="preserve">安科生物2017年8月9日上午发布公告，公司与湖北三七七生物技术有限公司（以下简称“湖北三七七”）股东签订《股权收购协议书》，公司拟以现金1.05亿元收购湖北三七七30%股权。</w:t>
      </w:r>
    </w:p>
    <w:p>
      <w:pPr>
        <w:pStyle w:val="TextBody"/>
      </w:pPr>
      <w:r>
        <w:t xml:space="preserve">安科生物相关负责人表示，本次交易有利于强化公司在核酸检测领域的技术优势，进一步拓展公司精准医疗的产业领域，发挥对公司在精准医疗方向上的战略指导意义。值得注意的是，根据约定，在本次交易方案披露后，交易对方将自愿在未来十二个月内合法合规的在二级市场买入安科生物股票，买入金额不低于人民币3000万元。另一方面，为进一步落实公司在精准医疗领域的战略规划，结合交易对方的意愿及目标公司的发展状况，安科生物后期将进一步收购湖北三七七股东持有的股权，以达到对目标公司的控制权。</w:t>
      </w:r>
    </w:p>
    <w:p>
      <w:pPr>
        <w:pStyle w:val="TextBody"/>
      </w:pPr>
      <w:hyperlink r:id="rId49">
        <w:r>
          <w:rPr>
            <w:rStyle w:val="Hyperlink"/>
          </w:rPr>
          <w:t xml:space="preserve">http://company.stcn.com/2017/0809/13545642.shtml</w:t>
        </w:r>
      </w:hyperlink>
    </w:p>
    <w:p>
      <w:pPr>
        <w:pStyle w:val="Heading3"/>
      </w:pPr>
      <w:bookmarkStart w:id="50" w:name="大富科技拟25.4亿收购湘将鑫精密"/>
      <w:bookmarkEnd w:id="50"/>
      <w:r>
        <w:t xml:space="preserve">大富科技拟25.4亿收购湘将鑫精密</w:t>
      </w:r>
    </w:p>
    <w:p>
      <w:pPr>
        <w:pStyle w:val="FirstParagraph"/>
      </w:pPr>
      <w:r>
        <w:t xml:space="preserve">从2月停牌至今的大富科技于2017年8月8日晚间披露了发行股份及支付现金购买资产方案。公司拟以25.4亿元收购智能手机精密外观件制造商湘将鑫精密，交易对方承诺，2017年至2019年湘将鑫精密扣非后净利润分别不低于2.1亿元、2.7亿元和3.5亿元(3年承诺净利润8.3亿元)。</w:t>
      </w:r>
    </w:p>
    <w:p>
      <w:pPr>
        <w:pStyle w:val="TextBody"/>
      </w:pPr>
      <w:r>
        <w:t xml:space="preserve">公告显示，大富科技拟以25.4亿元的价格向湘将鑫精密全体股东发行股份及支付现金购买湘将鑫精密100%的股权，其中支付现金对价占比为17.5%，支付股份对价占比为82.5%，拟发行A股股票数量合计为9879.77万股，发行价格为21.21元/股。据了解，与近期获批的同行业交易案例相比，本次收购具有一些明显差异：一是没有募集配套资金，减少了股权稀释；二是现金比例与市场并购普遍的30%相比显著降低，仅为17.5%。尤其值得注意的是，本次交易对方中，占股比例25%的投资机构新余弘新睿亦与湘将鑫精密大股东同时参与3年业绩承诺，更加有利于实现并购标的的业绩承诺。</w:t>
      </w:r>
    </w:p>
    <w:p>
      <w:pPr>
        <w:pStyle w:val="TextBody"/>
      </w:pPr>
      <w:hyperlink r:id="rId51">
        <w:r>
          <w:rPr>
            <w:rStyle w:val="Hyperlink"/>
          </w:rPr>
          <w:t xml:space="preserve">http://company.stcn.com/2017/0809/13545345.shtml</w:t>
        </w:r>
      </w:hyperlink>
    </w:p>
    <w:p>
      <w:pPr>
        <w:pStyle w:val="Heading3"/>
      </w:pPr>
      <w:bookmarkStart w:id="52" w:name="模塑科技拟12.5亿收购道达饰件"/>
      <w:bookmarkEnd w:id="52"/>
      <w:r>
        <w:t xml:space="preserve">模塑科技拟12.5亿收购道达饰件</w:t>
      </w:r>
    </w:p>
    <w:p>
      <w:pPr>
        <w:pStyle w:val="FirstParagraph"/>
      </w:pPr>
      <w:r>
        <w:t xml:space="preserve">模塑科技近日披露重组预案，公司拟作价12.5亿元，以发行股份及支付现金方式，收购控股股东模塑集团及其下属公司持有的江阴道达汽车饰件有限公司（以下简称“道达饰件”）100%股权。</w:t>
      </w:r>
    </w:p>
    <w:p>
      <w:pPr>
        <w:pStyle w:val="TextBody"/>
      </w:pPr>
      <w:r>
        <w:t xml:space="preserve">本次交易方案为公司向模塑集团、精力机械发行股份及支付现金购买其合计持有的道达饰件100%股权，交易对方获得的股份和现金对价占其交易总价比例均为60%和40%。本次交易完成后，公司将持有道达饰件100%股权。道达饰件主营汽车内外装饰件，为上汽大众、上汽通用等车企的供应商，2016年营收9.24亿元，净利6719.83万元，2017年至2019年承诺扣非后净利分别不低于7500万元、1亿元、1.1亿元。</w:t>
      </w:r>
    </w:p>
    <w:p>
      <w:pPr>
        <w:pStyle w:val="TextBody"/>
      </w:pPr>
      <w:hyperlink r:id="rId53">
        <w:r>
          <w:rPr>
            <w:rStyle w:val="Hyperlink"/>
          </w:rPr>
          <w:t xml:space="preserve">http://company.stcn.com/2017/0804/13535786.shtml</w:t>
        </w:r>
      </w:hyperlink>
    </w:p>
    <w:p>
      <w:pPr>
        <w:pStyle w:val="Heading3"/>
      </w:pPr>
      <w:bookmarkStart w:id="54" w:name="爱尔眼科并购clínica-baviera收官世界级眼科集团起航"/>
      <w:bookmarkEnd w:id="54"/>
      <w:r>
        <w:t xml:space="preserve">爱尔眼科并购Clínica Baviera收官,世界级眼科集团起航</w:t>
      </w:r>
    </w:p>
    <w:p>
      <w:pPr>
        <w:pStyle w:val="FirstParagraph"/>
      </w:pPr>
      <w:r>
        <w:t xml:space="preserve">2017年8月9日晚间，爱尔眼科公告称完成了要约收购Clínica Baviera, S.A.的股份交割工作，并已全部支付完毕所涉及款项。交割完成后，公司通过爱尔眼科国际（欧洲）有限公司合计持有Clínica Baviera, S.A.86.83%的股份。自此，爱尔眼科成为全球唯一拥有中国、欧洲两地上市公司的医疗集团，横跨亚、美、欧三大市场，辐射人口逾20亿。</w:t>
      </w:r>
    </w:p>
    <w:p>
      <w:pPr>
        <w:pStyle w:val="TextBody"/>
      </w:pPr>
      <w:r>
        <w:t xml:space="preserve">公司表示，爱尔眼科和Clínica Baviera分别是中国和欧洲最大的眼科医疗机构，强强联合将引领全球眼科在广度和深度上加快融合发展，同时提高中国眼科机构在国际上的影响力。值得一提的是，此次并购标的股权要约的接受程度高，同时保留了Clínica Baviera的上市地位。公开资料显示，2016年，Clínica Baviera净利润达794.5万欧元，爱尔眼科预计，随着市场占有率持续提高，Clínica Baviera盈利能力将进一步提升，从而增厚爱尔眼科业绩。</w:t>
      </w:r>
    </w:p>
    <w:p>
      <w:pPr>
        <w:pStyle w:val="TextBody"/>
      </w:pPr>
      <w:hyperlink r:id="rId55">
        <w:r>
          <w:rPr>
            <w:rStyle w:val="Hyperlink"/>
          </w:rPr>
          <w:t xml:space="preserve">http://company.stcn.com/2017/0809/13547223.shtml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法讯 - 中国 - 2017年8月11日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c98031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53" Type="http://schemas.openxmlformats.org/officeDocument/2006/relationships/hyperlink" Target="http://company.stcn.com/2017/0804/13535786.shtml" TargetMode="External"/><Relationship Id="rId51" Type="http://schemas.openxmlformats.org/officeDocument/2006/relationships/hyperlink" Target="http://company.stcn.com/2017/0809/13545345.shtml" TargetMode="External"/><Relationship Id="rId49" Type="http://schemas.openxmlformats.org/officeDocument/2006/relationships/hyperlink" Target="http://company.stcn.com/2017/0809/13545642.shtml" TargetMode="External"/><Relationship Id="rId55" Type="http://schemas.openxmlformats.org/officeDocument/2006/relationships/hyperlink" Target="http://company.stcn.com/2017/0809/13547223.shtml" TargetMode="External"/><Relationship Id="rId47" Type="http://schemas.openxmlformats.org/officeDocument/2006/relationships/hyperlink" Target="http://company.stcn.com/2017/0809/13547447.shtml" TargetMode="External"/><Relationship Id="rId37" Type="http://schemas.openxmlformats.org/officeDocument/2006/relationships/hyperlink" Target="http://www.chinalawinfo.com/News/NewsFullText.aspx?NewsId=86730&amp;NewsType=1" TargetMode="External"/><Relationship Id="rId35" Type="http://schemas.openxmlformats.org/officeDocument/2006/relationships/hyperlink" Target="http://www.chinatax.gov.cn/n810341/n810755/c2743238/content.html" TargetMode="External"/><Relationship Id="rId27" Type="http://schemas.openxmlformats.org/officeDocument/2006/relationships/hyperlink" Target="http://www.cs.com.cn/sylm/jsbd/201708/t20170808_5412942.html" TargetMode="External"/><Relationship Id="rId29" Type="http://schemas.openxmlformats.org/officeDocument/2006/relationships/hyperlink" Target="http://www.gov.cn/xinwen/2017-08/05/content_5215931.htm" TargetMode="External"/><Relationship Id="rId44" Type="http://schemas.openxmlformats.org/officeDocument/2006/relationships/hyperlink" Target="http://www.gov.cn/xinwen/2017-08/08/content_5216571.htm" TargetMode="External"/><Relationship Id="rId23" Type="http://schemas.openxmlformats.org/officeDocument/2006/relationships/hyperlink" Target="http://www.legaldaily.com.cn/index_article/content/2017-08/04/content_7272036.htm?node=5955" TargetMode="External"/><Relationship Id="rId32" Type="http://schemas.openxmlformats.org/officeDocument/2006/relationships/hyperlink" Target="http://www.p5w.net/money/bxzx/201708/t20170808_1911282.htm" TargetMode="External"/><Relationship Id="rId42" Type="http://schemas.openxmlformats.org/officeDocument/2006/relationships/hyperlink" Target="http://www.saic.gov.cn/xw/zyxw/201708/t20170808_268234.html" TargetMode="External"/><Relationship Id="rId25" Type="http://schemas.openxmlformats.org/officeDocument/2006/relationships/hyperlink" Target="http://www.stcn.com/2017/0808/13542482.shtml" TargetMode="External"/><Relationship Id="rId39" Type="http://schemas.openxmlformats.org/officeDocument/2006/relationships/hyperlink" Target="http://www.thepaper.cn/newsDetail_forward_1746864" TargetMode="External"/><Relationship Id="rId8" Type="http://schemas.openxmlformats.org/officeDocument/2006/relationships/hyperlink" Target="http://www.charltonslaw.com.cn/guo-you-qi-ye-jing-wai-tou-zi-cai-wu-guan-li-ban-fa-shi-xing-jing-wai-tou-zi-xu-you-shu-mian-jin-zhi-diao-cha-bao-gao"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3" Type="http://schemas.openxmlformats.org/officeDocument/2006/relationships/hyperlink" Target="http://company.stcn.com/2017/0804/13535786.shtml" TargetMode="External"/><Relationship Id="rId51" Type="http://schemas.openxmlformats.org/officeDocument/2006/relationships/hyperlink" Target="http://company.stcn.com/2017/0809/13545345.shtml" TargetMode="External"/><Relationship Id="rId49" Type="http://schemas.openxmlformats.org/officeDocument/2006/relationships/hyperlink" Target="http://company.stcn.com/2017/0809/13545642.shtml" TargetMode="External"/><Relationship Id="rId55" Type="http://schemas.openxmlformats.org/officeDocument/2006/relationships/hyperlink" Target="http://company.stcn.com/2017/0809/13547223.shtml" TargetMode="External"/><Relationship Id="rId47" Type="http://schemas.openxmlformats.org/officeDocument/2006/relationships/hyperlink" Target="http://company.stcn.com/2017/0809/13547447.shtml" TargetMode="External"/><Relationship Id="rId37" Type="http://schemas.openxmlformats.org/officeDocument/2006/relationships/hyperlink" Target="http://www.chinalawinfo.com/News/NewsFullText.aspx?NewsId=86730&amp;NewsType=1" TargetMode="External"/><Relationship Id="rId35" Type="http://schemas.openxmlformats.org/officeDocument/2006/relationships/hyperlink" Target="http://www.chinatax.gov.cn/n810341/n810755/c2743238/content.html" TargetMode="External"/><Relationship Id="rId27" Type="http://schemas.openxmlformats.org/officeDocument/2006/relationships/hyperlink" Target="http://www.cs.com.cn/sylm/jsbd/201708/t20170808_5412942.html" TargetMode="External"/><Relationship Id="rId29" Type="http://schemas.openxmlformats.org/officeDocument/2006/relationships/hyperlink" Target="http://www.gov.cn/xinwen/2017-08/05/content_5215931.htm" TargetMode="External"/><Relationship Id="rId44" Type="http://schemas.openxmlformats.org/officeDocument/2006/relationships/hyperlink" Target="http://www.gov.cn/xinwen/2017-08/08/content_5216571.htm" TargetMode="External"/><Relationship Id="rId23" Type="http://schemas.openxmlformats.org/officeDocument/2006/relationships/hyperlink" Target="http://www.legaldaily.com.cn/index_article/content/2017-08/04/content_7272036.htm?node=5955" TargetMode="External"/><Relationship Id="rId32" Type="http://schemas.openxmlformats.org/officeDocument/2006/relationships/hyperlink" Target="http://www.p5w.net/money/bxzx/201708/t20170808_1911282.htm" TargetMode="External"/><Relationship Id="rId42" Type="http://schemas.openxmlformats.org/officeDocument/2006/relationships/hyperlink" Target="http://www.saic.gov.cn/xw/zyxw/201708/t20170808_268234.html" TargetMode="External"/><Relationship Id="rId25" Type="http://schemas.openxmlformats.org/officeDocument/2006/relationships/hyperlink" Target="http://www.stcn.com/2017/0808/13542482.shtml" TargetMode="External"/><Relationship Id="rId39" Type="http://schemas.openxmlformats.org/officeDocument/2006/relationships/hyperlink" Target="http://www.thepaper.cn/newsDetail_forward_1746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2017-08-11T03:42:32Z</dcterms:created>
  <dcterms:modified xsi:type="dcterms:W3CDTF">2017-08-11T03:42:32Z</dcterms:modified>
</cp:coreProperties>
</file>