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- 2017年8月18日</w:t>
      </w:r>
    </w:p>
    <w:p>
      <w:pPr>
        <w:pStyle w:val="ReadOnline"/>
      </w:pPr>
      <w:hyperlink r:id="rId8">
        <w:r>
          <w:rPr/>
          <w:t>online version</w:t>
        </w:r>
      </w:hyperlink>
    </w:p>
    <w:p>
      <w:pPr>
        <w:pStyle w:val="Title"/>
      </w:pPr>
      <w:r>
        <w:t>深圳证券交易所与浦发银行开展战略合作，推动金融和科技深度融合</w:t>
      </w:r>
    </w:p>
    <w:p>
      <w:pPr>
        <w:pStyle w:val="Heading2"/>
      </w:pPr>
      <w:bookmarkStart w:id="21" w:name="资本市场"/>
      <w:bookmarkEnd w:id="21"/>
      <w:r>
        <w:t xml:space="preserve">资本市场</w:t>
      </w:r>
    </w:p>
    <w:p>
      <w:pPr>
        <w:pStyle w:val="Heading3"/>
      </w:pPr>
      <w:bookmarkStart w:id="22" w:name="深圳证券交易所与浦发银行开展战略合作推动金融和科技深度融合"/>
      <w:bookmarkEnd w:id="22"/>
      <w:r>
        <w:t xml:space="preserve">深圳证券交易所与浦发银行开展战略合作，推动金融和科技深度融合</w:t>
      </w:r>
    </w:p>
    <w:p>
      <w:pPr>
        <w:pStyle w:val="FirstParagraph"/>
      </w:pPr>
      <w:r>
        <w:t xml:space="preserve">近日，深圳证券交易所（以下简称“深交所”）与上海浦东发展银行股份有限公司（以下简称“浦发银行”）在深圳签署战略合作协议，共同促进金融和科技深度融合。深交所总经理王建军、副理事长张颖和浦发银行董事长高国富、副行长崔炳文出席了签约仪式。</w:t>
      </w:r>
    </w:p>
    <w:p>
      <w:pPr>
        <w:pStyle w:val="TextBody"/>
      </w:pPr>
      <w:r>
        <w:t xml:space="preserve">根据协议，双方将在境内外开展合作，共同服务科技型中小企业，实现信息共享和平台对接，推进产品创新和跨境服务。一是加快推进资本市场合作，通过开展上市后备企业培育，为企业融资便利化、拓宽多元融资渠道提供支持；二是协力推动机制体制创新，共同推进包括科技金融投贷联动等在内的各项机制创新；三是加强资本市场前瞻性研究，合作建立数据库和专题研究机制，为服务“大众创业、万众创新”提供支持。作为一家全国性股份制商业银行，浦发银行历来注重专业化服务科技型企业，差异化推进科技金融业务，通过体系建设、资源配置、产品创新等具体举措，支持实体经济发展。</w:t>
      </w:r>
    </w:p>
    <w:p>
      <w:pPr>
        <w:pStyle w:val="TextBody"/>
      </w:pPr>
      <w:hyperlink r:id="rId23">
        <w:r>
          <w:rPr>
            <w:rStyle w:val="Hyperlink"/>
          </w:rPr>
          <w:t xml:space="preserve">http://www.szse.cn/main/aboutus/bsyw/39774198.shtml</w:t>
        </w:r>
      </w:hyperlink>
    </w:p>
    <w:p>
      <w:pPr>
        <w:pStyle w:val="Heading3"/>
      </w:pPr>
      <w:bookmarkStart w:id="24" w:name="个人投资者积极参与深圳证券交易所首批地方政府债券网上认购"/>
      <w:bookmarkEnd w:id="24"/>
      <w:r>
        <w:t xml:space="preserve">个人投资者积极参与深圳证券交易所首批地方政府债券网上认购</w:t>
      </w:r>
    </w:p>
    <w:p>
      <w:pPr>
        <w:pStyle w:val="FirstParagraph"/>
      </w:pPr>
      <w:r>
        <w:t xml:space="preserve">在深圳证券交易所（以下简称“深交所”）首批成功招标发行四川省地方政府债券基础上，中山证券、中信证券、中信建投、国泰君安等8家券商积极有序开展个人和机构投资者网上分销，实现网上分销金额超过1.5亿元，超过1.8万名个人投资者通过深交所集中竞价系统认购近7000万元，个人投资者认购人数和金额均实现重要突破。</w:t>
      </w:r>
    </w:p>
    <w:p>
      <w:pPr>
        <w:pStyle w:val="TextBody"/>
      </w:pPr>
      <w:r>
        <w:t xml:space="preserve">支持地方政府规范举债，是深交所学习贯彻全国金融工作会议精神、落实中国证监会推进交易所债市稳定发展相关部署的一项重要任务。地方政府债券具有主体信用高、利息免税政策等多重优势，市场投资价值正在逐步凸显，但证券市场投资者相对了解不多。为此，深交所积极动员相关券商多渠道开展地方政府债券知识普及，发挥券商承销经纪业务协同优势，以投资者较为习惯的网上认购方式，为个人投资者认购地方政府债券提供便利途径。超过1.8万名个人投资者在网上分销环节积极参与认购四川省地方政府债，充分体现交易所市场投资者结构多元化优势，金融服务普惠性进一步增强。证券公司在地方政府债券承销发行工作中的作用和潜力得到进一步挖掘，实现了发行人、中介服务机构和投资者的多方共赢。</w:t>
      </w:r>
    </w:p>
    <w:p>
      <w:pPr>
        <w:pStyle w:val="TextBody"/>
      </w:pPr>
      <w:hyperlink r:id="rId25">
        <w:r>
          <w:rPr>
            <w:rStyle w:val="Hyperlink"/>
          </w:rPr>
          <w:t xml:space="preserve">http://www.szse.cn/main/aboutus/bsyw/39774088.shtml</w:t>
        </w:r>
      </w:hyperlink>
    </w:p>
    <w:p>
      <w:pPr>
        <w:pStyle w:val="Heading3"/>
      </w:pPr>
      <w:bookmarkStart w:id="26" w:name="国务院发布引资22条顶层文件12领域将扩大开放"/>
      <w:bookmarkEnd w:id="26"/>
      <w:r>
        <w:t xml:space="preserve">国务院发布引资22条顶层文件，12领域将扩大开放</w:t>
      </w:r>
    </w:p>
    <w:p>
      <w:pPr>
        <w:pStyle w:val="FirstParagraph"/>
      </w:pPr>
      <w:r>
        <w:t xml:space="preserve">《经济参考报》记者从中国政府网获悉，国务院日前印发《关于促进外资增长若干措施的通知》（以下简称《通知》），提出“真金白银”22条举措力促吸引外资，涉及的中央部门多达32个。</w:t>
      </w:r>
    </w:p>
    <w:p>
      <w:pPr>
        <w:pStyle w:val="TextBody"/>
      </w:pPr>
      <w:r>
        <w:t xml:space="preserve">《通知》从进一步减少外资准入限制、制定财税支持政策、完善国家级开发区综合投资环境、便利人才出入境、优化营商环境五个方面提出促进外资增长的政策措施。另外，《通知》中提出的具体举措共22条，“进一步减少外资准入限制”居首。具体举措包括尽快在全国推行自由贸易试验区试行过的外商投资负面清单，持续推进专用车和新能源汽车制造、船舶设计、支线和通用飞机维修、国际海上运输、铁路旅客运输、加油站、互联网上网服务营业场所、呼叫中心、演出经纪、银行业、证券业、保险业对外开放，明确对外开放时间表、路线图等。根据《通知》，下一步，包括新能源汽车制造、船舶设计、银行业、证券业、保险业等12个领域开放路线图和时间表将陆续出台，而自贸试验区试行过的负面清单也将尽快在全国推广。我国外资开放将迎最密集政策红利。</w:t>
      </w:r>
    </w:p>
    <w:p>
      <w:pPr>
        <w:pStyle w:val="TextBody"/>
      </w:pPr>
      <w:hyperlink r:id="rId27">
        <w:r>
          <w:rPr>
            <w:rStyle w:val="Hyperlink"/>
          </w:rPr>
          <w:t xml:space="preserve">http://news.sina.com.cn/o/2017-08-17/doc-ifykcqav9395070.shtml</w:t>
        </w:r>
      </w:hyperlink>
    </w:p>
    <w:p>
      <w:pPr>
        <w:pStyle w:val="Heading3"/>
      </w:pPr>
      <w:bookmarkStart w:id="28" w:name="新西兰一带一路产业园与中企签署战略合作协议"/>
      <w:bookmarkEnd w:id="28"/>
      <w:r>
        <w:t xml:space="preserve">新西兰“一带一路”产业园与中企签署战略合作协议</w:t>
      </w:r>
    </w:p>
    <w:p>
      <w:pPr>
        <w:pStyle w:val="FirstParagraph"/>
      </w:pPr>
      <w:r>
        <w:t xml:space="preserve">新西兰首个“一带一路”产业园于2017年8月14日与中国检验认证集团新西兰公司签署战略合作协议。据介绍，双方合作内容主要包括对园区内的乳品、肉类、水果、海产品等进行检验、鉴定、认证、测试，提供仓储物流监管、跨境交易、产品展示、电子商务等贸易综合服务，帮助入驻园区的企业降低成本、提升效率。</w:t>
      </w:r>
    </w:p>
    <w:p>
      <w:pPr>
        <w:pStyle w:val="TextBody"/>
      </w:pPr>
      <w:r>
        <w:t xml:space="preserve">产业园项目一期投资1亿美元，分为空港物流园区和海港物流园区。据项目负责人介绍，空港物流园位于奥克兰机场附近，含三座冷库和恒温库，以及筹备建设的新西兰首个无人操作的“智慧仓”，配备无人分拣系统服务跨境电商；海港物流园位于丰盛湾西南陶朗加市，陶朗加港是新西兰最大的出口港。中国驻新西兰使馆商务参赞张帆说，中新两国都是全球化的坚定支持者，两国经济结构互补，出口产品满足两国人民的需求，希望产业园以及这项战略合作能够为推动两国贸易贡献力量。</w:t>
      </w:r>
    </w:p>
    <w:p>
      <w:pPr>
        <w:pStyle w:val="TextBody"/>
      </w:pPr>
      <w:hyperlink r:id="rId29">
        <w:r>
          <w:rPr>
            <w:rStyle w:val="Hyperlink"/>
          </w:rPr>
          <w:t xml:space="preserve">http://www.chinaforex.com.cn/index.php/cms/item-view-id-44619.shtml</w:t>
        </w:r>
      </w:hyperlink>
    </w:p>
    <w:p>
      <w:pPr>
        <w:pStyle w:val="Heading2"/>
      </w:pPr>
      <w:bookmarkStart w:id="30" w:name="保险"/>
      <w:bookmarkEnd w:id="30"/>
      <w:r>
        <w:t xml:space="preserve">保险</w:t>
      </w:r>
    </w:p>
    <w:p>
      <w:pPr>
        <w:pStyle w:val="Heading3"/>
      </w:pPr>
      <w:bookmarkStart w:id="31" w:name="保险资产管理业助力实体经济发展研讨会召开"/>
      <w:bookmarkEnd w:id="31"/>
      <w:r>
        <w:t xml:space="preserve">保险资产管理业助力实体经济发展研讨会召开</w:t>
      </w:r>
    </w:p>
    <w:p>
      <w:pPr>
        <w:pStyle w:val="FirstParagraph"/>
      </w:pPr>
      <w:r>
        <w:t xml:space="preserve">近日，中国保险资产管理业协会战略发展专业委员会第二次会议暨保险资产管理业助力实体经济发展研讨会在宁夏银川召开。中国保监会有关部门、中国保险资产管理业协会、保险资产管理公司的主要负责人参加会议。</w:t>
      </w:r>
    </w:p>
    <w:p>
      <w:pPr>
        <w:pStyle w:val="TextBody"/>
      </w:pPr>
      <w:r>
        <w:t xml:space="preserve">中国保监会副主席陈文辉强调，保险资金运用要坚持审慎稳健运作，深刻反思过去一个时期少数保险机构激进经营和激进投资问题并认真汲取教训，决不能使保险资金成为大股东投资控股的工具。一要培育审慎稳健的投资文化。保险资金最注重安全，树立审慎稳健的投资文化是保险资金运用的应有之义，也是保险资金运用安身立命之所在。二要坚持服务保险主业。正确处理保险的保障功能和投资功能的关系，保障是根本功能，投资是辅助功能、衍生功能，是为了更好的保障，不能本末倒置。三要提升资金运用能力。加快建立健全资产负债管理机制，强化保险机构资产负债匹配管理。加快提升股权、不动产、境外投资等不同投资领域的专业投资能力。</w:t>
      </w:r>
    </w:p>
    <w:p>
      <w:pPr>
        <w:pStyle w:val="TextBody"/>
      </w:pPr>
      <w:hyperlink r:id="rId32">
        <w:r>
          <w:rPr>
            <w:rStyle w:val="Hyperlink"/>
          </w:rPr>
          <w:t xml:space="preserve">http://www.gov.cn/xinwen/2017-08/16/content_5218133.htm</w:t>
        </w:r>
      </w:hyperlink>
    </w:p>
    <w:p>
      <w:pPr>
        <w:pStyle w:val="Heading2"/>
      </w:pPr>
      <w:bookmarkStart w:id="33" w:name="税收"/>
      <w:bookmarkEnd w:id="33"/>
      <w:r>
        <w:t xml:space="preserve">税收</w:t>
      </w:r>
    </w:p>
    <w:p>
      <w:pPr>
        <w:pStyle w:val="Heading3"/>
      </w:pPr>
      <w:bookmarkStart w:id="34" w:name="三部门部署环境保护税开征准备工作"/>
      <w:bookmarkEnd w:id="34"/>
      <w:r>
        <w:t xml:space="preserve">三部门部署环境保护税开征准备工作</w:t>
      </w:r>
    </w:p>
    <w:p>
      <w:pPr>
        <w:pStyle w:val="FirstParagraph"/>
      </w:pPr>
      <w:r>
        <w:t xml:space="preserve">环境保护税法将于2018年1月1日起正式实施，财政部、税务总局、环境保护部近日联合下发《通知》，要求各地全面做好环境保护税法实施准备工作。</w:t>
      </w:r>
    </w:p>
    <w:p>
      <w:pPr>
        <w:pStyle w:val="TextBody"/>
      </w:pPr>
      <w:r>
        <w:t xml:space="preserve">《通知》要求各地落实税法授权事项，确定本地区应税大气污染物和水污染物具体适用税额，以及应税污染物排放量抽样测算和核定征收方法。各级环保部门和税务部门要及时交接档案资料，实现税务、环保部门涉税信息数据交换共享；税务部门要全面摸清本地区税源情况，掌握税源底数，抓紧建立基础税源数据库。据了解，税务总局和环境保护部此前已共同签署《环境保护税征管协作机制备忘录》，建立了部局层面的征管协作机制，为各地加强部门合作做出了示范表率。</w:t>
      </w:r>
    </w:p>
    <w:p>
      <w:pPr>
        <w:pStyle w:val="TextBody"/>
      </w:pPr>
      <w:hyperlink r:id="rId35">
        <w:r>
          <w:rPr>
            <w:rStyle w:val="Hyperlink"/>
          </w:rPr>
          <w:t xml:space="preserve">http://politics.people.com.cn/n1/2017/0816/c1001-29472764.html</w:t>
        </w:r>
      </w:hyperlink>
    </w:p>
    <w:p>
      <w:pPr>
        <w:pStyle w:val="Heading2"/>
      </w:pPr>
      <w:bookmarkStart w:id="36" w:name="行业"/>
      <w:bookmarkEnd w:id="36"/>
      <w:r>
        <w:t xml:space="preserve">行业</w:t>
      </w:r>
    </w:p>
    <w:p>
      <w:pPr>
        <w:pStyle w:val="Heading3"/>
      </w:pPr>
      <w:bookmarkStart w:id="37" w:name="最高人民法院印发最高人民法院关于为改善营商环境提供司法保障的若干意见"/>
      <w:bookmarkEnd w:id="37"/>
      <w:r>
        <w:t xml:space="preserve">最高人民法院印发《最高人民法院关于为改善营商环境提供司法保障的若干意见》</w:t>
      </w:r>
    </w:p>
    <w:p>
      <w:pPr>
        <w:pStyle w:val="FirstParagraph"/>
      </w:pPr>
      <w:r>
        <w:t xml:space="preserve">近日，最高人民法院印发《最高人民法院关于为改善营商环境提供司法保障的若干意见》（以下简称《意见》），就人民法院切实发挥审判职能作用，为改善投资和市场环境，营造稳定公平透明、可预期的营商环境，加快建设开放型经济新体制提供更加有力的司法服务和保障，提出22项意见。</w:t>
      </w:r>
    </w:p>
    <w:p>
      <w:pPr>
        <w:pStyle w:val="TextBody"/>
      </w:pPr>
      <w:r>
        <w:t xml:space="preserve">《意见》要求做好与商事制度改革的相互衔接，推动解决注册资本认缴登记制改革后的法律适用问题，并积极推动建立全国统一的各类财产权属登记平台和金融交易登记平台。要准确把握外商投资负面清单制度的内容以及清单变化情况，妥善处理在逐步放开外商投资领域时产生的涉及外资准入限制和股比限制的法律适用问题，形成更加开放公平便利的投资环境。要依法行使司法管辖权，公正高效审理各类涉外商事海事案件，平等保护中外当事人程序权利和实体权益。注意加强与“一带一路”沿线国家的国际司法协助，完善相关工作机制，及时化解争议纠纷，服务和保障“一带一路”等国家重大战略的实施。要加强涉自贸试验区民商事审判工作，积极配合自贸试验区各项改革措施，公正高效审理各类涉自贸试验区案件，为开放型经济新体制建设提供司法保障。</w:t>
      </w:r>
    </w:p>
    <w:p>
      <w:pPr>
        <w:pStyle w:val="TextBody"/>
      </w:pPr>
      <w:hyperlink r:id="rId38">
        <w:r>
          <w:rPr>
            <w:rStyle w:val="Hyperlink"/>
          </w:rPr>
          <w:t xml:space="preserve">http://www.chinalawinfo.com/News/NewsFullText.aspx?NewsId=86833&amp;NewsType=1</w:t>
        </w:r>
      </w:hyperlink>
    </w:p>
    <w:p>
      <w:pPr>
        <w:pStyle w:val="Heading3"/>
      </w:pPr>
      <w:bookmarkStart w:id="39" w:name="司法部不准办理涉不动产处分的全项委托公证"/>
      <w:bookmarkEnd w:id="39"/>
      <w:r>
        <w:t xml:space="preserve">司法部：不准办理涉不动产处分的全项委托公证</w:t>
      </w:r>
    </w:p>
    <w:p>
      <w:pPr>
        <w:pStyle w:val="FirstParagraph"/>
      </w:pPr>
      <w:r>
        <w:t xml:space="preserve">针对近期全国各地发生的数起公证机构、公证员为虚假的公证申请人和不真实的公证事项办理公证的案件，司法部近日印发《关于公证执业“五不准”的通知》（以下简称《通知》），对于进一步规范公证执业行为提出明确要求。</w:t>
      </w:r>
    </w:p>
    <w:p>
      <w:pPr>
        <w:pStyle w:val="TextBody"/>
      </w:pPr>
      <w:r>
        <w:t xml:space="preserve">《通知》指出，这些案件有的涉及房产、金融诈骗等违法行为，严重损害公证公信力，影响了公证机构社会形象。为严肃公证执业纪律，规范公证执业行为，加强公证工作管理，《通知》提出，一是不准为未查核真实身份的公证申请人办理公证。公证机构、公证员应严格审查公证申请人的身份，告知冒充他人、伪造证件、骗取公证书的法律责任后果，未经证件视读、单独谈话、交叉印证、身份证识别仪核验等程序，不得办理公证。申请人使用临时身份证，公证员未到公安部门核实的，不得受理公证申请。对涉及敏感、重大权益事项的公证申请，应当由有经验的公证人员认真审核。</w:t>
      </w:r>
    </w:p>
    <w:p>
      <w:pPr>
        <w:pStyle w:val="TextBody"/>
      </w:pPr>
      <w:hyperlink r:id="rId40">
        <w:r>
          <w:rPr>
            <w:rStyle w:val="Hyperlink"/>
          </w:rPr>
          <w:t xml:space="preserve">http://legal.china.com.cn/2017-08/15/content_41410647.htm</w:t>
        </w:r>
      </w:hyperlink>
    </w:p>
    <w:p>
      <w:pPr>
        <w:pStyle w:val="Heading3"/>
      </w:pPr>
      <w:bookmarkStart w:id="41" w:name="最高人民法院出台司法责任制实施意见"/>
      <w:bookmarkEnd w:id="41"/>
      <w:r>
        <w:t xml:space="preserve">最高人民法院出台司法责任制实施意见</w:t>
      </w:r>
    </w:p>
    <w:p>
      <w:pPr>
        <w:pStyle w:val="FirstParagraph"/>
      </w:pPr>
      <w:r>
        <w:t xml:space="preserve">近日，为贯彻落实中央要求，最高人民法院在归纳总结地方法院改革经验的基础上，结合最高人民法院职能定位和工作实际，最高人民法院印发了《最高人民法院司法责任制实施意见（试行）》（以下简称《实施意见》）。</w:t>
      </w:r>
    </w:p>
    <w:p>
      <w:pPr>
        <w:pStyle w:val="TextBody"/>
      </w:pPr>
      <w:r>
        <w:t xml:space="preserve">《实施意见》规定，最高人民法院实行合议庭办案责任制，为最高人民法院本部各审判业务庭室合议庭配备适当数量的法官助理和书记员，在巡回法庭则以法官、法官助理、书记员“1+1+1”的模式配置审判团队。《实施意见》明确，合议庭原则上随机产生，也可以根据专业化审判需要组成相对固定的合议庭，同时要求相对固定的合议庭和审判团队人员应当定期交流，期限一般为2年，最长不超过5年。《实施意见》严格限定了最高人民法院审判委员会讨论案件的范围，明确规定审判委员会仅讨论决定涉及国家利益、社会稳定的重大复杂案件等8类案件及有关案件的法律适用问题，并要求讨论案件聚焦统一裁判尺度和法律适用问题。为落实司法公开原则，《实施意见》还规定，除法律明确不予公开的情形外，审判委员会对案件的处理决定和理由应当在裁判文书中公开。</w:t>
      </w:r>
    </w:p>
    <w:p>
      <w:pPr>
        <w:pStyle w:val="TextBody"/>
      </w:pPr>
      <w:hyperlink r:id="rId42">
        <w:r>
          <w:rPr>
            <w:rStyle w:val="Hyperlink"/>
          </w:rPr>
          <w:t xml:space="preserve">http://www.court.gov.cn/fabu-xiangqing-54842.html</w:t>
        </w:r>
      </w:hyperlink>
    </w:p>
    <w:p>
      <w:pPr>
        <w:pStyle w:val="Heading3"/>
      </w:pPr>
      <w:bookmarkStart w:id="43" w:name="国家工商总局企业名称不得使用语句句群和段落"/>
      <w:bookmarkEnd w:id="43"/>
      <w:r>
        <w:t xml:space="preserve">国家工商总局：企业名称不得使用语句句群和段落</w:t>
      </w:r>
    </w:p>
    <w:p>
      <w:pPr>
        <w:pStyle w:val="FirstParagraph"/>
      </w:pPr>
      <w:r>
        <w:t xml:space="preserve">近日,国家工商总局召开媒体通气会,就近期该局发布的《关于做好新形势下企业登记注册工作有关问题的通知》(以下简称《通知》)及《企业名称禁限用规则》(以下简称《禁限用规则》)、《企业名称相同相近比对规则》(以下简称《比对规则》)进行解读。</w:t>
      </w:r>
    </w:p>
    <w:p>
      <w:pPr>
        <w:pStyle w:val="TextBody"/>
      </w:pPr>
      <w:r>
        <w:t xml:space="preserve">在《禁限用规则》中,限制性规则有15条,包括一般限制规则和特殊限制规则。企业名称“不得使用语句、句群和段落”的规定,正是出现在其中的6条企业字号限用规则中。除该条外,6条企业字号限用规则中还包括:企业名称的字号不得含有“国家级”“最高级”“最佳”等带有误导性内容和文字,但有其他含义或者作部分使用、且字号整体有其他含义的除外。另外，《通知》明确对于含有违背社会主义核心价值观的内容和文字,明示或者暗示为非营利组织,或者违背企业名称作为企业识别标识的基本功能,不以字、词或其组合作字号的,要依据《企业名称登记管理规定》第九条第一款、第二款及有关规定予以驳回或者纠正。</w:t>
      </w:r>
    </w:p>
    <w:p>
      <w:pPr>
        <w:pStyle w:val="TextBody"/>
      </w:pPr>
      <w:hyperlink r:id="rId44">
        <w:r>
          <w:rPr>
            <w:rStyle w:val="Hyperlink"/>
          </w:rPr>
          <w:t xml:space="preserve">http://www.chinacourt.org/article/detail/2017/08/id/2958220.shtml</w:t>
        </w:r>
      </w:hyperlink>
    </w:p>
    <w:p>
      <w:pPr>
        <w:pStyle w:val="Heading2"/>
      </w:pPr>
      <w:bookmarkStart w:id="45" w:name="并购"/>
      <w:bookmarkEnd w:id="45"/>
      <w:r>
        <w:t xml:space="preserve">并购</w:t>
      </w:r>
    </w:p>
    <w:p>
      <w:pPr>
        <w:pStyle w:val="Heading3"/>
      </w:pPr>
      <w:bookmarkStart w:id="46" w:name="智慧能源正式签署协议收购京航安开拓军民融合智慧机场新空间"/>
      <w:bookmarkEnd w:id="46"/>
      <w:r>
        <w:t xml:space="preserve">智慧能源：正式签署协议收购京航安，开拓军民融合智慧机场新空间</w:t>
      </w:r>
    </w:p>
    <w:p>
      <w:pPr>
        <w:pStyle w:val="FirstParagraph"/>
      </w:pPr>
      <w:r>
        <w:t xml:space="preserve">近日，智慧能源发布了股权收购协议签订的公告，远东智慧能源股份有限公司与远东控股集团有限公司分别以现金72,930万元、70,070万元收购北京京航安机场工程有限公司（以下简称“京航安”）51%、49%股权。交易完成后，公司将通过借助京航安的市场资源平台与管理团队，快速拓展国内军民融合通用航空行业和一带一路机场基础设施建设领域，加快军工产业链的延伸拓展。协议签署后，将对公司经营业绩产生积极影响。</w:t>
      </w:r>
    </w:p>
    <w:p>
      <w:pPr>
        <w:pStyle w:val="TextBody"/>
      </w:pPr>
      <w:r>
        <w:t xml:space="preserve">公开资料显示，京航安前身是北京军区空军所属企业，是一支从事机场目视助航工程、空管工程、航站楼弱电系统工程、周界安防工程、机电设备安装工程和军用机场的助航灯光工程及通信导航工程施工的专业队伍，是第一批取得原民航总局颁发的机场施工许可证的四家单位之一。目前京航安已成长为具备机场目视助航工程专业承包壹级、机场空管工程及航站楼弱电系统工程专业承包壹级、机电设备安装工程专业承包贰级、建筑智能化工程专业承包叁级等施工资质的一流机场智能方案解决商,拥有国内外近100个工程案例的业内领先企业。上市公司将借助京航安卓越的航空领域管理团队，不断拓展国内外业务，持续推进“一带一路”基础设施建设和军民融合智慧机场建设的布局，助力公司进入万亿级军工市场领域。</w:t>
      </w:r>
    </w:p>
    <w:p>
      <w:pPr>
        <w:pStyle w:val="TextBody"/>
      </w:pPr>
      <w:hyperlink r:id="rId47">
        <w:r>
          <w:rPr>
            <w:rStyle w:val="Hyperlink"/>
          </w:rPr>
          <w:t xml:space="preserve">http://yq.stcn.com/2017/0816/13561241.shtml</w:t>
        </w:r>
      </w:hyperlink>
    </w:p>
    <w:p>
      <w:pPr>
        <w:pStyle w:val="Heading3"/>
      </w:pPr>
      <w:bookmarkStart w:id="48" w:name="长盈精密1.12亿元收购科伦特推进汽车电子布局"/>
      <w:bookmarkEnd w:id="48"/>
      <w:r>
        <w:t xml:space="preserve">长盈精密1.12亿元收购科伦特，推进汽车电子布局</w:t>
      </w:r>
    </w:p>
    <w:p>
      <w:pPr>
        <w:pStyle w:val="FirstParagraph"/>
      </w:pPr>
      <w:r>
        <w:t xml:space="preserve">2017年8月14日晚间，长盈精密发布公告称，拟投资1.12亿元以增资和股权收购的方式取得苏州科伦特电源科技有限公司（以下简称“科伦特”）40%的股权。2016年11月，长盈精密曾公告通过3600万元取得科伦特30%的股权。</w:t>
      </w:r>
    </w:p>
    <w:p>
      <w:pPr>
        <w:pStyle w:val="TextBody"/>
      </w:pPr>
      <w:r>
        <w:t xml:space="preserve">本次交易完成后，公司将持有科伦特70%的控股股权，科伦特将并入公司财报。科伦特承诺2017年、2018年每年实现扣除非经常性损益后归属于母公司股东税后净利润分别不低于800万元、2000万元，即累计不低于人民币2800万元。与此同时，科伦特股权出让方将购买长盈精密股票，并同意将购买的长盈精密股票登记为限售股，自最后一次购买完成次日起12个月内不减持。长盈精密与科伦特在管理层面将实现利益共享共担，以及业务层面的协同互补，看好公司长期发展。公开资料显示，科伦特是一家软连接产品生产厂商，软连接连接器在电动汽车车体、电池、电机、电控、充电桩上均有应用，有较高的技术含量和价值。客户包括中国南车、阿尔卡特朗讯、荣迅电力电子、南京十四所（军工）等整车及pack厂商。</w:t>
      </w:r>
    </w:p>
    <w:p>
      <w:pPr>
        <w:pStyle w:val="TextBody"/>
      </w:pPr>
      <w:hyperlink r:id="rId49">
        <w:r>
          <w:rPr>
            <w:rStyle w:val="Hyperlink"/>
          </w:rPr>
          <w:t xml:space="preserve">http://company.stcn.com/2017/0815/13557796.shtml</w:t>
        </w:r>
      </w:hyperlink>
    </w:p>
    <w:p>
      <w:pPr>
        <w:pStyle w:val="Heading3"/>
      </w:pPr>
      <w:bookmarkStart w:id="50" w:name="亚泰集团1.53亿元收购永安复星52股权加码医药产业投资"/>
      <w:bookmarkEnd w:id="50"/>
      <w:r>
        <w:t xml:space="preserve">亚泰集团1.53亿元收购永安复星52%股权，加码医药产业投资</w:t>
      </w:r>
    </w:p>
    <w:p>
      <w:pPr>
        <w:pStyle w:val="FirstParagraph"/>
      </w:pPr>
      <w:r>
        <w:t xml:space="preserve">亚泰集团近日发布公告称，控股子公司吉林大药房分别出资人民币1.35亿元、0.18亿元收购复星医药持有的永安复星46%股权、北京华辰持有的永安复星6%股权，股权收购完成后，吉林大药房将持有永安复星52%股权。</w:t>
      </w:r>
    </w:p>
    <w:p>
      <w:pPr>
        <w:pStyle w:val="TextBody"/>
      </w:pPr>
      <w:r>
        <w:t xml:space="preserve">亚泰集团2016年度非公开发行A股股票已经实施完毕，募集资金净额30.13亿元（含税），拟用于亚泰医药产业园相关项目建设、建筑制品产业园项目建设及偿还银行贷款。不论是之前非公开发行募资金投向的医药项目，还是本次收购永安复星52%的股权，都应该看成是亚泰集团在不断加大医药产业的投资力度，其最终目的是将医药产业培育成公司新的支柱产业。值得一提的是，亚泰集团除了要1.53亿元收购永安复星52%股权之外，还宣布将由全资子公司亚泰超市斥资9733.71万元收购奇朔酒业100%股权。</w:t>
      </w:r>
    </w:p>
    <w:p>
      <w:pPr>
        <w:pStyle w:val="TextBody"/>
      </w:pPr>
      <w:hyperlink r:id="rId51">
        <w:r>
          <w:rPr>
            <w:rStyle w:val="Hyperlink"/>
          </w:rPr>
          <w:t xml:space="preserve">http://company.stcn.com/2017/0810/13550087.shtml</w:t>
        </w:r>
      </w:hyperlink>
    </w:p>
    <w:p>
      <w:pPr>
        <w:pStyle w:val="Heading3"/>
      </w:pPr>
      <w:bookmarkStart w:id="52" w:name="骏成科技2000万收购骏升公司100股权"/>
      <w:bookmarkEnd w:id="52"/>
      <w:r>
        <w:t xml:space="preserve">骏成科技2000万收购骏升公司100%股权</w:t>
      </w:r>
    </w:p>
    <w:p>
      <w:pPr>
        <w:pStyle w:val="FirstParagraph"/>
      </w:pPr>
      <w:r>
        <w:t xml:space="preserve">骏成科技于2017年8月15日公告，公司全资子公司香港骏成电子科技有限公司拟收购注册在中国香港的骏升显示器有限公司100%股权，交易价格2000万元。此次收购不构成关联交易，不构成重大资产重组。</w:t>
      </w:r>
    </w:p>
    <w:p>
      <w:pPr>
        <w:pStyle w:val="TextBody"/>
      </w:pPr>
      <w:r>
        <w:t xml:space="preserve">公司表示，此次收购完成后可扩大公司生产规模，可针对不同的顾客或市场进行专门的生产和服务，满足不同消费者的需求，从而提升业绩，提升市场份额；此次收购完成后公司可以集中足够的经费用于研发、生产，为客户提供更优质更适合的产品，降低成本；此次收购完成后能够大大增强企业上游原材料采购的谈判能力，从而降低原材料采购成本。</w:t>
      </w:r>
    </w:p>
    <w:p>
      <w:pPr>
        <w:pStyle w:val="TextBody"/>
      </w:pPr>
      <w:hyperlink r:id="rId53">
        <w:r>
          <w:rPr>
            <w:rStyle w:val="Hyperlink"/>
          </w:rPr>
          <w:t xml:space="preserve">http://kuaixun.stcn.com/2017/0815/13559271.shtml</w:t>
        </w:r>
      </w:hyperlink>
    </w:p>
    <w:p>
      <w:pPr>
        <w:pStyle w:val="Heading3"/>
      </w:pPr>
      <w:bookmarkStart w:id="54" w:name="天马股份拟2.55亿收购博易股份43股权"/>
      <w:bookmarkEnd w:id="54"/>
      <w:r>
        <w:t xml:space="preserve">天马股份拟2.55亿收购博易股份43%股权</w:t>
      </w:r>
    </w:p>
    <w:p>
      <w:pPr>
        <w:pStyle w:val="FirstParagraph"/>
      </w:pPr>
      <w:r>
        <w:t xml:space="preserve">博易股份2017年8月14日公告，天马股份拟收购北京明石科远创业投资中心、张麾君、张强等14名股东持有的博易股份1005万股，占总股本的43.12%，收购价格为2.55亿元。此次交易的资金来源为天马股份自筹资金。</w:t>
      </w:r>
    </w:p>
    <w:p>
      <w:pPr>
        <w:pStyle w:val="TextBody"/>
      </w:pPr>
      <w:r>
        <w:t xml:space="preserve">在2017年7月，天马股份已经作价3.38亿元收购博易股份56.34%的股权，现在再出价2.55亿元收购43.12%股份。此次收购完成后，天马股份将持有博易股份99.46%的股权。同时，博易股份承诺2017年至2019年净利润分别不低于4000万元、5200万元和6800万元。若业绩未达标，上市公司将根据不同情况扣减当期支付款项。值得一提的是，两次交易，博易股份的估值均为6亿元。资料显示，博易股份主要从事商业智能系统软件的研究、开发、销售、咨询和服务。2016年，博易股份实现营业收入1.08亿元，同比增长58%；归属于挂牌公司股东的净利润为1578万元，同比增长56%。</w:t>
      </w:r>
    </w:p>
    <w:p>
      <w:pPr>
        <w:pStyle w:val="TextBody"/>
      </w:pPr>
      <w:hyperlink r:id="rId55">
        <w:r>
          <w:rPr>
            <w:rStyle w:val="Hyperlink"/>
          </w:rPr>
          <w:t xml:space="preserve">http://company.stcn.com/2017/0815/13557511.shtml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法讯 - 中国 - 2017年8月18日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5187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51" Type="http://schemas.openxmlformats.org/officeDocument/2006/relationships/hyperlink" Target="http://company.stcn.com/2017/0810/13550087.shtml" TargetMode="External"/><Relationship Id="rId55" Type="http://schemas.openxmlformats.org/officeDocument/2006/relationships/hyperlink" Target="http://company.stcn.com/2017/0815/13557511.shtml" TargetMode="External"/><Relationship Id="rId49" Type="http://schemas.openxmlformats.org/officeDocument/2006/relationships/hyperlink" Target="http://company.stcn.com/2017/0815/13557796.shtml" TargetMode="External"/><Relationship Id="rId53" Type="http://schemas.openxmlformats.org/officeDocument/2006/relationships/hyperlink" Target="http://kuaixun.stcn.com/2017/0815/13559271.shtml" TargetMode="External"/><Relationship Id="rId40" Type="http://schemas.openxmlformats.org/officeDocument/2006/relationships/hyperlink" Target="http://legal.china.com.cn/2017-08/15/content_41410647.htm" TargetMode="External"/><Relationship Id="rId27" Type="http://schemas.openxmlformats.org/officeDocument/2006/relationships/hyperlink" Target="http://news.sina.com.cn/o/2017-08-17/doc-ifykcqav9395070.shtml" TargetMode="External"/><Relationship Id="rId35" Type="http://schemas.openxmlformats.org/officeDocument/2006/relationships/hyperlink" Target="http://politics.people.com.cn/n1/2017/0816/c1001-29472764.html" TargetMode="External"/><Relationship Id="rId44" Type="http://schemas.openxmlformats.org/officeDocument/2006/relationships/hyperlink" Target="http://www.chinacourt.org/article/detail/2017/08/id/2958220.shtml" TargetMode="External"/><Relationship Id="rId29" Type="http://schemas.openxmlformats.org/officeDocument/2006/relationships/hyperlink" Target="http://www.chinaforex.com.cn/index.php/cms/item-view-id-44619.shtml" TargetMode="External"/><Relationship Id="rId38" Type="http://schemas.openxmlformats.org/officeDocument/2006/relationships/hyperlink" Target="http://www.chinalawinfo.com/News/NewsFullText.aspx?NewsId=86833&amp;NewsType=1" TargetMode="External"/><Relationship Id="rId42" Type="http://schemas.openxmlformats.org/officeDocument/2006/relationships/hyperlink" Target="http://www.court.gov.cn/fabu-xiangqing-54842.html" TargetMode="External"/><Relationship Id="rId32" Type="http://schemas.openxmlformats.org/officeDocument/2006/relationships/hyperlink" Target="http://www.gov.cn/xinwen/2017-08/16/content_5218133.htm" TargetMode="External"/><Relationship Id="rId25" Type="http://schemas.openxmlformats.org/officeDocument/2006/relationships/hyperlink" Target="http://www.szse.cn/main/aboutus/bsyw/39774088.shtml" TargetMode="External"/><Relationship Id="rId23" Type="http://schemas.openxmlformats.org/officeDocument/2006/relationships/hyperlink" Target="http://www.szse.cn/main/aboutus/bsyw/39774198.shtml" TargetMode="External"/><Relationship Id="rId47" Type="http://schemas.openxmlformats.org/officeDocument/2006/relationships/hyperlink" Target="http://yq.stcn.com/2017/0816/13561241.shtml" TargetMode="External"/><Relationship Id="rId8" Type="http://schemas.openxmlformats.org/officeDocument/2006/relationships/hyperlink" Target="http://www.charltonslaw.com.cn/shen-zhen-zheng-quan-jiao-yi-suo-yu-pu-fa-yin-xing-kai-zhan-zhan-lve-he-zuo-tui-dong-jin-rong-he-ke-ji-shen-du-rong-he"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1" Type="http://schemas.openxmlformats.org/officeDocument/2006/relationships/hyperlink" Target="http://company.stcn.com/2017/0810/13550087.shtml" TargetMode="External"/><Relationship Id="rId55" Type="http://schemas.openxmlformats.org/officeDocument/2006/relationships/hyperlink" Target="http://company.stcn.com/2017/0815/13557511.shtml" TargetMode="External"/><Relationship Id="rId49" Type="http://schemas.openxmlformats.org/officeDocument/2006/relationships/hyperlink" Target="http://company.stcn.com/2017/0815/13557796.shtml" TargetMode="External"/><Relationship Id="rId53" Type="http://schemas.openxmlformats.org/officeDocument/2006/relationships/hyperlink" Target="http://kuaixun.stcn.com/2017/0815/13559271.shtml" TargetMode="External"/><Relationship Id="rId40" Type="http://schemas.openxmlformats.org/officeDocument/2006/relationships/hyperlink" Target="http://legal.china.com.cn/2017-08/15/content_41410647.htm" TargetMode="External"/><Relationship Id="rId27" Type="http://schemas.openxmlformats.org/officeDocument/2006/relationships/hyperlink" Target="http://news.sina.com.cn/o/2017-08-17/doc-ifykcqav9395070.shtml" TargetMode="External"/><Relationship Id="rId35" Type="http://schemas.openxmlformats.org/officeDocument/2006/relationships/hyperlink" Target="http://politics.people.com.cn/n1/2017/0816/c1001-29472764.html" TargetMode="External"/><Relationship Id="rId44" Type="http://schemas.openxmlformats.org/officeDocument/2006/relationships/hyperlink" Target="http://www.chinacourt.org/article/detail/2017/08/id/2958220.shtml" TargetMode="External"/><Relationship Id="rId29" Type="http://schemas.openxmlformats.org/officeDocument/2006/relationships/hyperlink" Target="http://www.chinaforex.com.cn/index.php/cms/item-view-id-44619.shtml" TargetMode="External"/><Relationship Id="rId38" Type="http://schemas.openxmlformats.org/officeDocument/2006/relationships/hyperlink" Target="http://www.chinalawinfo.com/News/NewsFullText.aspx?NewsId=86833&amp;NewsType=1" TargetMode="External"/><Relationship Id="rId42" Type="http://schemas.openxmlformats.org/officeDocument/2006/relationships/hyperlink" Target="http://www.court.gov.cn/fabu-xiangqing-54842.html" TargetMode="External"/><Relationship Id="rId32" Type="http://schemas.openxmlformats.org/officeDocument/2006/relationships/hyperlink" Target="http://www.gov.cn/xinwen/2017-08/16/content_5218133.htm" TargetMode="External"/><Relationship Id="rId25" Type="http://schemas.openxmlformats.org/officeDocument/2006/relationships/hyperlink" Target="http://www.szse.cn/main/aboutus/bsyw/39774088.shtml" TargetMode="External"/><Relationship Id="rId23" Type="http://schemas.openxmlformats.org/officeDocument/2006/relationships/hyperlink" Target="http://www.szse.cn/main/aboutus/bsyw/39774198.shtml" TargetMode="External"/><Relationship Id="rId47" Type="http://schemas.openxmlformats.org/officeDocument/2006/relationships/hyperlink" Target="http://yq.stcn.com/2017/0816/13561241.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2017-08-18T03:49:34Z</dcterms:created>
  <dcterms:modified xsi:type="dcterms:W3CDTF">2017-08-18T03:49:34Z</dcterms:modified>
</cp:coreProperties>
</file>