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4"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BlackStrips"/>
      </w:pPr>
      <w:r>
        <w:t>Charltons - 法讯 - 中国 - 2017年9月1日</w:t>
      </w:r>
    </w:p>
    <w:p>
      <w:pPr>
        <w:pStyle w:val="ReadOnline"/>
      </w:pPr>
      <w:hyperlink r:id="rId8">
        <w:r>
          <w:rPr/>
          <w:t>online version</w:t>
        </w:r>
      </w:hyperlink>
    </w:p>
    <w:p>
      <w:pPr>
        <w:pStyle w:val="Title"/>
      </w:pPr>
      <w:r>
        <w:t>银监会：网络借贷结构必须向公众披露信息</w:t>
      </w:r>
    </w:p>
    <w:p>
      <w:pPr>
        <w:pStyle w:val="Heading2"/>
      </w:pPr>
      <w:bookmarkStart w:id="21" w:name="资本市场"/>
      <w:bookmarkEnd w:id="21"/>
      <w:r>
        <w:t xml:space="preserve">资本市场</w:t>
      </w:r>
    </w:p>
    <w:p>
      <w:pPr>
        <w:pStyle w:val="Heading3"/>
      </w:pPr>
      <w:bookmarkStart w:id="22" w:name="银监会网络借贷结构必须向公众披露信息"/>
      <w:bookmarkEnd w:id="22"/>
      <w:r>
        <w:t xml:space="preserve">银监会：网络借贷结构必须向公众披露信息</w:t>
      </w:r>
    </w:p>
    <w:p>
      <w:pPr>
        <w:pStyle w:val="FirstParagraph"/>
      </w:pPr>
      <w:r>
        <w:t xml:space="preserve">近日，银监会发布了《网络借贷信息中介机构业务活动信息披露指引》，首次对网贷需要披露哪些信息，如何披露等进行了规范。</w:t>
      </w:r>
    </w:p>
    <w:p>
      <w:pPr>
        <w:pStyle w:val="TextBody"/>
      </w:pPr>
      <w:r>
        <w:t xml:space="preserve">银监会的规定首先明确，网络借贷信息中介机构应当在其官方网站及提供网络借贷信息中介服务的网络渠道显著位置设置信息披露专栏，信息披露必须“真实、准确、完整、及时”，不能有虚假记载、误导性陈述、重大遗漏或拖延披露。 必须向公众披露的信息包括：网贷机构的各类备案登记、经营许可信息、资金存管信息、上一年度的财务审计报告等。网贷机构还要在每月前5个工作日内，披露截止到上一个月末的撮合交易信息，包括累计借贷金额及笔数、借贷余额及笔数、逾期金额及笔数等。特别是借款人的各类信息，包括年化利率、起息日、还款来源等等，都必须一一明确。针对被责令停业、整顿等特殊事件，网贷机构必须在发生之日起48小时内把事件起因、目前状态、可能产生的影响和采取的措施向公众披露。</w:t>
      </w:r>
    </w:p>
    <w:p>
      <w:pPr>
        <w:pStyle w:val="TextBody"/>
      </w:pPr>
      <w:hyperlink r:id="rId23">
        <w:r>
          <w:rPr>
            <w:rStyle w:val="Hyperlink"/>
          </w:rPr>
          <w:t xml:space="preserve">http://www.chinalawinfo.com/News/NewsFullText.aspx?NewsId=86959&amp;NewsType=1</w:t>
        </w:r>
      </w:hyperlink>
    </w:p>
    <w:p>
      <w:pPr>
        <w:pStyle w:val="Heading3"/>
      </w:pPr>
      <w:bookmarkStart w:id="24" w:name="银监会两项政策性银行监管办法公开征求意见"/>
      <w:bookmarkEnd w:id="24"/>
      <w:r>
        <w:t xml:space="preserve">银监会：两项政策性银行监管办法公开征求意见</w:t>
      </w:r>
    </w:p>
    <w:p>
      <w:pPr>
        <w:pStyle w:val="FirstParagraph"/>
      </w:pPr>
      <w:r>
        <w:t xml:space="preserve">为深化中国进出口银行和中国农业发展银行（分别简称进出口银行和农发行）改革，弥补监管制度短板，银监会今日就《中国进出口银行监督管理办法（征求意见稿）》和《中国农业发展银行监督管理办法（征求意见稿）》（以下简称两个《办法》）向社会征求意见。</w:t>
      </w:r>
    </w:p>
    <w:p>
      <w:pPr>
        <w:pStyle w:val="TextBody"/>
      </w:pPr>
      <w:r>
        <w:t xml:space="preserve">两个《办法》均有九章，分别为总则、市场定位、公司治理、风险管理、资本管理、内部控制、激励约束、监督管理和附则，覆盖两银行经营管理和审慎监管的主要方面。两个《办法》均明确，应构建由董事会、高级管理层和监事会组成的公司治理架构，遵循各治理主体独立运作、有效制衡、相互合作、协调运转的基本原则，形成决策科学、执行有力、监督有效、激励约束合理的公司治理机制，均应在董事会下设立专门委员会，负责向董事会提供专业意见或根据董事会授权就专业事项进行决策。应设立独立于业务经营条线的全面风险管理职能部门，由其牵头履行风险管理职责。应建立由董事会、高级管理层、内控管理职能部门、内部审计部门、业务部门组成的分工合理、相互制约、职责明确、报告关系清晰的内部控制治理和组织架构，强化内部控制问题整改和责任追究。</w:t>
      </w:r>
    </w:p>
    <w:p>
      <w:pPr>
        <w:pStyle w:val="TextBody"/>
      </w:pPr>
      <w:hyperlink r:id="rId25">
        <w:r>
          <w:rPr>
            <w:rStyle w:val="Hyperlink"/>
          </w:rPr>
          <w:t xml:space="preserve">http://www.legaldaily.com.cn/Finance_and_Economics/content/2017-08/29/content_7299208.htm?node=75684</w:t>
        </w:r>
      </w:hyperlink>
    </w:p>
    <w:p>
      <w:pPr>
        <w:pStyle w:val="Heading3"/>
      </w:pPr>
      <w:bookmarkStart w:id="26" w:name="沪深交易所联合举办证券交易所一线监管国际研讨会"/>
      <w:bookmarkEnd w:id="26"/>
      <w:r>
        <w:t xml:space="preserve">沪深交易所联合举办证券交易所一线监管国际研讨会</w:t>
      </w:r>
    </w:p>
    <w:p>
      <w:pPr>
        <w:pStyle w:val="FirstParagraph"/>
      </w:pPr>
      <w:r>
        <w:t xml:space="preserve">为了深入贯彻全国金融工作会议重要精神，全面落实全国证券期货监管系统年中监管工作座谈会部署，深入推进依法全面从严监管，围绕充分发挥交易所一线监管功能这一核心，沪深交易所共同主办的证券交易所一线监管国际研讨会近日在上海召开。中国证监会主席刘士余出席研讨会并致辞。</w:t>
      </w:r>
    </w:p>
    <w:p>
      <w:pPr>
        <w:pStyle w:val="TextBody"/>
      </w:pPr>
      <w:r>
        <w:t xml:space="preserve">各交易所在研讨会上就如何发挥交易所在市场监管和风险防范中的职能，介绍了各自经验，就监管者需要如何平衡好组织发展市场与监管规范市场之间的关系、如何进一步加强行政监管与交易所自律监管的结合、如何让会员更加主动地担负起客户交易管理职责等核心问题，开展了深入讨论。 各交易所均表示，当前国际资本市场面临的问题与挑战日趋增多，防范金融风险已成为各国经济金融工作的重中之重。 特别是来自韩国、印度等新兴市场的交易所认为，以个人投资者为主的资本市场需要更加强有力的监管，交易所应当针对严重投机炒作以及运用虚假申报等方式进行不正当交易，及时予以严格监管，维护交易公平和正常交易秩序。</w:t>
      </w:r>
    </w:p>
    <w:p>
      <w:pPr>
        <w:pStyle w:val="TextBody"/>
      </w:pPr>
      <w:hyperlink r:id="rId27">
        <w:r>
          <w:rPr>
            <w:rStyle w:val="Hyperlink"/>
          </w:rPr>
          <w:t xml:space="preserve">http://www.szse.cn/main/aboutus/bsyw/39774425.shtml</w:t>
        </w:r>
      </w:hyperlink>
    </w:p>
    <w:p>
      <w:pPr>
        <w:pStyle w:val="Heading3"/>
      </w:pPr>
      <w:bookmarkStart w:id="28" w:name="新加坡与土耳其双边自贸协定今年10月生效"/>
      <w:bookmarkEnd w:id="28"/>
      <w:r>
        <w:t xml:space="preserve">新加坡与土耳其双边自贸协定今年10月生效</w:t>
      </w:r>
    </w:p>
    <w:p>
      <w:pPr>
        <w:pStyle w:val="FirstParagraph"/>
      </w:pPr>
      <w:r>
        <w:t xml:space="preserve">新加坡总理李显龙与来访土耳其总理比纳利·耶尔德勒姆日前在联合记者会上宣布，新加坡政府与土耳其国会已核准2015年签署的双边自由贸易协定，该协定将于今年10月1日生效。</w:t>
      </w:r>
    </w:p>
    <w:p>
      <w:pPr>
        <w:pStyle w:val="TextBody"/>
      </w:pPr>
      <w:r>
        <w:t xml:space="preserve">据了解，该自贸协定生效后，新加坡目前出口至土耳其的商品中，将有包括电子产品、药剂品、化学药品和加工食品在内的八成商品被减免关税，到2027年这一比率将提高至95％。新加坡则会在协定生效后立即解除对土耳其所有进口产品的关税。李显龙说，该自贸协定是新土双边关系的又一个重大里程碑。耶尔德勒姆也表示，两国贸易在过去十年有所增加，自贸协定将进一步推动双边贸易。</w:t>
      </w:r>
    </w:p>
    <w:p>
      <w:pPr>
        <w:pStyle w:val="TextBody"/>
      </w:pPr>
      <w:hyperlink r:id="rId29">
        <w:r>
          <w:rPr>
            <w:rStyle w:val="Hyperlink"/>
          </w:rPr>
          <w:t xml:space="preserve">http://www.chinaforex.com.cn/index.php/cms/item-view-id-44735.shtml</w:t>
        </w:r>
      </w:hyperlink>
    </w:p>
    <w:p>
      <w:pPr>
        <w:pStyle w:val="Heading2"/>
      </w:pPr>
      <w:bookmarkStart w:id="30" w:name="保险"/>
      <w:bookmarkEnd w:id="30"/>
      <w:r>
        <w:t xml:space="preserve">保险</w:t>
      </w:r>
    </w:p>
    <w:p>
      <w:pPr>
        <w:pStyle w:val="Heading3"/>
      </w:pPr>
      <w:bookmarkStart w:id="31" w:name="保监会坚持稳健审慎运作促进保险资金运用持续健康发展"/>
      <w:bookmarkEnd w:id="31"/>
      <w:r>
        <w:t xml:space="preserve">保监会：坚持稳健审慎运作，促进保险资金运用持续健康发展</w:t>
      </w:r>
    </w:p>
    <w:p>
      <w:pPr>
        <w:pStyle w:val="FirstParagraph"/>
      </w:pPr>
      <w:r>
        <w:t xml:space="preserve">近日，中国保险资产管理业协会战略发展专业委员会第二次会议暨保险资产管理业助力实体经济发展研讨会在宁夏银川召开。中国保监会有关部门、中国保险资产管理业协会、保险资产管理公司的主要负责同志参会。中国保监会副主席陈文辉出席会议并讲话。</w:t>
      </w:r>
    </w:p>
    <w:p>
      <w:pPr>
        <w:pStyle w:val="TextBody"/>
      </w:pPr>
      <w:r>
        <w:t xml:space="preserve">陈文辉强调，保险资金运用要坚持审慎稳健运作，深刻反思过去一个时期少数保险机构激进经营和激进投资问题并认真汲取教训，决不能使保险资金成为大股东投资控股的工具。一要培育审慎稳健的投资文化。保险资金最注重安全，树立审慎稳健的投资文化是保险资金运用的应有之义，也是保险资金运用安身立命之所在。二要坚持服务保险主业。正确处理保险的保障功能和投资功能的关系，保障是根本功能，投资是辅助功能、衍生功能，是为了更好的保障，不能本末倒置。三要提升资金运用能力。加快建立健全资产负债管理机制，强化保险机构资产负债匹配管理。加快提升股权、不动产、境外投资等不同投资领域的专业投资能力。</w:t>
      </w:r>
    </w:p>
    <w:p>
      <w:pPr>
        <w:pStyle w:val="TextBody"/>
      </w:pPr>
      <w:hyperlink r:id="rId32">
        <w:r>
          <w:rPr>
            <w:rStyle w:val="Hyperlink"/>
          </w:rPr>
          <w:t xml:space="preserve">http://www.circ.gov.cn/web/site0/tab5174/info4078946.htm</w:t>
        </w:r>
      </w:hyperlink>
    </w:p>
    <w:p>
      <w:pPr>
        <w:pStyle w:val="Heading2"/>
      </w:pPr>
      <w:bookmarkStart w:id="33" w:name="税收"/>
      <w:bookmarkEnd w:id="33"/>
      <w:r>
        <w:t xml:space="preserve">税收</w:t>
      </w:r>
    </w:p>
    <w:p>
      <w:pPr>
        <w:pStyle w:val="Heading3"/>
      </w:pPr>
      <w:bookmarkStart w:id="34" w:name="烟叶税法草案提交人大审议20税率不变"/>
      <w:bookmarkEnd w:id="34"/>
      <w:r>
        <w:t xml:space="preserve">烟叶税法草案提交人大审议，20%税率不变</w:t>
      </w:r>
    </w:p>
    <w:p>
      <w:pPr>
        <w:pStyle w:val="FirstParagraph"/>
      </w:pPr>
      <w:r>
        <w:t xml:space="preserve">《中华人民共和国烟叶税法（草案）》于2017年8月28日提请十二届全国人大常委会第二十九次会议审议，维持现行20%税率不变。</w:t>
      </w:r>
    </w:p>
    <w:p>
      <w:pPr>
        <w:pStyle w:val="TextBody"/>
      </w:pPr>
      <w:r>
        <w:t xml:space="preserve">草案明确，烟叶税纳税人为我国境内收购烟叶的单位，具体是指有权收购烟叶的烟草公司或者受其委托收购烟叶的单位；烟叶税的计税依据为纳税人收购烟叶实际支付的价款总额；为确保烟叶税法平稳实施，烟叶税税率保持20%不变。财政部部长肖捷在作关于烟叶税法草案说明时表示，国务院将烟叶税法列为2017年全面深化改革急需的立法项目。烟叶税税制比较稳定、要素基本合理，从实际执行情况看，可保持现行税制框架和税负水平基本不变，将暂行条例平移上升为法律。</w:t>
      </w:r>
    </w:p>
    <w:p>
      <w:pPr>
        <w:pStyle w:val="TextBody"/>
      </w:pPr>
      <w:hyperlink r:id="rId35">
        <w:r>
          <w:rPr>
            <w:rStyle w:val="Hyperlink"/>
          </w:rPr>
          <w:t xml:space="preserve">http://legal.china.com.cn/2017-08/29/content_41492211.htm</w:t>
        </w:r>
      </w:hyperlink>
    </w:p>
    <w:p>
      <w:pPr>
        <w:pStyle w:val="Heading2"/>
      </w:pPr>
      <w:bookmarkStart w:id="36" w:name="wto"/>
      <w:bookmarkEnd w:id="36"/>
      <w:r>
        <w:t xml:space="preserve">WTO</w:t>
      </w:r>
    </w:p>
    <w:p>
      <w:pPr>
        <w:pStyle w:val="Heading3"/>
      </w:pPr>
      <w:bookmarkStart w:id="37" w:name="美国要求调查中国农产品关税配额中国商务部称关税配额管理符合中国入世承诺"/>
      <w:bookmarkEnd w:id="37"/>
      <w:r>
        <w:t xml:space="preserve">美国要求调查中国农产品关税配额，中国商务部称关税配额管理符合中国入世承诺</w:t>
      </w:r>
    </w:p>
    <w:p>
      <w:pPr>
        <w:pStyle w:val="FirstParagraph"/>
      </w:pPr>
      <w:r>
        <w:t xml:space="preserve">针对美国向世贸组织申请成立专门小组调查中国对农产品关税配额的使用问题，商务部发言人高峰指出，关税配额制度是中国加入世贸组织时明确保留的贸易管理方式，相关农产品关税配额管理符合中国加入世贸组织的承诺和相关的世贸规则。</w:t>
      </w:r>
    </w:p>
    <w:p>
      <w:pPr>
        <w:pStyle w:val="TextBody"/>
      </w:pPr>
      <w:r>
        <w:t xml:space="preserve">高峰就此指出，日内瓦时间8月18号，美国就其诉中国的小麦、大米、玉米三种农产品进口关税配额管理措施这个案件，向世贸组织争端解决机构提出设立专家组的请求，中方也已于同日收到了美方的请求。高峰表示，中方认为，关税配额制度是中国加入世贸组织时明确保留的贸易管理方式，相关农产品关税配额管理符合中国加入世贸组织的承诺和相关的世贸规则。中方将根据世贸组织争端解决程序对本案进行妥善处理。</w:t>
      </w:r>
    </w:p>
    <w:p>
      <w:pPr>
        <w:pStyle w:val="TextBody"/>
      </w:pPr>
      <w:hyperlink r:id="rId38">
        <w:r>
          <w:rPr>
            <w:rStyle w:val="Hyperlink"/>
          </w:rPr>
          <w:t xml:space="preserve">http://www.chinaforex.com.cn/index.php/cms/item-view-id-44718.shtml</w:t>
        </w:r>
      </w:hyperlink>
    </w:p>
    <w:p>
      <w:pPr>
        <w:pStyle w:val="Heading2"/>
      </w:pPr>
      <w:bookmarkStart w:id="39" w:name="行业"/>
      <w:bookmarkEnd w:id="39"/>
      <w:r>
        <w:t xml:space="preserve">行业</w:t>
      </w:r>
    </w:p>
    <w:p>
      <w:pPr>
        <w:pStyle w:val="Heading3"/>
      </w:pPr>
      <w:bookmarkStart w:id="40" w:name="最高人民法院发布公司法司法解释四"/>
      <w:bookmarkEnd w:id="40"/>
      <w:r>
        <w:t xml:space="preserve">最高人民法院发布《公司法司法解释（四）》</w:t>
      </w:r>
    </w:p>
    <w:p>
      <w:pPr>
        <w:pStyle w:val="FirstParagraph"/>
      </w:pPr>
      <w:r>
        <w:t xml:space="preserve">2017年8月28日上午，最高人民法院召开新闻发布会，发布《关于适用〈中华人民共和国公司法〉若干问题的规定（四）》（以下简称《解释》），最高人民法院审判委员会专职委员杜万华、民二庭庭长贺小荣出席发布会介绍有关情况并回答记者提问，最高人民法院新闻发言人林文学主持发布会。</w:t>
      </w:r>
    </w:p>
    <w:p>
      <w:pPr>
        <w:pStyle w:val="TextBody"/>
      </w:pPr>
      <w:r>
        <w:t xml:space="preserve">据介绍，公司法赋予了股东查阅、复制公司章程、决议等文件材料的权利，为依法强化对股东法定知情权的保护，《解释》对股东查阅公司会计账簿可能有的不正当目的作了列举，明确划定了公司拒绝权的行使边界，并明确规定公司不得以公司章程、股东间协议等方式，实质性剥夺股东的法定知情权，并对股东聘请中介机构执业人员辅助查阅作出了规定。杜万华表示，制定《解释》，旨在加强股东权利的司法救济，妥善处理股东之间、股东与公司之间等利益冲突，尽可能避免公司僵局，是依法保障供给侧结构性改革的迫切需要，也是营造良好营商环境的迫切需要，将对提高我国公司法律制度的国际竞争力、改善投资环境起到重要作用。</w:t>
      </w:r>
    </w:p>
    <w:p>
      <w:pPr>
        <w:pStyle w:val="TextBody"/>
      </w:pPr>
      <w:hyperlink r:id="rId41">
        <w:r>
          <w:rPr>
            <w:rStyle w:val="Hyperlink"/>
          </w:rPr>
          <w:t xml:space="preserve">http://www.court.gov.cn/zixun-xiangqing-57552.html</w:t>
        </w:r>
      </w:hyperlink>
    </w:p>
    <w:p>
      <w:pPr>
        <w:pStyle w:val="Heading3"/>
      </w:pPr>
      <w:bookmarkStart w:id="42" w:name="新港口收费计费办法出台每年为企业减负2亿元"/>
      <w:bookmarkEnd w:id="42"/>
      <w:r>
        <w:t xml:space="preserve">新《港口收费计费办法》出台，每年为企业减负2亿元</w:t>
      </w:r>
    </w:p>
    <w:p>
      <w:pPr>
        <w:pStyle w:val="FirstParagraph"/>
      </w:pPr>
      <w:r>
        <w:t xml:space="preserve">日前，交通运输部会同国家发改委修订印发了《港口收费计费办法》（以下简称《办法》），并将于2017年9月15日起实施，有效期为5年。此次修订《办法》，进一步完善了港口价格形成机制，预计每年可为航运企业减负2亿元。</w:t>
      </w:r>
    </w:p>
    <w:p>
      <w:pPr>
        <w:pStyle w:val="TextBody"/>
      </w:pPr>
      <w:r>
        <w:t xml:space="preserve">《办法》主要有四方面内容：一是，改革拖轮费计费方式。将拖轮费由按拖轮马力和使用时间计收，调整为按被拖船舶的大小和类型计收，统一规定拖轮费艘次单价。二是，优化船舶引航收费结构。增设一档（8万净吨-12万净吨），并对12万净吨以上的大船引航费实行固定标准上限封顶。三是，进一步减少政府定价收费项目。将国内客运和旅游船舶港口作业费纳入港口作业包干费范围，该费用由国内客运企业向港口经营人支付，不再直接向旅客收取。四是，理货服务费实行市场调节价。目前，港口理货经营市场已经放开，因此明确理货服务费实行市场调节价，并要求各省级交通运输主管部门加快引入竞争机制，不断激发市场活力，加强市场监管和行业自律。</w:t>
      </w:r>
    </w:p>
    <w:p>
      <w:pPr>
        <w:pStyle w:val="TextBody"/>
      </w:pPr>
      <w:hyperlink r:id="rId43">
        <w:r>
          <w:rPr>
            <w:rStyle w:val="Hyperlink"/>
          </w:rPr>
          <w:t xml:space="preserve">http://www.chinanews.com/cj/2017/08-28/8315617.shtml</w:t>
        </w:r>
      </w:hyperlink>
    </w:p>
    <w:p>
      <w:pPr>
        <w:pStyle w:val="Heading3"/>
      </w:pPr>
      <w:bookmarkStart w:id="44" w:name="反不正当竞争法修订草案二审拟删除不得进行虚假交易规定"/>
      <w:bookmarkEnd w:id="44"/>
      <w:r>
        <w:t xml:space="preserve">反不正当竞争法修订草案二审，拟删除“不得进行虚假交易”规定</w:t>
      </w:r>
    </w:p>
    <w:p>
      <w:pPr>
        <w:pStyle w:val="FirstParagraph"/>
      </w:pPr>
      <w:r>
        <w:t xml:space="preserve">反不正当竞争法修订草案于2017年8月28日提请十二届全国人大常委会进行审议。与修订草案一审稿相比，二审稿删除了关于经营者“不得进行虚假交易”的规定。在实践中，这一问题拟按照虚假宣传予以处理。</w:t>
      </w:r>
    </w:p>
    <w:p>
      <w:pPr>
        <w:pStyle w:val="TextBody"/>
      </w:pPr>
      <w:r>
        <w:t xml:space="preserve">二审稿进一步细化了关于商业贿赂的条款。修订草案规定，经营者不得采用财物或者其他手段贿赂交易相对方或者可能影响交易的第三方。所谓“可能影响交易的第三方”，是指可能利用职权对交易产生影响的单位和个人。二审稿进一步明确了“可能影响交易的第三方”所指的范围，规定经营者不得采用财物或者其他手段贿赂下列单位或者个人，以谋取交易机会或者竞争优势，包括交易相对方的工作人员，受交易相对方委托办理相关事务的单位或者个人，国家机关、国有公司和企业、事业单位、人民团体，或者国家工作人员，可能利用国家工作人员的职权影响交易的其他单位或者个人。</w:t>
      </w:r>
    </w:p>
    <w:p>
      <w:pPr>
        <w:pStyle w:val="TextBody"/>
      </w:pPr>
      <w:hyperlink r:id="rId45">
        <w:r>
          <w:rPr>
            <w:rStyle w:val="Hyperlink"/>
          </w:rPr>
          <w:t xml:space="preserve">http://www.chinalawinfo.com/News/NewsFullText.aspx?NewsId=86969&amp;NewsType=1</w:t>
        </w:r>
      </w:hyperlink>
    </w:p>
    <w:p>
      <w:pPr>
        <w:pStyle w:val="Heading3"/>
      </w:pPr>
      <w:bookmarkStart w:id="46" w:name="招投标法将修改排名第一不一定中标"/>
      <w:bookmarkEnd w:id="46"/>
      <w:r>
        <w:t xml:space="preserve">招投标法将修改，排名第一不一定中标</w:t>
      </w:r>
    </w:p>
    <w:p>
      <w:pPr>
        <w:pStyle w:val="FirstParagraph"/>
      </w:pPr>
      <w:r>
        <w:t xml:space="preserve">国家发改委于2017年8月29日发布公告，修改后的《招标投标法》和《招标投标法实施条例》向社会公开征求意见。《招标投标法》共有8项内容进行了修改，《招标投标法实施条例》共有2项内容进行了修改。</w:t>
      </w:r>
    </w:p>
    <w:p>
      <w:pPr>
        <w:pStyle w:val="TextBody"/>
      </w:pPr>
      <w:r>
        <w:t xml:space="preserve">在《招标投标法实施条例》第55条中，目前的规定是，招标人应当确定排名第一的中标候选人为中标人，中标人因故不能履行合同的，则应按排序依次确定中标人或重新招标。而修改后的内容为，招标人可以根据评标委员会提出的书面评标报告和推荐的中标候选人确定中标人，也可以授权评标委员会直接确定中标人，或者在招标文件中规定排名第一的中标候选人为中标人。同时，对于自行确定中标人的，招标人要向有关行政监督部门说明理由。在对《招标投标法》第5条的修改中，加上了“国家鼓励利用信息网络进行电子招标投标。数据电文形式与纸质形式的招标投标活动具有同等法律效力”内容。电子招标投标被明确为未来一种正式的招标方式。</w:t>
      </w:r>
    </w:p>
    <w:p>
      <w:pPr>
        <w:pStyle w:val="TextBody"/>
      </w:pPr>
      <w:hyperlink r:id="rId47">
        <w:r>
          <w:rPr>
            <w:rStyle w:val="Hyperlink"/>
          </w:rPr>
          <w:t xml:space="preserve">http://legal.china.com.cn/2017-08/30/content_41499113.htm</w:t>
        </w:r>
      </w:hyperlink>
    </w:p>
    <w:p>
      <w:pPr>
        <w:pStyle w:val="Heading2"/>
      </w:pPr>
      <w:bookmarkStart w:id="48" w:name="并购"/>
      <w:bookmarkEnd w:id="48"/>
      <w:r>
        <w:t xml:space="preserve">并购</w:t>
      </w:r>
    </w:p>
    <w:p>
      <w:pPr>
        <w:pStyle w:val="Heading3"/>
      </w:pPr>
      <w:bookmarkStart w:id="49" w:name="美都能源拟14亿元收购融汇嘉恒75股权加码新能源产融结合"/>
      <w:bookmarkEnd w:id="49"/>
      <w:r>
        <w:t xml:space="preserve">美都能源拟14亿元收购融汇嘉恒75%股权，加码新能源产融结合</w:t>
      </w:r>
    </w:p>
    <w:p>
      <w:pPr>
        <w:pStyle w:val="FirstParagraph"/>
      </w:pPr>
      <w:r>
        <w:t xml:space="preserve">2017年8月27日美都能源发布公告称，美都能源与香港合丰源电子科技有限公司（以下简称“香港合丰源”）、湖州融汇嘉恒融资租赁有限公司（以下简称“融汇嘉恒融资租赁”）各方签订了《股权转让框架协议》，公司拟以不超过14.25亿元收购合丰源持有的融汇嘉恒融资租赁75%股权。</w:t>
      </w:r>
    </w:p>
    <w:p>
      <w:pPr>
        <w:pStyle w:val="TextBody"/>
      </w:pPr>
      <w:r>
        <w:t xml:space="preserve">公开资料显示，融汇嘉恒融资租赁是一家以融资租赁业务为主的公司，经营范围为融资租赁业务，租赁业务，向国内外购买租赁财产，租赁财产的残值处理及维修，租赁交易咨询；兼营与主营业务有关的商业保理业务。美都能源总裁翁永堂表示，新能源汽车上下游产业链多为资金密集型企业，对固定资产投资和流动资金需求非常大，融资租赁公司将更好地为公司上下游企业提供金融服务，将供销关系上升为产融结合的紧密合作伙伴，从而促进公司新能源主业的健康持续发展。融资租赁公司自身将显著增厚公司当期业绩，同时为公司整合新能源汽车产业链注入活力，提升公司核心业务的市场竞争力。</w:t>
      </w:r>
    </w:p>
    <w:p>
      <w:pPr>
        <w:pStyle w:val="TextBody"/>
      </w:pPr>
      <w:hyperlink r:id="rId50">
        <w:r>
          <w:rPr>
            <w:rStyle w:val="Hyperlink"/>
          </w:rPr>
          <w:t xml:space="preserve">http://company.stcn.com/2017/0828/13592428.shtml</w:t>
        </w:r>
      </w:hyperlink>
    </w:p>
    <w:p>
      <w:pPr>
        <w:pStyle w:val="Heading3"/>
      </w:pPr>
      <w:bookmarkStart w:id="51" w:name="科华生物收购广东新优55股权拓展体外诊断市场"/>
      <w:bookmarkEnd w:id="51"/>
      <w:r>
        <w:t xml:space="preserve">科华生物收购广东新优55%股权，拓展体外诊断市场</w:t>
      </w:r>
    </w:p>
    <w:p>
      <w:pPr>
        <w:pStyle w:val="FirstParagraph"/>
      </w:pPr>
      <w:r>
        <w:t xml:space="preserve">科华生物2017年8月29日晚间公告称，公司全资子公司科尚医疗拟收购珠海睿优持有的广东新优55%股权，进一步提升公司在华南四省生化诊断市场尤其中高端市场的市场份额，巩固公司在体外诊断行业的领先地位。</w:t>
      </w:r>
    </w:p>
    <w:p>
      <w:pPr>
        <w:pStyle w:val="TextBody"/>
      </w:pPr>
      <w:r>
        <w:t xml:space="preserve">对于此次收购，科华生物表示，在我国体外诊断行业的细分领域中，临床生化诊断市场目前发展成熟，拥有较大的市场规模，且保持稳定的增长态势，公司的生化产品线多年以来一直是公司的优势产品，对公司的收入和利润贡献显著。科华生物称，本次交易完成后，公司将实现自产生化试剂与国际仪器平台的合作，借助标的公司在华南四省生化诊断市场中的竞争优势，进一步提升公司在华南四省生化诊断市场尤其中高端市场的市场份额，巩固公司在体外诊断行业的领先地位。另外，根据标的公司的经营规模及其现有股东对标的公司未来营业收入和净利润的业绩承诺，本次交易完成后，公司作为标的公司的控股股东，将其纳入合并报表范围，将进一步提升公司营收规模，提升公司经营业绩。</w:t>
      </w:r>
    </w:p>
    <w:p>
      <w:pPr>
        <w:pStyle w:val="TextBody"/>
      </w:pPr>
      <w:hyperlink r:id="rId52">
        <w:r>
          <w:rPr>
            <w:rStyle w:val="Hyperlink"/>
          </w:rPr>
          <w:t xml:space="preserve">http://company.stcn.com/2017/0829/13602260.shtml</w:t>
        </w:r>
      </w:hyperlink>
    </w:p>
    <w:p>
      <w:pPr>
        <w:pStyle w:val="Heading3"/>
      </w:pPr>
      <w:bookmarkStart w:id="53" w:name="嘉麟杰收购德青源50.47股权进军生态健康产业"/>
      <w:bookmarkEnd w:id="53"/>
      <w:r>
        <w:t xml:space="preserve">嘉麟杰收购德青源50.47%股权，进军生态健康产业</w:t>
      </w:r>
    </w:p>
    <w:p>
      <w:pPr>
        <w:pStyle w:val="FirstParagraph"/>
      </w:pPr>
      <w:r>
        <w:t xml:space="preserve">2017年8月28日晚间，东旭集团旗下上市公司嘉麟杰发布重大资产重组预案，拟以现金支付加增资的方式，收购北京德青源农业科技股份有限公司50.47%的股权，使后者成为嘉麟杰控股子公司。</w:t>
      </w:r>
    </w:p>
    <w:p>
      <w:pPr>
        <w:pStyle w:val="TextBody"/>
      </w:pPr>
      <w:r>
        <w:t xml:space="preserve">根据资产收购预案，此次交易包含现金收购及增资两部分，合计金额为12.34亿元。嘉麟杰分别拟以支付现金方式向今日资本II（香港）收购其持有的德青源 8.91%的股份，股份转让对价为1.34亿元； 拟以货币出资的方式向德青源进行增资扩股 34375 万股，增资金额为 11亿元。本次交易前，嘉麟杰持有德青源 5.45%的股份，本次交易完成后，公司将持有德青源41147.846 万股，占德青源总股本的 50.47%。通过本次交易，嘉麟杰将由此切入生态健康产业，上市公司的主营业务将由单一经营纺织业务转变为纺织业和生态健康产业共同发展的业务格局。</w:t>
      </w:r>
    </w:p>
    <w:p>
      <w:pPr>
        <w:pStyle w:val="TextBody"/>
      </w:pPr>
      <w:hyperlink r:id="rId54">
        <w:r>
          <w:rPr>
            <w:rStyle w:val="Hyperlink"/>
          </w:rPr>
          <w:t xml:space="preserve">http://company.stcn.com/2017/0828/13598914.shtml</w:t>
        </w:r>
      </w:hyperlink>
    </w:p>
    <w:p>
      <w:pPr>
        <w:pStyle w:val="Heading3"/>
      </w:pPr>
      <w:bookmarkStart w:id="55" w:name="赫美集团拟5.56亿元收购崇高百货"/>
      <w:bookmarkEnd w:id="55"/>
      <w:r>
        <w:t xml:space="preserve">赫美集团拟5.56亿元收购崇高百货</w:t>
      </w:r>
    </w:p>
    <w:p>
      <w:pPr>
        <w:pStyle w:val="FirstParagraph"/>
      </w:pPr>
      <w:r>
        <w:t xml:space="preserve">赫美集团近日发布公告，全资子公司深圳赫美商业有限公司（以下简称“赫美商业”）拟以现金方式收购孙宏建、宋坚群持有的温州崇高百货有限公司（以下简称“崇高百货”）100%股权，交易对价为5.56亿元。</w:t>
      </w:r>
    </w:p>
    <w:p>
      <w:pPr>
        <w:pStyle w:val="TextBody"/>
      </w:pPr>
      <w:r>
        <w:t xml:space="preserve">据公告，赫美商业将分两次完成交易对价的支付。值得一提是，交易双方约定，基于对集团及崇高百货未来经营的信心，转让方在收到第二期股权转让款后三个月内将购买市值不低于2.5亿元的赫美集团股票。资料显示，崇高百货自1996年起从事国际知名奢侈品牌服饰授权零售业务，拥有众多国际品牌的代理权和门店及渠道资源。赫美集团表示，赫美商业对崇高百货的收购是集团对商业板块的又一次重要布局，本次收购完成后，集团将整合国际奢侈品牌运营商渠道资源，优化境外采购成本、融资成本以及国内销售运营成本，同时将大幅加强集团在商业物业领域的拓展能力。</w:t>
      </w:r>
    </w:p>
    <w:p>
      <w:pPr>
        <w:pStyle w:val="TextBody"/>
      </w:pPr>
      <w:hyperlink r:id="rId56">
        <w:r>
          <w:rPr>
            <w:rStyle w:val="Hyperlink"/>
          </w:rPr>
          <w:t xml:space="preserve">http://company.stcn.com/2017/0828/13592422.shtml</w:t>
        </w:r>
      </w:hyperlink>
    </w:p>
    <w:p>
      <w:pPr>
        <w:pStyle w:val="DisclaimerBold"/>
      </w:pPr>
      <w:r>
        <w:t>此法讯仅为提供相关资料信息之用，其内容并</w:t>
      </w:r>
    </w:p>
    <w:p>
      <w:pPr>
        <w:pStyle w:val="Disclaimer"/>
      </w:pPr>
      <w:r>
        <w:t>不构成法律建议及个案的法律分析。</w:t>
      </w:r>
    </w:p>
    <w:p>
      <w:pPr>
        <w:pStyle w:val="Disclaimer"/>
      </w:pPr>
      <w:r>
        <w:t>此法讯的发送并不是为了在易周律师行与用户或浏览者之间建立一种律师与客户之关系。</w:t>
      </w:r>
    </w:p>
    <w:p>
      <w:pPr>
        <w:pStyle w:val="Disclaimer"/>
      </w:pPr>
      <w:r>
        <w:t>易周律师行并不对可从互联网获得的任何第三方内容负责。</w:t>
      </w:r>
    </w:p>
    <w:p>
      <w:pPr>
        <w:pStyle w:val="Disclaimer"/>
      </w:pPr>
      <w:r>
        <w:t xml:space="preserve">如果您不希望收到该法讯，请电邮  </w:t>
      </w:r>
      <w:hyperlink r:id="rId9">
        <w:r>
          <w:rPr/>
          <w:t>unsubscribe@charltonslaw.com</w:t>
        </w:r>
      </w:hyperlink>
    </w:p>
    <w:p>
      <w:pPr>
        <w:pStyle w:val="BlackStrips"/>
      </w:pPr>
      <w:r>
        <w:t>Charltons - 法讯 - 中国 - 2017年9月1日</w:t>
      </w:r>
    </w:p>
    <w:sectPr>
      <w:type w:val="nextPage"/>
      <w:pgSz w:w="11906" w:h="16838"/>
      <w:pgMar w:left="864" w:right="864" w:header="0" w:top="864" w:footer="0" w:bottom="86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Consolas">
    <w:charset w:val="01"/>
    <w:family w:val="roman"/>
    <w:pitch w:val="variable"/>
  </w:font>
  <w:font w:name="Liberation Sans">
    <w:altName w:val="Arial"/>
    <w:charset w:val="01"/>
    <w:family w:val="roman"/>
    <w:pitch w:val="variable"/>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6e0135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Cs w:val="24"/>
        <w:lang w:val="en-US" w:eastAsia="en-US" w:bidi="ar-SA"/>
      </w:rPr>
    </w:rPrDefault>
    <w:pPrDefault>
      <w:pPr/>
    </w:pPrDefault>
  </w:docDefaults>
  <w:latentStyles w:defLockedState="0" w:defUIPriority="0" w:defSemiHidden="0" w:defUnhideWhenUsed="0" w:defQFormat="0" w:count="276"/>
  <w:style w:type="paragraph" w:styleId="Normal" w:default="1">
    <w:name w:val="Normal"/>
    <w:qFormat/>
    <w:pPr>
      <w:widowControl/>
      <w:bidi w:val="0"/>
      <w:spacing w:before="0" w:after="200"/>
      <w:jc w:val="left"/>
    </w:pPr>
    <w:rPr>
      <w:rFonts w:ascii="Cambria" w:hAnsi="Cambria" w:eastAsia="Cambria" w:cs="" w:asciiTheme="minorHAnsi" w:cstheme="minorBidi" w:eastAsiaTheme="minorHAnsi" w:hAnsiTheme="minorHAnsi"/>
      <w:color w:val="00000A"/>
      <w:sz w:val="24"/>
      <w:szCs w:val="24"/>
      <w:lang w:val="en-US" w:eastAsia="en-US" w:bidi="ar-SA"/>
    </w:rPr>
  </w:style>
  <w:style w:type="paragraph" w:styleId="Heading1">
    <w:name w:val="Heading 1"/>
    <w:basedOn w:val="Normal"/>
    <w:uiPriority w:val="9"/>
    <w:qFormat/>
    <w:pPr>
      <w:keepNext/>
      <w:keepLines/>
      <w:bidi w:val="0"/>
      <w:spacing w:before="480" w:after="0"/>
      <w:jc w:val="left"/>
      <w:outlineLvl w:val="0"/>
    </w:pPr>
    <w:rPr>
      <w:rFonts w:ascii="Calibri" w:hAnsi="Calibri" w:eastAsia="" w:cs="" w:asciiTheme="majorHAnsi" w:cstheme="majorBidi" w:eastAsiaTheme="majorEastAsia" w:hAnsiTheme="majorHAnsi"/>
      <w:b/>
      <w:bCs/>
      <w:color w:val="C0143C" w:themeShade="b5"/>
      <w:sz w:val="32"/>
      <w:szCs w:val="32"/>
    </w:rPr>
  </w:style>
  <w:style w:type="paragraph" w:styleId="Heading2">
    <w:name w:val="Heading 2"/>
    <w:basedOn w:val="Normal"/>
    <w:uiPriority w:val="9"/>
    <w:unhideWhenUsed/>
    <w:qFormat/>
    <w:pPr>
      <w:keepNext/>
      <w:keepLines/>
      <w:bidi w:val="0"/>
      <w:spacing w:before="200" w:after="0"/>
      <w:jc w:val="left"/>
      <w:outlineLvl w:val="1"/>
    </w:pPr>
    <w:rPr>
      <w:rFonts w:ascii="Calibri" w:hAnsi="Calibri" w:eastAsia="" w:cs="" w:asciiTheme="majorHAnsi" w:cstheme="majorBidi" w:eastAsiaTheme="majorEastAsia" w:hAnsiTheme="majorHAnsi"/>
      <w:b/>
      <w:bCs/>
      <w:color w:val="C0143C"/>
      <w:sz w:val="32"/>
      <w:szCs w:val="32"/>
    </w:rPr>
  </w:style>
  <w:style w:type="paragraph" w:styleId="Heading3">
    <w:name w:val="Heading 3"/>
    <w:basedOn w:val="Normal"/>
    <w:uiPriority w:val="9"/>
    <w:unhideWhenUsed/>
    <w:qFormat/>
    <w:pPr>
      <w:keepNext/>
      <w:keepLines/>
      <w:bidi w:val="0"/>
      <w:spacing w:before="200" w:after="0"/>
      <w:jc w:val="left"/>
      <w:outlineLvl w:val="2"/>
    </w:pPr>
    <w:rPr>
      <w:rFonts w:ascii="Calibri" w:hAnsi="Calibri" w:eastAsia="" w:cs="" w:asciiTheme="majorHAnsi" w:cstheme="majorBidi" w:eastAsiaTheme="majorEastAsia" w:hAnsiTheme="majorHAnsi"/>
      <w:b/>
      <w:bCs/>
      <w:color w:val="C0143C"/>
      <w:sz w:val="28"/>
      <w:szCs w:val="28"/>
    </w:rPr>
  </w:style>
  <w:style w:type="paragraph" w:styleId="Heading4">
    <w:name w:val="Heading 4"/>
    <w:basedOn w:val="Normal"/>
    <w:uiPriority w:val="9"/>
    <w:unhideWhenUsed/>
    <w:qFormat/>
    <w:pPr>
      <w:keepNext/>
      <w:keepLines/>
      <w:bidi w:val="0"/>
      <w:spacing w:before="200" w:after="0"/>
      <w:jc w:val="left"/>
      <w:outlineLvl w:val="3"/>
    </w:pPr>
    <w:rPr>
      <w:rFonts w:ascii="Calibri" w:hAnsi="Calibri" w:eastAsia="" w:cs="" w:asciiTheme="majorHAnsi" w:cstheme="majorBidi" w:eastAsiaTheme="majorEastAsia" w:hAnsiTheme="majorHAnsi"/>
      <w:b/>
      <w:bCs/>
      <w:color w:val="C0143C"/>
      <w:sz w:val="24"/>
      <w:szCs w:val="24"/>
    </w:rPr>
  </w:style>
  <w:style w:type="paragraph" w:styleId="Heading5">
    <w:name w:val="Heading 5"/>
    <w:basedOn w:val="Normal"/>
    <w:uiPriority w:val="9"/>
    <w:unhideWhenUsed/>
    <w:qFormat/>
    <w:pPr>
      <w:keepNext/>
      <w:keepLines/>
      <w:bidi w:val="0"/>
      <w:spacing w:before="200" w:after="0"/>
      <w:jc w:val="left"/>
      <w:outlineLvl w:val="4"/>
    </w:pPr>
    <w:rPr>
      <w:rFonts w:ascii="Calibri" w:hAnsi="Calibri" w:eastAsia="" w:cs="" w:asciiTheme="majorHAnsi" w:cstheme="majorBidi" w:eastAsiaTheme="majorEastAsia" w:hAnsiTheme="majorHAnsi"/>
      <w:i/>
      <w:iCs/>
      <w:color w:val="C0143C"/>
      <w:sz w:val="24"/>
      <w:szCs w:val="24"/>
    </w:rPr>
  </w:style>
  <w:style w:type="paragraph" w:styleId="Heading6">
    <w:name w:val="Heading 6"/>
    <w:basedOn w:val="Normal"/>
    <w:uiPriority w:val="9"/>
    <w:unhideWhenUsed/>
    <w:qFormat/>
    <w:pPr>
      <w:keepNext/>
      <w:keepLines/>
      <w:bidi w:val="0"/>
      <w:spacing w:before="200" w:after="0"/>
      <w:jc w:val="left"/>
      <w:outlineLvl w:val="5"/>
    </w:pPr>
    <w:rPr>
      <w:rFonts w:ascii="Calibri" w:hAnsi="Calibri" w:eastAsia="" w:cs="" w:asciiTheme="majorHAnsi" w:cstheme="majorBidi" w:eastAsiaTheme="majorEastAsia" w:hAnsiTheme="majorHAnsi"/>
      <w:color w:val="C0143C"/>
      <w:sz w:val="24"/>
      <w:szCs w:val="24"/>
    </w:rPr>
  </w:style>
  <w:style w:type="character" w:styleId="DefaultParagraphFont" w:default="1">
    <w:name w:val="Default Paragraph Font"/>
    <w:semiHidden/>
    <w:unhideWhenUsed/>
    <w:qFormat/>
    <w:rPr/>
  </w:style>
  <w:style w:type="character" w:styleId="BodyTextChar" w:customStyle="1">
    <w:name w:val="Body Text Char"/>
    <w:basedOn w:val="DefaultParagraphFont"/>
    <w:link w:val="BodyText"/>
    <w:qFormat/>
    <w:rPr/>
  </w:style>
  <w:style w:type="character" w:styleId="VerbatimChar" w:customStyle="1">
    <w:name w:val="Verbatim Char"/>
    <w:basedOn w:val="BodyTextChar"/>
    <w:qFormat/>
    <w:rPr>
      <w:rFonts w:ascii="Consolas" w:hAnsi="Consolas"/>
      <w:sz w:val="22"/>
    </w:rPr>
  </w:style>
  <w:style w:type="character" w:styleId="FootnoteAnchor">
    <w:name w:val="Footnote Anchor"/>
    <w:basedOn w:val="BodyTextChar"/>
    <w:rPr>
      <w:vertAlign w:val="superscript"/>
    </w:rPr>
  </w:style>
  <w:style w:type="character" w:styleId="InternetLink">
    <w:name w:val="Internet Link"/>
    <w:basedOn w:val="BodyTextChar"/>
    <w:rPr>
      <w:color w:val="C0143C"/>
    </w:rPr>
  </w:style>
  <w:style w:type="paragraph" w:styleId="Heading">
    <w:name w:val="Heading"/>
    <w:basedOn w:val="Normal"/>
    <w:next w:val="TextBody"/>
    <w:qFormat/>
    <w:pPr>
      <w:keepNext/>
      <w:spacing w:before="240" w:after="120"/>
    </w:pPr>
    <w:rPr>
      <w:rFonts w:ascii="Liberation Sans" w:hAnsi="Liberation Sans" w:eastAsia="Microsoft YaHei" w:cs="Arial Unicode MS"/>
      <w:sz w:val="28"/>
      <w:szCs w:val="28"/>
    </w:rPr>
  </w:style>
  <w:style w:type="paragraph" w:styleId="TextBody">
    <w:name w:val="Body Text"/>
    <w:basedOn w:val="Normal"/>
    <w:link w:val="BodyTextChar"/>
    <w:qFormat/>
    <w:pPr>
      <w:bidi w:val="0"/>
      <w:spacing w:before="180" w:after="180"/>
      <w:jc w:val="both"/>
    </w:pPr>
    <w:rPr/>
  </w:style>
  <w:style w:type="paragraph" w:styleId="List">
    <w:name w:val="List"/>
    <w:basedOn w:val="TextBody"/>
    <w:pPr/>
    <w:rPr>
      <w:rFonts w:cs="Arial Unicode MS"/>
    </w:rPr>
  </w:style>
  <w:style w:type="paragraph" w:styleId="Caption">
    <w:name w:val="Caption"/>
    <w:basedOn w:val="Normal"/>
    <w:link w:val="BodyTextChar"/>
    <w:qFormat/>
    <w:pPr>
      <w:spacing w:before="0" w:after="120"/>
    </w:pPr>
    <w:rPr>
      <w:i/>
    </w:rPr>
  </w:style>
  <w:style w:type="paragraph" w:styleId="Index">
    <w:name w:val="Index"/>
    <w:basedOn w:val="Normal"/>
    <w:qFormat/>
    <w:pPr>
      <w:suppressLineNumbers/>
    </w:pPr>
    <w:rPr>
      <w:rFonts w:cs="Arial Unicode MS"/>
    </w:rPr>
  </w:style>
  <w:style w:type="paragraph" w:styleId="FirstParagraph" w:customStyle="1">
    <w:name w:val="First Paragraph"/>
    <w:basedOn w:val="TextBody"/>
    <w:qFormat/>
    <w:pPr/>
    <w:rPr/>
  </w:style>
  <w:style w:type="paragraph" w:styleId="Compact" w:customStyle="1">
    <w:name w:val="Compact"/>
    <w:basedOn w:val="TextBody"/>
    <w:qFormat/>
    <w:pPr>
      <w:spacing w:before="36" w:after="36"/>
    </w:pPr>
    <w:rPr/>
  </w:style>
  <w:style w:type="paragraph" w:styleId="Title">
    <w:name w:val="Title"/>
    <w:basedOn w:val="Normal"/>
    <w:qFormat/>
    <w:pPr>
      <w:keepNext/>
      <w:keepLines/>
      <w:bidi w:val="0"/>
      <w:spacing w:before="480" w:after="240"/>
      <w:jc w:val="left"/>
    </w:pPr>
    <w:rPr>
      <w:rFonts w:ascii="Calibri" w:hAnsi="Calibri" w:eastAsia="" w:cs="" w:asciiTheme="majorHAnsi" w:cstheme="majorBidi" w:eastAsiaTheme="majorEastAsia" w:hAnsiTheme="majorHAnsi"/>
      <w:b/>
      <w:bCs/>
      <w:color w:val="C0143C" w:themeShade="b5"/>
      <w:sz w:val="36"/>
      <w:szCs w:val="36"/>
    </w:rPr>
  </w:style>
  <w:style w:type="paragraph" w:styleId="Subtitle">
    <w:name w:val="Subtitle"/>
    <w:basedOn w:val="Title"/>
    <w:qFormat/>
    <w:pPr>
      <w:keepNext/>
      <w:keepLines/>
      <w:spacing w:before="240" w:after="240"/>
      <w:jc w:val="center"/>
    </w:pPr>
    <w:rPr>
      <w:sz w:val="30"/>
      <w:szCs w:val="30"/>
    </w:rPr>
  </w:style>
  <w:style w:type="paragraph" w:styleId="Author" w:customStyle="1">
    <w:name w:val="Author"/>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Date">
    <w:name w:val="Date"/>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Abstract" w:customStyle="1">
    <w:name w:val="Abstract"/>
    <w:basedOn w:val="Normal"/>
    <w:qFormat/>
    <w:pPr>
      <w:keepNext/>
      <w:keepLines/>
      <w:spacing w:before="300" w:after="300"/>
    </w:pPr>
    <w:rPr>
      <w:sz w:val="20"/>
      <w:szCs w:val="20"/>
    </w:rPr>
  </w:style>
  <w:style w:type="paragraph" w:styleId="Bibliography">
    <w:name w:val="Bibliography"/>
    <w:basedOn w:val="Normal"/>
    <w:qFormat/>
    <w:pPr/>
    <w:rPr/>
  </w:style>
  <w:style w:type="paragraph" w:styleId="BlockText">
    <w:name w:val="Block Text"/>
    <w:basedOn w:val="TextBody"/>
    <w:uiPriority w:val="9"/>
    <w:unhideWhenUsed/>
    <w:qFormat/>
    <w:pPr>
      <w:spacing w:before="100" w:after="100"/>
      <w:ind w:hanging="0"/>
    </w:pPr>
    <w:rPr>
      <w:rFonts w:ascii="Calibri" w:hAnsi="Calibri" w:eastAsia="" w:cs="" w:asciiTheme="majorHAnsi" w:cstheme="majorBidi" w:eastAsiaTheme="majorEastAsia" w:hAnsiTheme="majorHAnsi"/>
      <w:bCs/>
      <w:sz w:val="20"/>
      <w:szCs w:val="20"/>
    </w:rPr>
  </w:style>
  <w:style w:type="paragraph" w:styleId="Footnote">
    <w:name w:val="Footnote Text"/>
    <w:basedOn w:val="Normal"/>
    <w:uiPriority w:val="9"/>
    <w:unhideWhenUsed/>
    <w:qFormat/>
    <w:pPr/>
    <w:rPr/>
  </w:style>
  <w:style w:type="paragraph" w:styleId="DefinitionTerm" w:customStyle="1">
    <w:name w:val="Definition Term"/>
    <w:basedOn w:val="Normal"/>
    <w:qFormat/>
    <w:pPr>
      <w:keepNext/>
      <w:keepLines/>
      <w:spacing w:before="0" w:after="0"/>
    </w:pPr>
    <w:rPr>
      <w:b/>
    </w:rPr>
  </w:style>
  <w:style w:type="paragraph" w:styleId="Definition" w:customStyle="1">
    <w:name w:val="Definition"/>
    <w:basedOn w:val="Normal"/>
    <w:qFormat/>
    <w:pPr/>
    <w:rPr/>
  </w:style>
  <w:style w:type="paragraph" w:styleId="TableCaption" w:customStyle="1">
    <w:name w:val="Table Caption"/>
    <w:basedOn w:val="Caption"/>
    <w:qFormat/>
    <w:pPr>
      <w:keepNext/>
    </w:pPr>
    <w:rPr/>
  </w:style>
  <w:style w:type="paragraph" w:styleId="ImageCaption" w:customStyle="1">
    <w:name w:val="Image Caption"/>
    <w:basedOn w:val="Caption"/>
    <w:qFormat/>
    <w:pPr/>
    <w:rPr/>
  </w:style>
  <w:style w:type="paragraph" w:styleId="Figure" w:customStyle="1">
    <w:name w:val="Figure"/>
    <w:basedOn w:val="Normal"/>
    <w:qFormat/>
    <w:pPr/>
    <w:rPr/>
  </w:style>
  <w:style w:type="paragraph" w:styleId="FigurewithCaption" w:customStyle="1">
    <w:name w:val="Figure with Caption"/>
    <w:basedOn w:val="Figure"/>
    <w:qFormat/>
    <w:pPr>
      <w:keepNext/>
    </w:pPr>
    <w:rPr/>
  </w:style>
  <w:style w:type="paragraph" w:styleId="TOCHeading">
    <w:name w:val="TOC Heading"/>
    <w:basedOn w:val="Heading1"/>
    <w:uiPriority w:val="39"/>
    <w:unhideWhenUsed/>
    <w:qFormat/>
    <w:pPr>
      <w:bidi w:val="0"/>
      <w:spacing w:lineRule="auto" w:line="259" w:before="240" w:after="0"/>
      <w:jc w:val="left"/>
    </w:pPr>
    <w:rPr>
      <w:rFonts w:ascii="Calibri" w:hAnsi="Calibri" w:eastAsia="" w:cs="" w:asciiTheme="majorHAnsi" w:cstheme="majorBidi" w:eastAsiaTheme="majorEastAsia" w:hAnsiTheme="majorHAnsi"/>
      <w:b w:val="false"/>
      <w:bCs w:val="false"/>
      <w:color w:val="C0143C" w:themeShade="bf"/>
    </w:rPr>
  </w:style>
  <w:style w:type="paragraph" w:styleId="Disclaimer">
    <w:name w:val="Disclaimer"/>
    <w:basedOn w:val="Normal"/>
    <w:qFormat/>
    <w:pPr>
      <w:pBdr>
        <w:top w:val="single" w:sz="2" w:space="1" w:color="000001"/>
        <w:left w:val="single" w:sz="2" w:space="1" w:color="000001"/>
        <w:bottom w:val="single" w:sz="2" w:space="1" w:color="000001"/>
        <w:right w:val="single" w:sz="2" w:space="1" w:color="000001"/>
      </w:pBdr>
      <w:shd w:val="clear" w:fill="DDDDDD"/>
      <w:bidi w:val="0"/>
      <w:spacing w:before="101" w:after="101"/>
      <w:jc w:val="both"/>
    </w:pPr>
    <w:rPr/>
  </w:style>
  <w:style w:type="paragraph" w:styleId="BlackStrips">
    <w:name w:val="Black Strips"/>
    <w:basedOn w:val="Normal"/>
    <w:qFormat/>
    <w:pPr>
      <w:shd w:val="clear" w:fill="000000"/>
      <w:bidi w:val="0"/>
      <w:jc w:val="center"/>
    </w:pPr>
    <w:rPr>
      <w:color w:val="FFFFFF"/>
    </w:rPr>
  </w:style>
  <w:style w:type="paragraph" w:styleId="DisclaimerBold">
    <w:name w:val="Disclaimer Bold"/>
    <w:basedOn w:val="Disclaimer"/>
    <w:qFormat/>
    <w:pPr>
      <w:shd w:val="clear" w:fill="DDDDDD"/>
      <w:bidi w:val="0"/>
      <w:jc w:val="left"/>
    </w:pPr>
    <w:rPr>
      <w:b/>
    </w:rPr>
  </w:style>
  <w:style w:type="paragraph" w:styleId="ReadOnline">
    <w:name w:val="Read Online"/>
    <w:basedOn w:val="Normal"/>
    <w:qFormat/>
    <w:pPr>
      <w:bidi w:val="0"/>
      <w:jc w:val="center"/>
    </w:pPr>
    <w:rPr>
      <w:sz w:val="28"/>
      <w:u w:val="single"/>
    </w:rPr>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openxmlformats.org/officeDocument/2006/relationships/footnotes" Target="footnotes.xml"/><Relationship Id="rId56" Type="http://schemas.openxmlformats.org/officeDocument/2006/relationships/hyperlink" Target="http://company.stcn.com/2017/0828/13592422.shtml" TargetMode="External"/><Relationship Id="rId50" Type="http://schemas.openxmlformats.org/officeDocument/2006/relationships/hyperlink" Target="http://company.stcn.com/2017/0828/13592428.shtml" TargetMode="External"/><Relationship Id="rId54" Type="http://schemas.openxmlformats.org/officeDocument/2006/relationships/hyperlink" Target="http://company.stcn.com/2017/0828/13598914.shtml" TargetMode="External"/><Relationship Id="rId52" Type="http://schemas.openxmlformats.org/officeDocument/2006/relationships/hyperlink" Target="http://company.stcn.com/2017/0829/13602260.shtml" TargetMode="External"/><Relationship Id="rId35" Type="http://schemas.openxmlformats.org/officeDocument/2006/relationships/hyperlink" Target="http://legal.china.com.cn/2017-08/29/content_41492211.htm" TargetMode="External"/><Relationship Id="rId47" Type="http://schemas.openxmlformats.org/officeDocument/2006/relationships/hyperlink" Target="http://legal.china.com.cn/2017-08/30/content_41499113.htm" TargetMode="External"/><Relationship Id="rId38" Type="http://schemas.openxmlformats.org/officeDocument/2006/relationships/hyperlink" Target="http://www.chinaforex.com.cn/index.php/cms/item-view-id-44718.shtml" TargetMode="External"/><Relationship Id="rId29" Type="http://schemas.openxmlformats.org/officeDocument/2006/relationships/hyperlink" Target="http://www.chinaforex.com.cn/index.php/cms/item-view-id-44735.shtml" TargetMode="External"/><Relationship Id="rId23" Type="http://schemas.openxmlformats.org/officeDocument/2006/relationships/hyperlink" Target="http://www.chinalawinfo.com/News/NewsFullText.aspx?NewsId=86959&amp;NewsType=1" TargetMode="External"/><Relationship Id="rId45" Type="http://schemas.openxmlformats.org/officeDocument/2006/relationships/hyperlink" Target="http://www.chinalawinfo.com/News/NewsFullText.aspx?NewsId=86969&amp;NewsType=1" TargetMode="External"/><Relationship Id="rId43" Type="http://schemas.openxmlformats.org/officeDocument/2006/relationships/hyperlink" Target="http://www.chinanews.com/cj/2017/08-28/8315617.shtml" TargetMode="External"/><Relationship Id="rId32" Type="http://schemas.openxmlformats.org/officeDocument/2006/relationships/hyperlink" Target="http://www.circ.gov.cn/web/site0/tab5174/info4078946.htm" TargetMode="External"/><Relationship Id="rId41" Type="http://schemas.openxmlformats.org/officeDocument/2006/relationships/hyperlink" Target="http://www.court.gov.cn/zixun-xiangqing-57552.html" TargetMode="External"/><Relationship Id="rId25" Type="http://schemas.openxmlformats.org/officeDocument/2006/relationships/hyperlink" Target="http://www.legaldaily.com.cn/Finance_and_Economics/content/2017-08/29/content_7299208.htm?node=75684" TargetMode="External"/><Relationship Id="rId27" Type="http://schemas.openxmlformats.org/officeDocument/2006/relationships/hyperlink" Target="http://www.szse.cn/main/aboutus/bsyw/39774425.shtml" TargetMode="External"/><Relationship Id="rId8" Type="http://schemas.openxmlformats.org/officeDocument/2006/relationships/hyperlink" Target="http://www.charltonslaw.com.cn/yin-jian-hui-wang-luo-jie-dai-jie-gou-bi-xu-xiang-gong-zhong-pi-lu-xin-xi" TargetMode="External"/><Relationship Id="rId9" Type="http://schemas.openxmlformats.org/officeDocument/2006/relationships/hyperlink" Target="mailto:unsubscribe@charltonslaw.com?subject=unsubscribe -Hong Kong Law-" TargetMode="External"/></Relationships>
</file>

<file path=word/_rels/footnotes.xml.rels><?xml version='1.0' encoding='UTF-8' standalone='yes'?>
<Relationships xmlns="http://schemas.openxmlformats.org/package/2006/relationships"><Relationship Id="rId56" Type="http://schemas.openxmlformats.org/officeDocument/2006/relationships/hyperlink" Target="http://company.stcn.com/2017/0828/13592422.shtml" TargetMode="External"/><Relationship Id="rId50" Type="http://schemas.openxmlformats.org/officeDocument/2006/relationships/hyperlink" Target="http://company.stcn.com/2017/0828/13592428.shtml" TargetMode="External"/><Relationship Id="rId54" Type="http://schemas.openxmlformats.org/officeDocument/2006/relationships/hyperlink" Target="http://company.stcn.com/2017/0828/13598914.shtml" TargetMode="External"/><Relationship Id="rId52" Type="http://schemas.openxmlformats.org/officeDocument/2006/relationships/hyperlink" Target="http://company.stcn.com/2017/0829/13602260.shtml" TargetMode="External"/><Relationship Id="rId35" Type="http://schemas.openxmlformats.org/officeDocument/2006/relationships/hyperlink" Target="http://legal.china.com.cn/2017-08/29/content_41492211.htm" TargetMode="External"/><Relationship Id="rId47" Type="http://schemas.openxmlformats.org/officeDocument/2006/relationships/hyperlink" Target="http://legal.china.com.cn/2017-08/30/content_41499113.htm" TargetMode="External"/><Relationship Id="rId38" Type="http://schemas.openxmlformats.org/officeDocument/2006/relationships/hyperlink" Target="http://www.chinaforex.com.cn/index.php/cms/item-view-id-44718.shtml" TargetMode="External"/><Relationship Id="rId29" Type="http://schemas.openxmlformats.org/officeDocument/2006/relationships/hyperlink" Target="http://www.chinaforex.com.cn/index.php/cms/item-view-id-44735.shtml" TargetMode="External"/><Relationship Id="rId23" Type="http://schemas.openxmlformats.org/officeDocument/2006/relationships/hyperlink" Target="http://www.chinalawinfo.com/News/NewsFullText.aspx?NewsId=86959&amp;NewsType=1" TargetMode="External"/><Relationship Id="rId45" Type="http://schemas.openxmlformats.org/officeDocument/2006/relationships/hyperlink" Target="http://www.chinalawinfo.com/News/NewsFullText.aspx?NewsId=86969&amp;NewsType=1" TargetMode="External"/><Relationship Id="rId43" Type="http://schemas.openxmlformats.org/officeDocument/2006/relationships/hyperlink" Target="http://www.chinanews.com/cj/2017/08-28/8315617.shtml" TargetMode="External"/><Relationship Id="rId32" Type="http://schemas.openxmlformats.org/officeDocument/2006/relationships/hyperlink" Target="http://www.circ.gov.cn/web/site0/tab5174/info4078946.htm" TargetMode="External"/><Relationship Id="rId41" Type="http://schemas.openxmlformats.org/officeDocument/2006/relationships/hyperlink" Target="http://www.court.gov.cn/zixun-xiangqing-57552.html" TargetMode="External"/><Relationship Id="rId25" Type="http://schemas.openxmlformats.org/officeDocument/2006/relationships/hyperlink" Target="http://www.legaldaily.com.cn/Finance_and_Economics/content/2017-08/29/content_7299208.htm?node=75684" TargetMode="External"/><Relationship Id="rId27" Type="http://schemas.openxmlformats.org/officeDocument/2006/relationships/hyperlink" Target="http://www.szse.cn/main/aboutus/bsyw/39774425.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Application>LibreOffice/5.3.2.2$MacOSX_X86_64 LibreOffice_project/6cd4f1ef626f15116896b1d8e1398b56da0d0ee1</Application>
  <Pages>1</Pages>
  <Words>2</Words>
  <Characters>11</Characters>
  <CharactersWithSpaces>12</CharactersWithSpaces>
  <Paragraphs>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terms:created xsi:type="dcterms:W3CDTF">2017-09-01T03:28:44Z</dcterms:created>
  <dcterms:modified xsi:type="dcterms:W3CDTF">2017-09-01T03:28:44Z</dcterms:modified>
</cp:coreProperties>
</file>