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4" Type="http://schemas.openxmlformats.org/officeDocument/2006/relationships/extended-properties" Target="docProps/app.xml"/><Relationship Id="rId3" Type="http://schemas.openxmlformats.org/package/2006/relationships/metadata/core-properties" Target="docProps/core.xml"/></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BlackStrips"/>
      </w:pPr>
      <w:r>
        <w:t>Charltons - 法讯 - 中国 - 2017年9月8日</w:t>
      </w:r>
    </w:p>
    <w:p>
      <w:pPr>
        <w:pStyle w:val="ReadOnline"/>
      </w:pPr>
      <w:hyperlink r:id="rId8">
        <w:r>
          <w:rPr/>
          <w:t>online version</w:t>
        </w:r>
      </w:hyperlink>
    </w:p>
    <w:p>
      <w:pPr>
        <w:pStyle w:val="Title"/>
      </w:pPr>
      <w:r>
        <w:t>证监会发布《公开募集开放式证券投资基金流动性风险管理规定》</w:t>
      </w:r>
    </w:p>
    <w:p>
      <w:pPr>
        <w:pStyle w:val="Heading2"/>
      </w:pPr>
      <w:bookmarkStart w:id="21" w:name="资本市场"/>
      <w:bookmarkEnd w:id="21"/>
      <w:r>
        <w:t xml:space="preserve">资本市场</w:t>
      </w:r>
    </w:p>
    <w:p>
      <w:pPr>
        <w:pStyle w:val="Heading3"/>
      </w:pPr>
      <w:bookmarkStart w:id="22" w:name="证监会发布公开募集开放式证券投资基金流动性风险管理规定"/>
      <w:bookmarkEnd w:id="22"/>
      <w:r>
        <w:t xml:space="preserve">证监会发布《公开募集开放式证券投资基金流动性风险管理规定》</w:t>
      </w:r>
    </w:p>
    <w:p>
      <w:pPr>
        <w:pStyle w:val="FirstParagraph"/>
      </w:pPr>
      <w:r>
        <w:t xml:space="preserve">近日，证监会发布《公开募集开放式证券投资基金流动性风险管理规定》（以下简称《管理规定》），自2017年10月1日起施行。</w:t>
      </w:r>
    </w:p>
    <w:p>
      <w:pPr>
        <w:pStyle w:val="TextBody"/>
      </w:pPr>
      <w:r>
        <w:t xml:space="preserve">《管理规定》聚焦公募基金流动性风险，进一步细化底线要求，强化机构在流动性风险管控方面的主体责任，有利于降低基金业务的结构脆弱性，促进我国公募基金行业的持续健康发展。《管理规定》以证监会公告形式发布，作为《证券投资基金法》、《公开募集证券投资基金运作管理办法》与《货币市场基金监督管理办法》的配套规范性文件，共10章41条。主要内容涵盖基金管理人内部控制以及基金产品设计、投资限制、申购赎回管理、估值与信息披露等业务环节的规范，并针对货币市场基金的流动性风险管控做出了专门规定。</w:t>
      </w:r>
    </w:p>
    <w:p>
      <w:pPr>
        <w:pStyle w:val="TextBody"/>
      </w:pPr>
      <w:hyperlink r:id="rId23">
        <w:r>
          <w:rPr>
            <w:rStyle w:val="Hyperlink"/>
          </w:rPr>
          <w:t xml:space="preserve">http://www.thepaper.cn/newsDetail_forward_1781507</w:t>
        </w:r>
      </w:hyperlink>
    </w:p>
    <w:p>
      <w:pPr>
        <w:pStyle w:val="Heading3"/>
      </w:pPr>
      <w:bookmarkStart w:id="24" w:name="证监会修订证券交易所管理办法征求意见稿公开征求意见"/>
      <w:bookmarkEnd w:id="24"/>
      <w:r>
        <w:t xml:space="preserve">证监会：修订《证券交易所管理办法》（征求意见稿）公开征求意见</w:t>
      </w:r>
    </w:p>
    <w:p>
      <w:pPr>
        <w:pStyle w:val="FirstParagraph"/>
      </w:pPr>
      <w:r>
        <w:t xml:space="preserve">自2001年修订并发布实施《证券交易所管理办法》以来，我国证券市场情况、相关法律以及证券交易所监管实践均发生了深刻变化，现行《证券交易所管理办法》逐渐滞后于市场发展实践，难以完全适应证券交易所发挥一线监管职能和保障广大中小投资者合法权益的需要。近日，中国证监会就修订《证券交易所管理办法》（征求意见稿）向社会公开征求意见。</w:t>
      </w:r>
    </w:p>
    <w:p>
      <w:pPr>
        <w:pStyle w:val="TextBody"/>
      </w:pPr>
      <w:r>
        <w:t xml:space="preserve">此次修订的重点体现在两个方面：一是优化证券交易所内部治理结构，进一步体现和发挥会员的法律地位及作用；二是进一步促进证券交易所履行一线监管职责，充分发挥自律管理作用。修订的主要内容包括：完善交易所内部治理结构，增设监事会并进一步明确会员大会、理事会、监事会、总经理的职权；突出交易所自律管理属性，明确交易所依法制定的业务规则对证券交易活动的各参与主体具有约束力；强化交易所对证券交易活动的一线监管职责，明确交易所对于异常交易行为、违规减持行为等的自律管理措施；强化交易所对会员的一线监管职责，建立健全证券交易所以监管会员为中心的交易行为监管制度，进一步明确会员的权利义务。</w:t>
      </w:r>
    </w:p>
    <w:p>
      <w:pPr>
        <w:pStyle w:val="TextBody"/>
      </w:pPr>
      <w:hyperlink r:id="rId25">
        <w:r>
          <w:rPr>
            <w:rStyle w:val="Hyperlink"/>
          </w:rPr>
          <w:t xml:space="preserve">http://www.thepaper.cn/newsDetail_forward_1781509</w:t>
        </w:r>
      </w:hyperlink>
    </w:p>
    <w:p>
      <w:pPr>
        <w:pStyle w:val="Heading3"/>
      </w:pPr>
      <w:bookmarkStart w:id="26" w:name="中国人民银行金融机构不得新发行期限超1年的同业存单"/>
      <w:bookmarkEnd w:id="26"/>
      <w:r>
        <w:t xml:space="preserve">中国人民银行：金融机构不得新发行期限超1年的同业存单</w:t>
      </w:r>
    </w:p>
    <w:p>
      <w:pPr>
        <w:pStyle w:val="FirstParagraph"/>
      </w:pPr>
      <w:r>
        <w:t xml:space="preserve">近日，为引导同业存单市场规范有序发展，中国人民银行决定将《同业存单管理暂行办法》第八条“固定利率存单期限原则上不超过1年，为1个月、3个月、6个月、9个月和1年，参考同期限上海银行间同业拆借利率定价。浮动利率存单以上海银行间同业拆借利率为浮动利率基准计息，期限原则上在1年以上，包括1年、2年和3年”的内容修改为“同业存单期限不超过1年，为1个月、3个月、6个月、9个月和1年，可按固定利率或浮动利率计息，并参考同期限上海银行间同业拆借利率定价”。</w:t>
      </w:r>
    </w:p>
    <w:p>
      <w:pPr>
        <w:pStyle w:val="TextBody"/>
      </w:pPr>
      <w:r>
        <w:t xml:space="preserve">所谓同业存单，指由存款类金融机构（政策性银行、商业银行、农村合作金融机构以及央行认可的其他金融机构）在全国银行间市场上发行的记账式定期存款凭证，是一种货币市场工具。对于不得新发一年期以上同业存单市场的影响，央行金融研究所所长孙国峰在接受《金融时报》记者采访时表示，此举有利于适当缩短同业存单业务期限，促使同业存单回归其调剂金融体系内部资金余缺的本质属性，避免金融资源长期在金融体系内流转，加大金融支持实体经济的力度。</w:t>
      </w:r>
    </w:p>
    <w:p>
      <w:pPr>
        <w:pStyle w:val="TextBody"/>
      </w:pPr>
      <w:hyperlink r:id="rId27">
        <w:r>
          <w:rPr>
            <w:rStyle w:val="Hyperlink"/>
          </w:rPr>
          <w:t xml:space="preserve">http://www.thepaper.cn/newsDetail_forward_1780598</w:t>
        </w:r>
      </w:hyperlink>
    </w:p>
    <w:p>
      <w:pPr>
        <w:pStyle w:val="Heading3"/>
      </w:pPr>
      <w:bookmarkStart w:id="28" w:name="银监会发布信托登记管理办法"/>
      <w:bookmarkEnd w:id="28"/>
      <w:r>
        <w:t xml:space="preserve">银监会发布《信托登记管理办法》</w:t>
      </w:r>
    </w:p>
    <w:p>
      <w:pPr>
        <w:pStyle w:val="FirstParagraph"/>
      </w:pPr>
      <w:r>
        <w:t xml:space="preserve">近日，为建立全国统一的信托登记制度，进一步促进信托业持续健康发展，保护信托当事人的合法权益，银监会发布《信托登记管理办法》（简称《办法》）。</w:t>
      </w:r>
    </w:p>
    <w:p>
      <w:pPr>
        <w:pStyle w:val="TextBody"/>
      </w:pPr>
      <w:r>
        <w:t xml:space="preserve">《办法》按照“集中登记、依法操作、规范管理、有效监督”的总体原则，主要规定了信托登记的定义及流程、信托受益权账户管理及信托登记信息管理、监管要求等，构建了我国信托业统一的信托登记制度。《办法》规定，信托登记包括预登记、初始登记、变更登记、终止登记和更正登记，中国信托登记有限责任公司（简称信托登记公司）接受信托登记申请，依法办理信托登记业务。信托登记公司以提供信托业基础服务为主要职能，不以盈利为主要目的，免收信托登记费。《办法》强调信托登记信息受法律保护，对信托登记信息的管理和使用提出了严格的保密要求。为确保信托登记工作稳妥起步，《办法》设立3个月过渡期。</w:t>
      </w:r>
    </w:p>
    <w:p>
      <w:pPr>
        <w:pStyle w:val="TextBody"/>
      </w:pPr>
      <w:hyperlink r:id="rId29">
        <w:r>
          <w:rPr>
            <w:rStyle w:val="Hyperlink"/>
          </w:rPr>
          <w:t xml:space="preserve">http://www.sohu.com/a/168503401_465587</w:t>
        </w:r>
      </w:hyperlink>
    </w:p>
    <w:p>
      <w:pPr>
        <w:pStyle w:val="Heading3"/>
      </w:pPr>
      <w:bookmarkStart w:id="30" w:name="私募基金管理条例征求意见抓住资金募集投资运作两个环节"/>
      <w:bookmarkEnd w:id="30"/>
      <w:r>
        <w:t xml:space="preserve">私募基金管理条例征求意见：抓住资金募集、投资运作两个环节</w:t>
      </w:r>
    </w:p>
    <w:p>
      <w:pPr>
        <w:pStyle w:val="FirstParagraph"/>
      </w:pPr>
      <w:r>
        <w:t xml:space="preserve">近日，国务院法制办就《私募投资基金管理暂行条例（征求意见稿）》公开征求意见，旨在进一步规范私募投资基金活动，保护投资者及相关当事人的合法权益。</w:t>
      </w:r>
    </w:p>
    <w:p>
      <w:pPr>
        <w:pStyle w:val="TextBody"/>
      </w:pPr>
      <w:r>
        <w:t xml:space="preserve">国务院法制办在征求意见稿的说明中指出，近年来，我国私募基金行业快速发展，但也存在以私募名义变相公开募集资金、部分私募基金资金募集和投资运作不规范等问题，有必要制定专门的行政法规，为规范私募基金活动、保护投资者合法权益提供有效的法律依据。征求意见稿突出风险防范和投资者权益保护，紧紧围绕防范风险和保护投资者合法权益的目标，以规范基金管理人、基金托管人、基金服务机构的行为为着力点，抓住资金募集、投资运作两个关键环节，作出有针对性的制度安排。同时，坚持适度监管，发挥行业自律和诚信约束作用，在有效规范行为的同时，保持市场活力。</w:t>
      </w:r>
    </w:p>
    <w:p>
      <w:pPr>
        <w:pStyle w:val="TextBody"/>
      </w:pPr>
      <w:hyperlink r:id="rId31">
        <w:r>
          <w:rPr>
            <w:rStyle w:val="Hyperlink"/>
          </w:rPr>
          <w:t xml:space="preserve">http://www.thepaper.cn/newsDetail_forward_1779701</w:t>
        </w:r>
      </w:hyperlink>
    </w:p>
    <w:p>
      <w:pPr>
        <w:pStyle w:val="Heading2"/>
      </w:pPr>
      <w:bookmarkStart w:id="32" w:name="保险"/>
      <w:bookmarkEnd w:id="32"/>
      <w:r>
        <w:t xml:space="preserve">保险</w:t>
      </w:r>
    </w:p>
    <w:p>
      <w:pPr>
        <w:pStyle w:val="Heading3"/>
      </w:pPr>
      <w:bookmarkStart w:id="33" w:name="保监会人民银行国家发展改革委等31个部门联合发布关于对保险领域违法失信相关责任主体实施联合惩戒的合作备忘录"/>
      <w:bookmarkEnd w:id="33"/>
      <w:r>
        <w:t xml:space="preserve">保监会、人民银行、国家发展改革委等31个部门联合发布《关于对保险领域违法失信相关责任主体实施联合惩戒的合作备忘录》</w:t>
      </w:r>
    </w:p>
    <w:p>
      <w:pPr>
        <w:pStyle w:val="FirstParagraph"/>
      </w:pPr>
      <w:r>
        <w:t xml:space="preserve">近日，国家发展改革委、中国人民银行、保监会联合社会信用体系建设部际联席会议有关成员单位在京召开《关于对保险领域违法失信相关责任主体实施联合惩戒的合作备忘录》（以下简称《备忘录》）发布会。保监会副主席梁涛出席发布会并讲话。</w:t>
      </w:r>
    </w:p>
    <w:p>
      <w:pPr>
        <w:pStyle w:val="TextBody"/>
      </w:pPr>
      <w:r>
        <w:t xml:space="preserve">《备忘录》有三个特点。一是参与部门多，共有31个部门参与签署并实施《备忘录》；二是惩戒范围广，既包括各类保险机构、保险从业人员，又包括存在严重违法失信行为的保险市场活动相关的其他机构和人员；三是惩戒措施实，《备忘录》针对保险领域违法违规失信行为的特点，选取重点领域和关键环节，制定了切实可行的惩戒措施。《备忘录》内容涵盖保险领域失信联合惩戒对象、惩戒措施、惩戒方式、信息共享、信息管理等5个方面，核心是6大类28项联合惩戒措施：一是限制联合惩戒对象市场准入；二是限制联合惩戒对象任职资格；三是加强对联合惩戒对象监管；四是限制联合惩戒对象部分消费行为；五是限制联合惩戒对象享受优惠政策；六是限制联合惩戒对象评优表彰。</w:t>
      </w:r>
    </w:p>
    <w:p>
      <w:pPr>
        <w:pStyle w:val="TextBody"/>
      </w:pPr>
      <w:hyperlink r:id="rId34">
        <w:r>
          <w:rPr>
            <w:rStyle w:val="Hyperlink"/>
          </w:rPr>
          <w:t xml:space="preserve">http://www.circ.gov.cn/web/site0/tab5174/info4080435.htm</w:t>
        </w:r>
      </w:hyperlink>
    </w:p>
    <w:p>
      <w:pPr>
        <w:pStyle w:val="Heading2"/>
      </w:pPr>
      <w:bookmarkStart w:id="35" w:name="税收"/>
      <w:bookmarkEnd w:id="35"/>
      <w:r>
        <w:t xml:space="preserve">税收</w:t>
      </w:r>
    </w:p>
    <w:p>
      <w:pPr>
        <w:pStyle w:val="Heading3"/>
      </w:pPr>
      <w:bookmarkStart w:id="36" w:name="国家税务总局发布关于卷烟消费税计税价格核定管理有关问题的公告"/>
      <w:bookmarkEnd w:id="36"/>
      <w:r>
        <w:t xml:space="preserve">国家税务总局发布《关于卷烟消费税计税价格核定管理有关问题的公告》</w:t>
      </w:r>
    </w:p>
    <w:p>
      <w:pPr>
        <w:pStyle w:val="FirstParagraph"/>
      </w:pPr>
      <w:r>
        <w:t xml:space="preserve">为进一步规范卷烟消费税计税价格（以下简称“计税价格”）核定管理工作，近日，国家税务总局发布《关于卷烟消费税计税价格核定管理有关问题的公告》（以下简称《公告》）。</w:t>
      </w:r>
    </w:p>
    <w:p>
      <w:pPr>
        <w:pStyle w:val="TextBody"/>
      </w:pPr>
      <w:r>
        <w:t xml:space="preserve">《公告》中指出，对于因卷烟批发企业申报《卷烟批发企业月份销售明细清单》中销售价格信息错误,造成纳税人对税务总局核定的计税价格有异议的，纳税人可自计税价格执行之日起向主管税务机关提出调整计税价格的申请。主管税务机关收到申请后,应核实纳税人该牌号规格卷烟的生产经营情况，计算该牌号规格卷烟自正式投产以来的加权平均销售价格，对确需调整计税价格的，应于收到申请后25日内，将申请调整计税价格文件逐级上报至税务总局。税务总局收到文件后, 重新采集该牌号规格卷烟批发环节销售价格，采集期为已核定计税价格执行之日起连续6个月,采集期满后调整并发布计税价格。</w:t>
      </w:r>
    </w:p>
    <w:p>
      <w:pPr>
        <w:pStyle w:val="TextBody"/>
      </w:pPr>
      <w:hyperlink r:id="rId37">
        <w:r>
          <w:rPr>
            <w:rStyle w:val="Hyperlink"/>
          </w:rPr>
          <w:t xml:space="preserve">http://www.chinatax.gov.cn/n810341/n810755/c2795786/content.html</w:t>
        </w:r>
      </w:hyperlink>
    </w:p>
    <w:p>
      <w:pPr>
        <w:pStyle w:val="Heading2"/>
      </w:pPr>
      <w:bookmarkStart w:id="38" w:name="知识产权"/>
      <w:bookmarkEnd w:id="38"/>
      <w:r>
        <w:t xml:space="preserve">知识产权</w:t>
      </w:r>
    </w:p>
    <w:p>
      <w:pPr>
        <w:pStyle w:val="Heading3"/>
      </w:pPr>
      <w:bookmarkStart w:id="39" w:name="工商总局商标审查协作中心加强商标注册申请审限及不良影响商标管控"/>
      <w:bookmarkEnd w:id="39"/>
      <w:r>
        <w:t xml:space="preserve">工商总局商标审查协作中心加强商标注册申请审限及不良影响商标管控</w:t>
      </w:r>
    </w:p>
    <w:p>
      <w:pPr>
        <w:pStyle w:val="FirstParagraph"/>
      </w:pPr>
      <w:r>
        <w:t xml:space="preserve">随着我国商标注册申请量连续快速增长，商标审查时限备受社会各界关注。国家工商总局商标审查协作中心在坚持以往工作机制的基础上，于近日出台《商标审查协作中心关于商标注册申请审限与不良影响商标管控措施》（以下简称《措施》），对审限严格把关，对不良影响商标加大事前、事中和事后的监控管控，从制度上为控制及缩短时限，进一步提升商标审查质量提供保障。</w:t>
      </w:r>
    </w:p>
    <w:p>
      <w:pPr>
        <w:pStyle w:val="TextBody"/>
      </w:pPr>
      <w:r>
        <w:t xml:space="preserve">在加强商标注册申请审查审限管控方面，《措施》要求合理统筹，制定审前计划；跟踪进度，实行审限预警；强化责任，加强审中监控。同时要求审查人员严格执行《商标审查协作中心关于商标注册申请实质审查工作暂行规定》，进一步强化各审查部门、科室负责人的管理职责。在加强不良影响商标的管控方面，《措施》要求通过形式审查环节提前预警，通过实质审查环节重点管控，通过中心质检环节严格把关，建立应急处理机制。《措施》还对加大处罚力度作出详细规定，以确保执行效果。</w:t>
      </w:r>
    </w:p>
    <w:p>
      <w:pPr>
        <w:pStyle w:val="TextBody"/>
      </w:pPr>
      <w:hyperlink r:id="rId40">
        <w:r>
          <w:rPr>
            <w:rStyle w:val="Hyperlink"/>
          </w:rPr>
          <w:t xml:space="preserve">http://www.gov.cn/xinwen/2017-09/04/content_5222522.htm</w:t>
        </w:r>
      </w:hyperlink>
    </w:p>
    <w:p>
      <w:pPr>
        <w:pStyle w:val="Heading2"/>
      </w:pPr>
      <w:bookmarkStart w:id="41" w:name="行业"/>
      <w:bookmarkEnd w:id="41"/>
      <w:r>
        <w:t xml:space="preserve">行业</w:t>
      </w:r>
    </w:p>
    <w:p>
      <w:pPr>
        <w:pStyle w:val="Heading3"/>
      </w:pPr>
      <w:bookmarkStart w:id="42" w:name="工商总局等七部门发布关于防范代币发行融资风险的公告"/>
      <w:bookmarkEnd w:id="42"/>
      <w:r>
        <w:t xml:space="preserve">工商总局等七部门发布关于防范代币发行融资风险的公告</w:t>
      </w:r>
    </w:p>
    <w:p>
      <w:pPr>
        <w:pStyle w:val="FirstParagraph"/>
      </w:pPr>
      <w:r>
        <w:t xml:space="preserve">近期，国内通过发行代币形式包括首次代币发行（ICO）进行融资的活动大量涌现，投机炒作盛行，涉嫌从事非法金融活动，严重扰乱了经济金融秩序。为保护投资者合法权益，防范化解金融风险，工商总局等七部门发布《关于防范代币发行融资风险的公告》（以下简称《公告》）。</w:t>
      </w:r>
    </w:p>
    <w:p>
      <w:pPr>
        <w:pStyle w:val="TextBody"/>
      </w:pPr>
      <w:r>
        <w:t xml:space="preserve">《公告》中指出，代币发行融资是指融资主体通过代币的违规发售、流通，向投资者筹集比特币、以太币等所谓“虚拟货币”，本质上是一种未经批准非法公开融资的行为，涉嫌非法发售代币票券、非法发行证券以及非法集资、金融诈骗、传销等违法犯罪活动。有关部门将密切监测有关动态，加强与司法部门和地方政府的工作协同，按照现行工作机制，严格执法，坚决治理市场乱象。发现涉嫌犯罪问题，将移送司法机关。代币发行融资中使用的代币或“虚拟货币”不由货币当局发行，不具有法偿性与强制性等货币属性，不具有与货币等同的法律地位，不能也不应作为货币在市场上流通使用。</w:t>
      </w:r>
    </w:p>
    <w:p>
      <w:pPr>
        <w:pStyle w:val="TextBody"/>
      </w:pPr>
      <w:hyperlink r:id="rId43">
        <w:r>
          <w:rPr>
            <w:rStyle w:val="Hyperlink"/>
          </w:rPr>
          <w:t xml:space="preserve">http://www.saic.gov.cn/xw/yw/zj/201709/t20170904_268839.html</w:t>
        </w:r>
      </w:hyperlink>
    </w:p>
    <w:p>
      <w:pPr>
        <w:pStyle w:val="Heading3"/>
      </w:pPr>
      <w:bookmarkStart w:id="44" w:name="住房城乡建设部要求严厉打击安全生产非法违法行为"/>
      <w:bookmarkEnd w:id="44"/>
      <w:r>
        <w:t xml:space="preserve">住房城乡建设部：要求严厉打击安全生产非法违法行为</w:t>
      </w:r>
    </w:p>
    <w:p>
      <w:pPr>
        <w:pStyle w:val="FirstParagraph"/>
      </w:pPr>
      <w:r>
        <w:t xml:space="preserve">今年以来，全国建筑施工安全生产形势严峻，一些企业安全生产非法违法行为屡禁不止，安全事故时有发生，给人民群众生命财产造成重大损失。日前，住房城乡建设部办公厅下发《关于严厉打击建筑施工安全生产非法违法行为的通知》（以下简称《通知》），严厉打击建筑施工安全生产非法违法行为。</w:t>
      </w:r>
    </w:p>
    <w:p>
      <w:pPr>
        <w:pStyle w:val="TextBody"/>
      </w:pPr>
      <w:r>
        <w:t xml:space="preserve">《通知》中指出，要强化资质资格管理相关处罚措施的适用，对较大事故负有责任的建设、施工、监理等单位，依法责令停业整顿，对重大及以上事故负有责任的，依法降低资质等级或吊销资质证书；对事故负有责任的有关人员，依法责令停止执业或吊销执业资格证书。严格执行建筑施工企业安全生产许可证动态核查制度，事故发生后，立即组织对相关建筑施工企业安全生产条件进行复核，根据安全生产条件降低情况，依法暂扣或吊销其安全生产许可证。</w:t>
      </w:r>
    </w:p>
    <w:p>
      <w:pPr>
        <w:pStyle w:val="TextBody"/>
      </w:pPr>
      <w:hyperlink r:id="rId45">
        <w:r>
          <w:rPr>
            <w:rStyle w:val="Hyperlink"/>
          </w:rPr>
          <w:t xml:space="preserve">http://www.gov.cn/xinwen/2017-09/04/content_5222541.htm</w:t>
        </w:r>
      </w:hyperlink>
    </w:p>
    <w:p>
      <w:pPr>
        <w:pStyle w:val="Heading2"/>
      </w:pPr>
      <w:bookmarkStart w:id="46" w:name="并购"/>
      <w:bookmarkEnd w:id="46"/>
      <w:r>
        <w:t xml:space="preserve">并购</w:t>
      </w:r>
    </w:p>
    <w:p>
      <w:pPr>
        <w:pStyle w:val="Heading3"/>
      </w:pPr>
      <w:bookmarkStart w:id="47" w:name="荣科科技拟2.8亿元收购神州视翰100股权"/>
      <w:bookmarkEnd w:id="47"/>
      <w:r>
        <w:t xml:space="preserve">荣科科技拟2.8亿元收购神州视翰100%股权</w:t>
      </w:r>
    </w:p>
    <w:p>
      <w:pPr>
        <w:pStyle w:val="FirstParagraph"/>
      </w:pPr>
      <w:r>
        <w:t xml:space="preserve">2017年9月5日晚，荣科科技披露了发行股份及支付现金购买资产并募集配套资金预案。据悉，荣科科技拟以发行股份及支付现金相结合的方式购买秦毅、钟小春、王正及逐鹿投资合计持有神州视翰100%的股权，并向不超过5名特定对象发行股份募集配套资金。神州视翰100%股权交易价格确定为2.8亿元，其中，上市公司以发行股份方式支付1.68亿元，以现金方式支付1.12亿元。</w:t>
      </w:r>
    </w:p>
    <w:p>
      <w:pPr>
        <w:pStyle w:val="TextBody"/>
      </w:pPr>
      <w:r>
        <w:t xml:space="preserve">荣科科技主要业务包括智慧医疗、健康数据和智能融合云两个板块，所属产品主要涉及医疗数据的采集、分析及结论诊断。自2012年成功上市并登陆资本市场后，荣科科技的资本实力和管理水平等均得到显著增强和提升。在不断开拓创新、深入发展的基础上，公司智慧医疗、健康数据和智能融合云两个板块实现了快速发展，在相关细分领域的市场地位不断提高。本次交易是荣科科技实施外延式发展策略的重要举措。通过本次交易，可以进一步完善公司在医疗信息化行业的业务布局，可拓展在医疗信息“可视化”领域业务的发展，延伸在医疗信息化行业的产业链，促进公司各业务领域的协调发展，从而提高公司在行业的市场占有率。</w:t>
      </w:r>
    </w:p>
    <w:p>
      <w:pPr>
        <w:pStyle w:val="TextBody"/>
      </w:pPr>
      <w:hyperlink r:id="rId48">
        <w:r>
          <w:rPr>
            <w:rStyle w:val="Hyperlink"/>
          </w:rPr>
          <w:t xml:space="preserve">http://company.stcn.com/2017/0906/13619202.shtml</w:t>
        </w:r>
      </w:hyperlink>
    </w:p>
    <w:p>
      <w:pPr>
        <w:pStyle w:val="Heading3"/>
      </w:pPr>
      <w:bookmarkStart w:id="49" w:name="洲明科技拟2468万元收购希和光电100股权"/>
      <w:bookmarkEnd w:id="49"/>
      <w:r>
        <w:t xml:space="preserve">洲明科技拟2468万元收购希和光电100%股权</w:t>
      </w:r>
    </w:p>
    <w:p>
      <w:pPr>
        <w:pStyle w:val="FirstParagraph"/>
      </w:pPr>
      <w:r>
        <w:t xml:space="preserve">2017年9月4日晚间，洲明科技发布公告称，拟以自有资金及银行贷款的方式以2468万元购买杭州希和光电子有限公司（以下简称“希和光电”）100%股权。据了解，洲明科技此番收购希和光电，主要是看上了希和光电的现有厂房。洲明科技表示，将利用希和光电的现有厂房作为华东基地，深耕华东地区市场。</w:t>
      </w:r>
    </w:p>
    <w:p>
      <w:pPr>
        <w:pStyle w:val="TextBody"/>
      </w:pPr>
      <w:r>
        <w:t xml:space="preserve">洲明科技表示，希和光电位于余杭经济开发区，地理位置极佳，通过本次收购，拟以希和光电为基础建设洲明科技在华东地区基地，深耕华东地区市场，增强公司对全国客户的辐射力度，进一步提升公司对客户的响应速度。洲明科技称，此次交易存在协议无法完全履行的风险。由于洲明科技在此次股权购买过程中，交易对价的支付分两次进行，如因希和光电不能按约定解除抵押等他项权利及保证责任，则存在协议无法完全履行及无法完成工商登记变更的风险。此外，希和光电拥有的房屋所有权存在抵押权实现的风险以及为关联方提供担保而产生的或有债务风险。</w:t>
      </w:r>
    </w:p>
    <w:p>
      <w:pPr>
        <w:pStyle w:val="TextBody"/>
      </w:pPr>
      <w:hyperlink r:id="rId50">
        <w:r>
          <w:rPr>
            <w:rStyle w:val="Hyperlink"/>
          </w:rPr>
          <w:t xml:space="preserve">http://company.stcn.com/2017/0906/13618780.shtml</w:t>
        </w:r>
      </w:hyperlink>
    </w:p>
    <w:p>
      <w:pPr>
        <w:pStyle w:val="Heading3"/>
      </w:pPr>
      <w:bookmarkStart w:id="51" w:name="招商轮船35.86亿元收购资产招商局集团整合航运板块"/>
      <w:bookmarkEnd w:id="51"/>
      <w:r>
        <w:t xml:space="preserve">招商轮船35.86亿元收购资产，招商局集团整合航运板块</w:t>
      </w:r>
    </w:p>
    <w:p>
      <w:pPr>
        <w:pStyle w:val="FirstParagraph"/>
      </w:pPr>
      <w:r>
        <w:t xml:space="preserve">历时4个月，招商轮船发行股份购买资产事项正式落地。根据招商轮船近日披露的草案，该公司拟以发行股份购买资产的方式，向经贸船务购买其持有的恒祥控股、深圳滚装、长航国际及经贸船务香港各100%股权，交易作价合计35.86亿元。</w:t>
      </w:r>
    </w:p>
    <w:p>
      <w:pPr>
        <w:pStyle w:val="TextBody"/>
      </w:pPr>
      <w:r>
        <w:t xml:space="preserve">招商轮船表示，完成对前述4家公司的收购后，公司将持有CVLCC100%的股权，并增加干散货船队种类，提高干散货船队服务覆盖范围；同时，公司将通过本次交易进入内贸滚装船运输市场，成为第一家拥有国内规模化、网络化滚装业务的航运上市公司。若此次交易完成，经贸船务将持有招商轮船12.56%的股权，招商局轮船对招商轮船的持股比例由47.38%变为41.43%，但仍是招商轮船的控股股东。另外，招商局集团仍是招商轮船的实际控制人，持股比例为54.24%。</w:t>
      </w:r>
    </w:p>
    <w:p>
      <w:pPr>
        <w:pStyle w:val="TextBody"/>
      </w:pPr>
      <w:hyperlink r:id="rId52">
        <w:r>
          <w:rPr>
            <w:rStyle w:val="Hyperlink"/>
          </w:rPr>
          <w:t xml:space="preserve">http://company.stcn.com/2017/0903/13612919.shtml</w:t>
        </w:r>
      </w:hyperlink>
    </w:p>
    <w:p>
      <w:pPr>
        <w:pStyle w:val="Heading3"/>
      </w:pPr>
      <w:bookmarkStart w:id="53" w:name="三七互娱拟筹14亿收购极光网络剩余20股权"/>
      <w:bookmarkEnd w:id="53"/>
      <w:r>
        <w:t xml:space="preserve">三七互娱拟筹14亿收购极光网络剩余20%股权</w:t>
      </w:r>
    </w:p>
    <w:p>
      <w:pPr>
        <w:pStyle w:val="FirstParagraph"/>
      </w:pPr>
      <w:r>
        <w:t xml:space="preserve">2017年9月4日晚间，三七互娱发布公告称，为进一步提升净利润，公司拟以14亿元现金收购江苏极光网络技术有限公司（以下简称“极光网络”）剩余20%股权，以实现全资控股。交易完成后，极光网络将成为三七互娱全资子公司。</w:t>
      </w:r>
    </w:p>
    <w:p>
      <w:pPr>
        <w:pStyle w:val="TextBody"/>
      </w:pPr>
      <w:r>
        <w:t xml:space="preserve">资料显示，极光网络成立于2013年10月，是三七互娱旗下专注页游领域研发的子公司。该公司曾成功的开发了包括《大天使之剑》《传奇霸业》在内的多款页游产品。根据方案，三七互娱拟发行可转债募资不超21亿元。其中14亿元用于前述收购，剩余资金用于网络游戏全球发行运营建设项目、大数据系统升级及IP储备项目并补充流动资金。对于未来网页游戏的发展，三七互娱在参加机构投资者电话会议上表示，今年上半年公司网页游戏确实下滑了一些，但同时公司的市场份额仅次于腾讯，持续保持第二，并且远高于市场第三名的水平。重点的产品将在下半年陆续上线，期待下半年给整个页游市场带来活力和信心。</w:t>
      </w:r>
    </w:p>
    <w:p>
      <w:pPr>
        <w:pStyle w:val="TextBody"/>
      </w:pPr>
      <w:hyperlink r:id="rId54">
        <w:r>
          <w:rPr>
            <w:rStyle w:val="Hyperlink"/>
          </w:rPr>
          <w:t xml:space="preserve">http://company.stcn.com/2017/0905/13615983.shtml</w:t>
        </w:r>
      </w:hyperlink>
    </w:p>
    <w:p>
      <w:pPr>
        <w:pStyle w:val="Heading3"/>
      </w:pPr>
      <w:bookmarkStart w:id="55" w:name="贵人鸟宣布终止收购威康健身"/>
      <w:bookmarkEnd w:id="55"/>
      <w:r>
        <w:t xml:space="preserve">贵人鸟宣布终止收购威康健身</w:t>
      </w:r>
    </w:p>
    <w:p>
      <w:pPr>
        <w:pStyle w:val="FirstParagraph"/>
      </w:pPr>
      <w:r>
        <w:t xml:space="preserve">贵人鸟于2017年9月5日晚间发布关于终止重大资产重组的公告，称本次重组交易双方在交易对价和支付方式等关键条款上无法达成一致，交易双方认为继续推进本次重大资产重组的条件不够成熟，为保护上市公司和广大投资者利益，交易双方决定终止本次重大资产重组事项。</w:t>
      </w:r>
    </w:p>
    <w:p>
      <w:pPr>
        <w:pStyle w:val="TextBody"/>
      </w:pPr>
      <w:r>
        <w:t xml:space="preserve">据了解，此次终止的重大资产重组事项为贵人鸟之前筹划的收购威康健身100%股权，交易作价27亿元。耗时9个月的收购在近日突然宣布终止。据财新网报道，一位接近交易的健身人士称，双方对交易结构意见不统一：贵人鸟希望少给一些现金，多给一些股份；而由于贵人鸟股价低迷，威康健身希望多拿到现金，以支持后续开店的资金需要。</w:t>
      </w:r>
    </w:p>
    <w:p>
      <w:pPr>
        <w:pStyle w:val="TextBody"/>
      </w:pPr>
      <w:r>
        <w:t xml:space="preserve">贵人鸟于去年收购了运动服鞋零售商杰之行、线上零售商名鞋库及西班牙足球经济公司BOY后，顺势获得耐克、阿迪达斯、UA、李宁、匡威、彪马、新百伦等品牌的代理业务，这对公司的整体收入贡献良多，但随之而来的财务费用及管理费用也相应上涨，如今年上半年对AND1品牌的管理费投入超过1亿元。</w:t>
      </w:r>
    </w:p>
    <w:p>
      <w:pPr>
        <w:pStyle w:val="TextBody"/>
      </w:pPr>
      <w:hyperlink r:id="rId56">
        <w:r>
          <w:rPr>
            <w:rStyle w:val="Hyperlink"/>
          </w:rPr>
          <w:t xml:space="preserve">http://company.stcn.com/2017/0907/13621329.shtml</w:t>
        </w:r>
      </w:hyperlink>
    </w:p>
    <w:p>
      <w:pPr>
        <w:pStyle w:val="DisclaimerBold"/>
      </w:pPr>
      <w:r>
        <w:t>此法讯仅为提供相关资料信息之用，其内容并</w:t>
      </w:r>
    </w:p>
    <w:p>
      <w:pPr>
        <w:pStyle w:val="Disclaimer"/>
      </w:pPr>
      <w:r>
        <w:t>不构成法律建议及个案的法律分析。</w:t>
      </w:r>
    </w:p>
    <w:p>
      <w:pPr>
        <w:pStyle w:val="Disclaimer"/>
      </w:pPr>
      <w:r>
        <w:t>此法讯的发送并不是为了在易周律师行与用户或浏览者之间建立一种律师与客户之关系。</w:t>
      </w:r>
    </w:p>
    <w:p>
      <w:pPr>
        <w:pStyle w:val="Disclaimer"/>
      </w:pPr>
      <w:r>
        <w:t>易周律师行并不对可从互联网获得的任何第三方内容负责。</w:t>
      </w:r>
    </w:p>
    <w:p>
      <w:pPr>
        <w:pStyle w:val="Disclaimer"/>
      </w:pPr>
      <w:r>
        <w:t xml:space="preserve">如果您不希望收到该法讯，请电邮  </w:t>
      </w:r>
      <w:hyperlink r:id="rId9">
        <w:r>
          <w:rPr/>
          <w:t>unsubscribe@charltonslaw.com</w:t>
        </w:r>
      </w:hyperlink>
    </w:p>
    <w:p>
      <w:pPr>
        <w:pStyle w:val="BlackStrips"/>
      </w:pPr>
      <w:r>
        <w:t>Charltons - 法讯 - 中国 - 2017年9月8日</w:t>
      </w:r>
    </w:p>
    <w:sectPr>
      <w:type w:val="nextPage"/>
      <w:pgSz w:w="11906" w:h="16838"/>
      <w:pgMar w:left="864" w:right="864" w:header="0" w:top="864" w:footer="0" w:bottom="864"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Calibri">
    <w:charset w:val="01"/>
    <w:family w:val="roman"/>
    <w:pitch w:val="variable"/>
  </w:font>
  <w:font w:name="Consolas">
    <w:charset w:val="01"/>
    <w:family w:val="roman"/>
    <w:pitch w:val="variable"/>
  </w:font>
  <w:font w:name="Liberation Sans">
    <w:altName w:val="Arial"/>
    <w:charset w:val="01"/>
    <w:family w:val="roman"/>
    <w:pitch w:val="variable"/>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916894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Cambria" w:cs="" w:asciiTheme="minorHAnsi" w:cstheme="minorBidi" w:eastAsiaTheme="minorHAnsi" w:hAnsiTheme="minorHAnsi"/>
        <w:szCs w:val="24"/>
        <w:lang w:val="en-US" w:eastAsia="en-US" w:bidi="ar-SA"/>
      </w:rPr>
    </w:rPrDefault>
    <w:pPrDefault>
      <w:pPr/>
    </w:pPrDefault>
  </w:docDefaults>
  <w:latentStyles w:defLockedState="0" w:defUIPriority="0" w:defSemiHidden="0" w:defUnhideWhenUsed="0" w:defQFormat="0" w:count="276"/>
  <w:style w:type="paragraph" w:styleId="Normal" w:default="1">
    <w:name w:val="Normal"/>
    <w:qFormat/>
    <w:pPr>
      <w:widowControl/>
      <w:bidi w:val="0"/>
      <w:spacing w:before="0" w:after="200"/>
      <w:jc w:val="left"/>
    </w:pPr>
    <w:rPr>
      <w:rFonts w:ascii="Cambria" w:hAnsi="Cambria" w:eastAsia="Cambria" w:cs="" w:asciiTheme="minorHAnsi" w:cstheme="minorBidi" w:eastAsiaTheme="minorHAnsi" w:hAnsiTheme="minorHAnsi"/>
      <w:color w:val="00000A"/>
      <w:sz w:val="24"/>
      <w:szCs w:val="24"/>
      <w:lang w:val="en-US" w:eastAsia="en-US" w:bidi="ar-SA"/>
    </w:rPr>
  </w:style>
  <w:style w:type="paragraph" w:styleId="Heading1">
    <w:name w:val="Heading 1"/>
    <w:basedOn w:val="Normal"/>
    <w:uiPriority w:val="9"/>
    <w:qFormat/>
    <w:pPr>
      <w:keepNext/>
      <w:keepLines/>
      <w:bidi w:val="0"/>
      <w:spacing w:before="480" w:after="0"/>
      <w:jc w:val="left"/>
      <w:outlineLvl w:val="0"/>
    </w:pPr>
    <w:rPr>
      <w:rFonts w:ascii="Calibri" w:hAnsi="Calibri" w:eastAsia="" w:cs="" w:asciiTheme="majorHAnsi" w:cstheme="majorBidi" w:eastAsiaTheme="majorEastAsia" w:hAnsiTheme="majorHAnsi"/>
      <w:b/>
      <w:bCs/>
      <w:color w:val="C0143C" w:themeShade="b5"/>
      <w:sz w:val="32"/>
      <w:szCs w:val="32"/>
    </w:rPr>
  </w:style>
  <w:style w:type="paragraph" w:styleId="Heading2">
    <w:name w:val="Heading 2"/>
    <w:basedOn w:val="Normal"/>
    <w:uiPriority w:val="9"/>
    <w:unhideWhenUsed/>
    <w:qFormat/>
    <w:pPr>
      <w:keepNext/>
      <w:keepLines/>
      <w:bidi w:val="0"/>
      <w:spacing w:before="200" w:after="0"/>
      <w:jc w:val="left"/>
      <w:outlineLvl w:val="1"/>
    </w:pPr>
    <w:rPr>
      <w:rFonts w:ascii="Calibri" w:hAnsi="Calibri" w:eastAsia="" w:cs="" w:asciiTheme="majorHAnsi" w:cstheme="majorBidi" w:eastAsiaTheme="majorEastAsia" w:hAnsiTheme="majorHAnsi"/>
      <w:b/>
      <w:bCs/>
      <w:color w:val="C0143C"/>
      <w:sz w:val="32"/>
      <w:szCs w:val="32"/>
    </w:rPr>
  </w:style>
  <w:style w:type="paragraph" w:styleId="Heading3">
    <w:name w:val="Heading 3"/>
    <w:basedOn w:val="Normal"/>
    <w:uiPriority w:val="9"/>
    <w:unhideWhenUsed/>
    <w:qFormat/>
    <w:pPr>
      <w:keepNext/>
      <w:keepLines/>
      <w:bidi w:val="0"/>
      <w:spacing w:before="200" w:after="0"/>
      <w:jc w:val="left"/>
      <w:outlineLvl w:val="2"/>
    </w:pPr>
    <w:rPr>
      <w:rFonts w:ascii="Calibri" w:hAnsi="Calibri" w:eastAsia="" w:cs="" w:asciiTheme="majorHAnsi" w:cstheme="majorBidi" w:eastAsiaTheme="majorEastAsia" w:hAnsiTheme="majorHAnsi"/>
      <w:b/>
      <w:bCs/>
      <w:color w:val="C0143C"/>
      <w:sz w:val="28"/>
      <w:szCs w:val="28"/>
    </w:rPr>
  </w:style>
  <w:style w:type="paragraph" w:styleId="Heading4">
    <w:name w:val="Heading 4"/>
    <w:basedOn w:val="Normal"/>
    <w:uiPriority w:val="9"/>
    <w:unhideWhenUsed/>
    <w:qFormat/>
    <w:pPr>
      <w:keepNext/>
      <w:keepLines/>
      <w:bidi w:val="0"/>
      <w:spacing w:before="200" w:after="0"/>
      <w:jc w:val="left"/>
      <w:outlineLvl w:val="3"/>
    </w:pPr>
    <w:rPr>
      <w:rFonts w:ascii="Calibri" w:hAnsi="Calibri" w:eastAsia="" w:cs="" w:asciiTheme="majorHAnsi" w:cstheme="majorBidi" w:eastAsiaTheme="majorEastAsia" w:hAnsiTheme="majorHAnsi"/>
      <w:b/>
      <w:bCs/>
      <w:color w:val="C0143C"/>
      <w:sz w:val="24"/>
      <w:szCs w:val="24"/>
    </w:rPr>
  </w:style>
  <w:style w:type="paragraph" w:styleId="Heading5">
    <w:name w:val="Heading 5"/>
    <w:basedOn w:val="Normal"/>
    <w:uiPriority w:val="9"/>
    <w:unhideWhenUsed/>
    <w:qFormat/>
    <w:pPr>
      <w:keepNext/>
      <w:keepLines/>
      <w:bidi w:val="0"/>
      <w:spacing w:before="200" w:after="0"/>
      <w:jc w:val="left"/>
      <w:outlineLvl w:val="4"/>
    </w:pPr>
    <w:rPr>
      <w:rFonts w:ascii="Calibri" w:hAnsi="Calibri" w:eastAsia="" w:cs="" w:asciiTheme="majorHAnsi" w:cstheme="majorBidi" w:eastAsiaTheme="majorEastAsia" w:hAnsiTheme="majorHAnsi"/>
      <w:i/>
      <w:iCs/>
      <w:color w:val="C0143C"/>
      <w:sz w:val="24"/>
      <w:szCs w:val="24"/>
    </w:rPr>
  </w:style>
  <w:style w:type="paragraph" w:styleId="Heading6">
    <w:name w:val="Heading 6"/>
    <w:basedOn w:val="Normal"/>
    <w:uiPriority w:val="9"/>
    <w:unhideWhenUsed/>
    <w:qFormat/>
    <w:pPr>
      <w:keepNext/>
      <w:keepLines/>
      <w:bidi w:val="0"/>
      <w:spacing w:before="200" w:after="0"/>
      <w:jc w:val="left"/>
      <w:outlineLvl w:val="5"/>
    </w:pPr>
    <w:rPr>
      <w:rFonts w:ascii="Calibri" w:hAnsi="Calibri" w:eastAsia="" w:cs="" w:asciiTheme="majorHAnsi" w:cstheme="majorBidi" w:eastAsiaTheme="majorEastAsia" w:hAnsiTheme="majorHAnsi"/>
      <w:color w:val="C0143C"/>
      <w:sz w:val="24"/>
      <w:szCs w:val="24"/>
    </w:rPr>
  </w:style>
  <w:style w:type="character" w:styleId="DefaultParagraphFont" w:default="1">
    <w:name w:val="Default Paragraph Font"/>
    <w:semiHidden/>
    <w:unhideWhenUsed/>
    <w:qFormat/>
    <w:rPr/>
  </w:style>
  <w:style w:type="character" w:styleId="BodyTextChar" w:customStyle="1">
    <w:name w:val="Body Text Char"/>
    <w:basedOn w:val="DefaultParagraphFont"/>
    <w:link w:val="BodyText"/>
    <w:qFormat/>
    <w:rPr/>
  </w:style>
  <w:style w:type="character" w:styleId="VerbatimChar" w:customStyle="1">
    <w:name w:val="Verbatim Char"/>
    <w:basedOn w:val="BodyTextChar"/>
    <w:qFormat/>
    <w:rPr>
      <w:rFonts w:ascii="Consolas" w:hAnsi="Consolas"/>
      <w:sz w:val="22"/>
    </w:rPr>
  </w:style>
  <w:style w:type="character" w:styleId="FootnoteAnchor">
    <w:name w:val="Footnote Anchor"/>
    <w:basedOn w:val="BodyTextChar"/>
    <w:rPr>
      <w:vertAlign w:val="superscript"/>
    </w:rPr>
  </w:style>
  <w:style w:type="character" w:styleId="InternetLink">
    <w:name w:val="Internet Link"/>
    <w:basedOn w:val="BodyTextChar"/>
    <w:rPr>
      <w:color w:val="C0143C"/>
    </w:rPr>
  </w:style>
  <w:style w:type="paragraph" w:styleId="Heading">
    <w:name w:val="Heading"/>
    <w:basedOn w:val="Normal"/>
    <w:next w:val="TextBody"/>
    <w:qFormat/>
    <w:pPr>
      <w:keepNext/>
      <w:spacing w:before="240" w:after="120"/>
    </w:pPr>
    <w:rPr>
      <w:rFonts w:ascii="Liberation Sans" w:hAnsi="Liberation Sans" w:eastAsia="Microsoft YaHei" w:cs="Arial Unicode MS"/>
      <w:sz w:val="28"/>
      <w:szCs w:val="28"/>
    </w:rPr>
  </w:style>
  <w:style w:type="paragraph" w:styleId="TextBody">
    <w:name w:val="Body Text"/>
    <w:basedOn w:val="Normal"/>
    <w:link w:val="BodyTextChar"/>
    <w:qFormat/>
    <w:pPr>
      <w:bidi w:val="0"/>
      <w:spacing w:before="180" w:after="180"/>
      <w:jc w:val="both"/>
    </w:pPr>
    <w:rPr/>
  </w:style>
  <w:style w:type="paragraph" w:styleId="List">
    <w:name w:val="List"/>
    <w:basedOn w:val="TextBody"/>
    <w:pPr/>
    <w:rPr>
      <w:rFonts w:cs="Arial Unicode MS"/>
    </w:rPr>
  </w:style>
  <w:style w:type="paragraph" w:styleId="Caption">
    <w:name w:val="Caption"/>
    <w:basedOn w:val="Normal"/>
    <w:link w:val="BodyTextChar"/>
    <w:qFormat/>
    <w:pPr>
      <w:spacing w:before="0" w:after="120"/>
    </w:pPr>
    <w:rPr>
      <w:i/>
    </w:rPr>
  </w:style>
  <w:style w:type="paragraph" w:styleId="Index">
    <w:name w:val="Index"/>
    <w:basedOn w:val="Normal"/>
    <w:qFormat/>
    <w:pPr>
      <w:suppressLineNumbers/>
    </w:pPr>
    <w:rPr>
      <w:rFonts w:cs="Arial Unicode MS"/>
    </w:rPr>
  </w:style>
  <w:style w:type="paragraph" w:styleId="FirstParagraph" w:customStyle="1">
    <w:name w:val="First Paragraph"/>
    <w:basedOn w:val="TextBody"/>
    <w:qFormat/>
    <w:pPr/>
    <w:rPr/>
  </w:style>
  <w:style w:type="paragraph" w:styleId="Compact" w:customStyle="1">
    <w:name w:val="Compact"/>
    <w:basedOn w:val="TextBody"/>
    <w:qFormat/>
    <w:pPr>
      <w:spacing w:before="36" w:after="36"/>
    </w:pPr>
    <w:rPr/>
  </w:style>
  <w:style w:type="paragraph" w:styleId="Title">
    <w:name w:val="Title"/>
    <w:basedOn w:val="Normal"/>
    <w:qFormat/>
    <w:pPr>
      <w:keepNext/>
      <w:keepLines/>
      <w:bidi w:val="0"/>
      <w:spacing w:before="480" w:after="240"/>
      <w:jc w:val="left"/>
    </w:pPr>
    <w:rPr>
      <w:rFonts w:ascii="Calibri" w:hAnsi="Calibri" w:eastAsia="" w:cs="" w:asciiTheme="majorHAnsi" w:cstheme="majorBidi" w:eastAsiaTheme="majorEastAsia" w:hAnsiTheme="majorHAnsi"/>
      <w:b/>
      <w:bCs/>
      <w:color w:val="C0143C" w:themeShade="b5"/>
      <w:sz w:val="36"/>
      <w:szCs w:val="36"/>
    </w:rPr>
  </w:style>
  <w:style w:type="paragraph" w:styleId="Subtitle">
    <w:name w:val="Subtitle"/>
    <w:basedOn w:val="Title"/>
    <w:qFormat/>
    <w:pPr>
      <w:keepNext/>
      <w:keepLines/>
      <w:spacing w:before="240" w:after="240"/>
      <w:jc w:val="center"/>
    </w:pPr>
    <w:rPr>
      <w:sz w:val="30"/>
      <w:szCs w:val="30"/>
    </w:rPr>
  </w:style>
  <w:style w:type="paragraph" w:styleId="Author" w:customStyle="1">
    <w:name w:val="Author"/>
    <w:qFormat/>
    <w:pPr>
      <w:keepNext/>
      <w:keepLines/>
      <w:widowControl/>
      <w:bidi w:val="0"/>
      <w:jc w:val="center"/>
    </w:pPr>
    <w:rPr>
      <w:rFonts w:ascii="Cambria" w:hAnsi="Cambria" w:eastAsia="Cambria" w:cs="" w:asciiTheme="minorHAnsi" w:cstheme="minorBidi" w:eastAsiaTheme="minorHAnsi" w:hAnsiTheme="minorHAnsi"/>
      <w:color w:val="00000A"/>
      <w:sz w:val="24"/>
      <w:szCs w:val="24"/>
      <w:lang w:val="en-US" w:eastAsia="en-US" w:bidi="ar-SA"/>
    </w:rPr>
  </w:style>
  <w:style w:type="paragraph" w:styleId="Date">
    <w:name w:val="Date"/>
    <w:qFormat/>
    <w:pPr>
      <w:keepNext/>
      <w:keepLines/>
      <w:widowControl/>
      <w:bidi w:val="0"/>
      <w:jc w:val="center"/>
    </w:pPr>
    <w:rPr>
      <w:rFonts w:ascii="Cambria" w:hAnsi="Cambria" w:eastAsia="Cambria" w:cs="" w:asciiTheme="minorHAnsi" w:cstheme="minorBidi" w:eastAsiaTheme="minorHAnsi" w:hAnsiTheme="minorHAnsi"/>
      <w:color w:val="00000A"/>
      <w:sz w:val="24"/>
      <w:szCs w:val="24"/>
      <w:lang w:val="en-US" w:eastAsia="en-US" w:bidi="ar-SA"/>
    </w:rPr>
  </w:style>
  <w:style w:type="paragraph" w:styleId="Abstract" w:customStyle="1">
    <w:name w:val="Abstract"/>
    <w:basedOn w:val="Normal"/>
    <w:qFormat/>
    <w:pPr>
      <w:keepNext/>
      <w:keepLines/>
      <w:spacing w:before="300" w:after="300"/>
    </w:pPr>
    <w:rPr>
      <w:sz w:val="20"/>
      <w:szCs w:val="20"/>
    </w:rPr>
  </w:style>
  <w:style w:type="paragraph" w:styleId="Bibliography">
    <w:name w:val="Bibliography"/>
    <w:basedOn w:val="Normal"/>
    <w:qFormat/>
    <w:pPr/>
    <w:rPr/>
  </w:style>
  <w:style w:type="paragraph" w:styleId="BlockText">
    <w:name w:val="Block Text"/>
    <w:basedOn w:val="TextBody"/>
    <w:uiPriority w:val="9"/>
    <w:unhideWhenUsed/>
    <w:qFormat/>
    <w:pPr>
      <w:spacing w:before="100" w:after="100"/>
      <w:ind w:hanging="0"/>
    </w:pPr>
    <w:rPr>
      <w:rFonts w:ascii="Calibri" w:hAnsi="Calibri" w:eastAsia="" w:cs="" w:asciiTheme="majorHAnsi" w:cstheme="majorBidi" w:eastAsiaTheme="majorEastAsia" w:hAnsiTheme="majorHAnsi"/>
      <w:bCs/>
      <w:sz w:val="20"/>
      <w:szCs w:val="20"/>
    </w:rPr>
  </w:style>
  <w:style w:type="paragraph" w:styleId="Footnote">
    <w:name w:val="Footnote Text"/>
    <w:basedOn w:val="Normal"/>
    <w:uiPriority w:val="9"/>
    <w:unhideWhenUsed/>
    <w:qFormat/>
    <w:pPr/>
    <w:rPr/>
  </w:style>
  <w:style w:type="paragraph" w:styleId="DefinitionTerm" w:customStyle="1">
    <w:name w:val="Definition Term"/>
    <w:basedOn w:val="Normal"/>
    <w:qFormat/>
    <w:pPr>
      <w:keepNext/>
      <w:keepLines/>
      <w:spacing w:before="0" w:after="0"/>
    </w:pPr>
    <w:rPr>
      <w:b/>
    </w:rPr>
  </w:style>
  <w:style w:type="paragraph" w:styleId="Definition" w:customStyle="1">
    <w:name w:val="Definition"/>
    <w:basedOn w:val="Normal"/>
    <w:qFormat/>
    <w:pPr/>
    <w:rPr/>
  </w:style>
  <w:style w:type="paragraph" w:styleId="TableCaption" w:customStyle="1">
    <w:name w:val="Table Caption"/>
    <w:basedOn w:val="Caption"/>
    <w:qFormat/>
    <w:pPr>
      <w:keepNext/>
    </w:pPr>
    <w:rPr/>
  </w:style>
  <w:style w:type="paragraph" w:styleId="ImageCaption" w:customStyle="1">
    <w:name w:val="Image Caption"/>
    <w:basedOn w:val="Caption"/>
    <w:qFormat/>
    <w:pPr/>
    <w:rPr/>
  </w:style>
  <w:style w:type="paragraph" w:styleId="Figure" w:customStyle="1">
    <w:name w:val="Figure"/>
    <w:basedOn w:val="Normal"/>
    <w:qFormat/>
    <w:pPr/>
    <w:rPr/>
  </w:style>
  <w:style w:type="paragraph" w:styleId="FigurewithCaption" w:customStyle="1">
    <w:name w:val="Figure with Caption"/>
    <w:basedOn w:val="Figure"/>
    <w:qFormat/>
    <w:pPr>
      <w:keepNext/>
    </w:pPr>
    <w:rPr/>
  </w:style>
  <w:style w:type="paragraph" w:styleId="TOCHeading">
    <w:name w:val="TOC Heading"/>
    <w:basedOn w:val="Heading1"/>
    <w:uiPriority w:val="39"/>
    <w:unhideWhenUsed/>
    <w:qFormat/>
    <w:pPr>
      <w:bidi w:val="0"/>
      <w:spacing w:lineRule="auto" w:line="259" w:before="240" w:after="0"/>
      <w:jc w:val="left"/>
    </w:pPr>
    <w:rPr>
      <w:rFonts w:ascii="Calibri" w:hAnsi="Calibri" w:eastAsia="" w:cs="" w:asciiTheme="majorHAnsi" w:cstheme="majorBidi" w:eastAsiaTheme="majorEastAsia" w:hAnsiTheme="majorHAnsi"/>
      <w:b w:val="false"/>
      <w:bCs w:val="false"/>
      <w:color w:val="C0143C" w:themeShade="bf"/>
    </w:rPr>
  </w:style>
  <w:style w:type="paragraph" w:styleId="Disclaimer">
    <w:name w:val="Disclaimer"/>
    <w:basedOn w:val="Normal"/>
    <w:qFormat/>
    <w:pPr>
      <w:pBdr>
        <w:top w:val="single" w:sz="2" w:space="1" w:color="000001"/>
        <w:left w:val="single" w:sz="2" w:space="1" w:color="000001"/>
        <w:bottom w:val="single" w:sz="2" w:space="1" w:color="000001"/>
        <w:right w:val="single" w:sz="2" w:space="1" w:color="000001"/>
      </w:pBdr>
      <w:shd w:val="clear" w:fill="DDDDDD"/>
      <w:bidi w:val="0"/>
      <w:spacing w:before="101" w:after="101"/>
      <w:jc w:val="both"/>
    </w:pPr>
    <w:rPr/>
  </w:style>
  <w:style w:type="paragraph" w:styleId="BlackStrips">
    <w:name w:val="Black Strips"/>
    <w:basedOn w:val="Normal"/>
    <w:qFormat/>
    <w:pPr>
      <w:shd w:val="clear" w:fill="000000"/>
      <w:bidi w:val="0"/>
      <w:jc w:val="center"/>
    </w:pPr>
    <w:rPr>
      <w:color w:val="FFFFFF"/>
    </w:rPr>
  </w:style>
  <w:style w:type="paragraph" w:styleId="DisclaimerBold">
    <w:name w:val="Disclaimer Bold"/>
    <w:basedOn w:val="Disclaimer"/>
    <w:qFormat/>
    <w:pPr>
      <w:shd w:val="clear" w:fill="DDDDDD"/>
      <w:bidi w:val="0"/>
      <w:jc w:val="left"/>
    </w:pPr>
    <w:rPr>
      <w:b/>
    </w:rPr>
  </w:style>
  <w:style w:type="paragraph" w:styleId="ReadOnline">
    <w:name w:val="Read Online"/>
    <w:basedOn w:val="Normal"/>
    <w:qFormat/>
    <w:pPr>
      <w:bidi w:val="0"/>
      <w:jc w:val="center"/>
    </w:pPr>
    <w:rPr>
      <w:sz w:val="28"/>
      <w:u w:val="single"/>
    </w:rPr>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openxmlformats.org/officeDocument/2006/relationships/footnotes" Target="footnotes.xml"/><Relationship Id="rId52" Type="http://schemas.openxmlformats.org/officeDocument/2006/relationships/hyperlink" Target="http://company.stcn.com/2017/0903/13612919.shtml" TargetMode="External"/><Relationship Id="rId54" Type="http://schemas.openxmlformats.org/officeDocument/2006/relationships/hyperlink" Target="http://company.stcn.com/2017/0905/13615983.shtml" TargetMode="External"/><Relationship Id="rId50" Type="http://schemas.openxmlformats.org/officeDocument/2006/relationships/hyperlink" Target="http://company.stcn.com/2017/0906/13618780.shtml" TargetMode="External"/><Relationship Id="rId48" Type="http://schemas.openxmlformats.org/officeDocument/2006/relationships/hyperlink" Target="http://company.stcn.com/2017/0906/13619202.shtml" TargetMode="External"/><Relationship Id="rId56" Type="http://schemas.openxmlformats.org/officeDocument/2006/relationships/hyperlink" Target="http://company.stcn.com/2017/0907/13621329.shtml" TargetMode="External"/><Relationship Id="rId37" Type="http://schemas.openxmlformats.org/officeDocument/2006/relationships/hyperlink" Target="http://www.chinatax.gov.cn/n810341/n810755/c2795786/content.html" TargetMode="External"/><Relationship Id="rId34" Type="http://schemas.openxmlformats.org/officeDocument/2006/relationships/hyperlink" Target="http://www.circ.gov.cn/web/site0/tab5174/info4080435.htm" TargetMode="External"/><Relationship Id="rId40" Type="http://schemas.openxmlformats.org/officeDocument/2006/relationships/hyperlink" Target="http://www.gov.cn/xinwen/2017-09/04/content_5222522.htm" TargetMode="External"/><Relationship Id="rId45" Type="http://schemas.openxmlformats.org/officeDocument/2006/relationships/hyperlink" Target="http://www.gov.cn/xinwen/2017-09/04/content_5222541.htm" TargetMode="External"/><Relationship Id="rId43" Type="http://schemas.openxmlformats.org/officeDocument/2006/relationships/hyperlink" Target="http://www.saic.gov.cn/xw/yw/zj/201709/t20170904_268839.html" TargetMode="External"/><Relationship Id="rId29" Type="http://schemas.openxmlformats.org/officeDocument/2006/relationships/hyperlink" Target="http://www.sohu.com/a/168503401_465587" TargetMode="External"/><Relationship Id="rId31" Type="http://schemas.openxmlformats.org/officeDocument/2006/relationships/hyperlink" Target="http://www.thepaper.cn/newsDetail_forward_1779701" TargetMode="External"/><Relationship Id="rId27" Type="http://schemas.openxmlformats.org/officeDocument/2006/relationships/hyperlink" Target="http://www.thepaper.cn/newsDetail_forward_1780598" TargetMode="External"/><Relationship Id="rId23" Type="http://schemas.openxmlformats.org/officeDocument/2006/relationships/hyperlink" Target="http://www.thepaper.cn/newsDetail_forward_1781507" TargetMode="External"/><Relationship Id="rId25" Type="http://schemas.openxmlformats.org/officeDocument/2006/relationships/hyperlink" Target="http://www.thepaper.cn/newsDetail_forward_1781509" TargetMode="External"/><Relationship Id="rId8" Type="http://schemas.openxmlformats.org/officeDocument/2006/relationships/hyperlink" Target="http://www.charltonslaw.com.cn/zheng-jian-hui-fa-bu-gong-kai-mu-ji-kai-fang-shi-zheng-quan-tou-zi-ji-jin-liu-dong-xing-feng-xian-guan-li-gui-ding" TargetMode="External"/><Relationship Id="rId9" Type="http://schemas.openxmlformats.org/officeDocument/2006/relationships/hyperlink" Target="mailto:unsubscribe@charltonslaw.com?subject=unsubscribe -Hong Kong Law-" TargetMode="External"/></Relationships>
</file>

<file path=word/_rels/footnotes.xml.rels><?xml version='1.0' encoding='UTF-8' standalone='yes'?>
<Relationships xmlns="http://schemas.openxmlformats.org/package/2006/relationships"><Relationship Id="rId52" Type="http://schemas.openxmlformats.org/officeDocument/2006/relationships/hyperlink" Target="http://company.stcn.com/2017/0903/13612919.shtml" TargetMode="External"/><Relationship Id="rId54" Type="http://schemas.openxmlformats.org/officeDocument/2006/relationships/hyperlink" Target="http://company.stcn.com/2017/0905/13615983.shtml" TargetMode="External"/><Relationship Id="rId50" Type="http://schemas.openxmlformats.org/officeDocument/2006/relationships/hyperlink" Target="http://company.stcn.com/2017/0906/13618780.shtml" TargetMode="External"/><Relationship Id="rId48" Type="http://schemas.openxmlformats.org/officeDocument/2006/relationships/hyperlink" Target="http://company.stcn.com/2017/0906/13619202.shtml" TargetMode="External"/><Relationship Id="rId56" Type="http://schemas.openxmlformats.org/officeDocument/2006/relationships/hyperlink" Target="http://company.stcn.com/2017/0907/13621329.shtml" TargetMode="External"/><Relationship Id="rId37" Type="http://schemas.openxmlformats.org/officeDocument/2006/relationships/hyperlink" Target="http://www.chinatax.gov.cn/n810341/n810755/c2795786/content.html" TargetMode="External"/><Relationship Id="rId34" Type="http://schemas.openxmlformats.org/officeDocument/2006/relationships/hyperlink" Target="http://www.circ.gov.cn/web/site0/tab5174/info4080435.htm" TargetMode="External"/><Relationship Id="rId40" Type="http://schemas.openxmlformats.org/officeDocument/2006/relationships/hyperlink" Target="http://www.gov.cn/xinwen/2017-09/04/content_5222522.htm" TargetMode="External"/><Relationship Id="rId45" Type="http://schemas.openxmlformats.org/officeDocument/2006/relationships/hyperlink" Target="http://www.gov.cn/xinwen/2017-09/04/content_5222541.htm" TargetMode="External"/><Relationship Id="rId43" Type="http://schemas.openxmlformats.org/officeDocument/2006/relationships/hyperlink" Target="http://www.saic.gov.cn/xw/yw/zj/201709/t20170904_268839.html" TargetMode="External"/><Relationship Id="rId29" Type="http://schemas.openxmlformats.org/officeDocument/2006/relationships/hyperlink" Target="http://www.sohu.com/a/168503401_465587" TargetMode="External"/><Relationship Id="rId31" Type="http://schemas.openxmlformats.org/officeDocument/2006/relationships/hyperlink" Target="http://www.thepaper.cn/newsDetail_forward_1779701" TargetMode="External"/><Relationship Id="rId27" Type="http://schemas.openxmlformats.org/officeDocument/2006/relationships/hyperlink" Target="http://www.thepaper.cn/newsDetail_forward_1780598" TargetMode="External"/><Relationship Id="rId23" Type="http://schemas.openxmlformats.org/officeDocument/2006/relationships/hyperlink" Target="http://www.thepaper.cn/newsDetail_forward_1781507" TargetMode="External"/><Relationship Id="rId25" Type="http://schemas.openxmlformats.org/officeDocument/2006/relationships/hyperlink" Target="http://www.thepaper.cn/newsDetail_forward_17815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Application>LibreOffice/5.3.2.2$MacOSX_X86_64 LibreOffice_project/6cd4f1ef626f15116896b1d8e1398b56da0d0ee1</Application>
  <Pages>1</Pages>
  <Words>2</Words>
  <Characters>11</Characters>
  <CharactersWithSpaces>12</CharactersWithSpaces>
  <Paragraphs>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terms:created xsi:type="dcterms:W3CDTF">2017-09-08T03:34:41Z</dcterms:created>
  <dcterms:modified xsi:type="dcterms:W3CDTF">2017-09-08T03:34:41Z</dcterms:modified>
</cp:coreProperties>
</file>