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- 2017年9月15日</w:t>
      </w:r>
    </w:p>
    <w:p>
      <w:pPr>
        <w:pStyle w:val="ReadOnline"/>
      </w:pPr>
      <w:hyperlink r:id="rId8">
        <w:r>
          <w:rPr/>
          <w:t>online version</w:t>
        </w:r>
      </w:hyperlink>
    </w:p>
    <w:p>
      <w:pPr>
        <w:pStyle w:val="Title"/>
      </w:pPr>
      <w:r>
        <w:t>中国证监会调整可转债和可交换债发行方式并修订发布《证券发行与承销管理办法》</w:t>
      </w:r>
    </w:p>
    <w:p>
      <w:pPr>
        <w:pStyle w:val="Heading2"/>
      </w:pPr>
      <w:bookmarkStart w:id="21" w:name="资本市场"/>
      <w:bookmarkEnd w:id="21"/>
      <w:r>
        <w:t xml:space="preserve">资本市场</w:t>
      </w:r>
    </w:p>
    <w:p>
      <w:pPr>
        <w:pStyle w:val="Heading3"/>
      </w:pPr>
      <w:bookmarkStart w:id="22" w:name="中国证监会调整可转债和可交换债发行方式并修订发布证券发行与承销管理办法"/>
      <w:bookmarkEnd w:id="22"/>
      <w:r>
        <w:t xml:space="preserve">中国证监会调整可转债和可交换债发行方式并修订发布《证券发行与承销管理办法》</w:t>
      </w:r>
    </w:p>
    <w:p>
      <w:pPr>
        <w:pStyle w:val="FirstParagraph"/>
      </w:pPr>
      <w:r>
        <w:t xml:space="preserve">为解决可转债和可交换债发行过程中产生的较大规模资金冻结问题，证监会对可转债、可交换债发行方式进行了调整，将现行的资金申购改为信用申购，并经公开征求意见相应修订了《证券发行与承销管理办法》部分条款。</w:t>
      </w:r>
    </w:p>
    <w:p>
      <w:pPr>
        <w:pStyle w:val="TextBody"/>
      </w:pPr>
      <w:r>
        <w:t xml:space="preserve">可转债和可交换债发行方式调整后，参与网上申购的投资者申购时无需预缴申购资金，待确认获得配售后，再按实际获配金额缴款；参与网下申购的投资者申购时无需预缴申购资金，按主承销商的要求单一账户缴纳不超过50万的保证金，待确认获得配售后，再按实际获配金额缴款。此外，可交换债的网上发行由时间优先的配售原则调整为采用摇号中签方式进行分配。与此同时，为配合可转债和可交换债发行方式调整而进行的证券交易结算系统改造工作也已完成，中国证券登记结算公司与沪、深证券交易所修订发布了相关业务规则。</w:t>
      </w:r>
    </w:p>
    <w:p>
      <w:pPr>
        <w:pStyle w:val="TextBody"/>
      </w:pPr>
      <w:hyperlink r:id="rId23">
        <w:r>
          <w:rPr>
            <w:rStyle w:val="Hyperlink"/>
          </w:rPr>
          <w:t xml:space="preserve">http://www.csrc.gov.cn/pub/newsite/zjhxwfb/xwdd/201709/t20170908_323380.html</w:t>
        </w:r>
      </w:hyperlink>
    </w:p>
    <w:p>
      <w:pPr>
        <w:pStyle w:val="Heading3"/>
      </w:pPr>
      <w:bookmarkStart w:id="24" w:name="中国证监会就证券公司投资银行类业务内部控制指引公开征求意见"/>
      <w:bookmarkEnd w:id="24"/>
      <w:r>
        <w:t xml:space="preserve">中国证监会就《证券公司投资银行类业务内部控制指引》公开征求意见</w:t>
      </w:r>
    </w:p>
    <w:p>
      <w:pPr>
        <w:pStyle w:val="FirstParagraph"/>
      </w:pPr>
      <w:r>
        <w:t xml:space="preserve">为落实依法、全面、从严的总体监管思路，督促证券公司强化主体意识、完善自我约束机制，提升投资银行类业务内部控制水平，防范化解风险，中国证监会研究制定了《证券公司投资银行类业务内部控制指引》（以下简称《指引》），并于近日向社会公开征求意见。</w:t>
      </w:r>
    </w:p>
    <w:p>
      <w:pPr>
        <w:pStyle w:val="TextBody"/>
      </w:pPr>
      <w:r>
        <w:t xml:space="preserve">《指引》主要包括四个方面内容，一是聚焦投行类业务经营管理中的主要矛盾和突出问题，通过明确业务承做实施集中统一管理、健全业务制度体系、规范薪酬激励机制等方面的要求。二是突出投行类业务内部控制标准的统一，在充分考虑不同公司和各类投行业务内部控制现行标准的基础上，归纳、提炼出包括内部控制流程。三是完善以项目组和业务部门、质量控制、内核和合规风控为主的“三道防线”基本架构，构建分工合理、权责明确、相互制衡、有效监督的投行类业务内部控制体系。四是强调投行类业务内部控制的有效性，细化各道防线具体履职形式，加强对投行类业务立项、质量控制、内核等执行层面的规范和指导，从内部控制人员配备，立项和内核等会议人员构成和比例、表决机制，现场核查等方面提出具体要求。</w:t>
      </w:r>
    </w:p>
    <w:p>
      <w:pPr>
        <w:pStyle w:val="TextBody"/>
      </w:pPr>
      <w:hyperlink r:id="rId25">
        <w:r>
          <w:rPr>
            <w:rStyle w:val="Hyperlink"/>
          </w:rPr>
          <w:t xml:space="preserve">http://www.csrc.gov.cn/pub/newsite/zjhxwfb/xwdd/201709/t20170908_323381.html</w:t>
        </w:r>
      </w:hyperlink>
    </w:p>
    <w:p>
      <w:pPr>
        <w:pStyle w:val="Heading3"/>
      </w:pPr>
      <w:bookmarkStart w:id="26" w:name="深圳证券交易所发布关于进一步规范和完善深圳证券交易所可交换公司债券发行业务相关事项的通知"/>
      <w:bookmarkEnd w:id="26"/>
      <w:r>
        <w:t xml:space="preserve">深圳证券交易所发布《关于进一步规范和完善深圳证券交易所可交换公司债券发行业务相关事项的通知》</w:t>
      </w:r>
    </w:p>
    <w:p>
      <w:pPr>
        <w:pStyle w:val="FirstParagraph"/>
      </w:pPr>
      <w:r>
        <w:t xml:space="preserve">近日，中国证监会公布了修改后的《证券发行与承销管理办法》（以下简称《办法》）。为落实《办法》相关规定，进一步规范和完善深圳证券交易所可交换公司债券（以下简称“可交换债”）发行等业务，深圳证券交易所发布《关于进一步规范和完善深圳证券交易所可交换公司债券发行业务相关事项的通知》（以下简称《通知》）。</w:t>
      </w:r>
    </w:p>
    <w:p>
      <w:pPr>
        <w:pStyle w:val="TextBody"/>
      </w:pPr>
      <w:r>
        <w:t xml:space="preserve">《通知》中指出，可交换债按不同发行对象，可采用网上发行、网下发行或两者结合的方式在深圳证券交易所办理发行事宜。主承销商应根据发行规模合理设置单个账户网上申购上限。网上申购最小单位为1手（人民币1,000元），申购数量应当为1手或1手的整数倍，但最高不得超过发行公告中确定的申购上限,如超过则该笔申购无效。投资者可以使用所持深圳市场证券账户在T日（T日为发行公告确定的网上申购日）网上申购在深圳证券交易所发行的可交换债。网上申购的投资者应当自主表达申购意向，不得全权委托证券公司进行网上申购。投资者网上申购可交换债无需缴付申购资金，中签后应依据中签结果履行资金交收义务，确保其资金账户在T+2日日终有足额认购资金。投资者认购资金不足的，不足部分视为放弃认购，由此产生的后果及相关法律责任，由投资者自行承担。</w:t>
      </w:r>
    </w:p>
    <w:p>
      <w:pPr>
        <w:pStyle w:val="TextBody"/>
      </w:pPr>
      <w:hyperlink r:id="rId27">
        <w:r>
          <w:rPr>
            <w:rStyle w:val="Hyperlink"/>
          </w:rPr>
          <w:t xml:space="preserve">http://www.szse.cn/main/aboutus/bsyw/39774646.shtml</w:t>
        </w:r>
      </w:hyperlink>
    </w:p>
    <w:p>
      <w:pPr>
        <w:pStyle w:val="Heading3"/>
      </w:pPr>
      <w:bookmarkStart w:id="28" w:name="中国银行间市场交易商协会发布非金融企业债务融资工具定向发行注册工作规程"/>
      <w:bookmarkEnd w:id="28"/>
      <w:r>
        <w:t xml:space="preserve">中国银行间市场交易商协会发布《非金融企业债务融资工具定向发行注册工作规程》</w:t>
      </w:r>
    </w:p>
    <w:p>
      <w:pPr>
        <w:pStyle w:val="FirstParagraph"/>
      </w:pPr>
      <w:r>
        <w:t xml:space="preserve">近日，中国银行间市场交易商协会发布了《非金融企业债务融资工具定向发行注册工作规程》（以下简称《规程》）及相关配套文件。此次新版的《规程》优化了与投资人分层管理相适应的机制安排，进一步提升了注册发行便利。</w:t>
      </w:r>
    </w:p>
    <w:p>
      <w:pPr>
        <w:pStyle w:val="TextBody"/>
      </w:pPr>
      <w:r>
        <w:t xml:space="preserve">此次修订后的《规程》建立和完善了与定向投资人分层管理机制相适应的制度安排，构建相对完整的定向发行多层次制度体系。一是在定向投资人分层的基础上，形成分层注册发行安排。二是进一步明确定向投资人管理机制，根据市场运行现状和人民银行的相关文件要求，新增理财产品、证券投资基金等非法人类合格机构投资人的相关管理要求。三是明确定向债务融资工具可以进行回购交易。《规程》还优化了定向发行的风险防范机制，引入注册专家会议和注册专家咨询机制。与此同时，强化中介机构职责，专章明确主承销商、会计师事务所、律师事务所等中介机构的相关要求和法律责任。根据交易商协会公告，新规设置两个月过渡期，将于2017年11月1日起实施。</w:t>
      </w:r>
    </w:p>
    <w:p>
      <w:pPr>
        <w:pStyle w:val="TextBody"/>
      </w:pPr>
      <w:hyperlink r:id="rId29">
        <w:r>
          <w:rPr>
            <w:rStyle w:val="Hyperlink"/>
          </w:rPr>
          <w:t xml:space="preserve">http://www.chinaforex.com.cn/index.php/cms/item-view-id-44829.shtml</w:t>
        </w:r>
      </w:hyperlink>
    </w:p>
    <w:p>
      <w:pPr>
        <w:pStyle w:val="Heading3"/>
      </w:pPr>
      <w:bookmarkStart w:id="30" w:name="绿色金融国际研讨会发布中国对外投资环境风险管理倡议"/>
      <w:bookmarkEnd w:id="30"/>
      <w:r>
        <w:t xml:space="preserve">绿色金融国际研讨会发布《中国对外投资环境风险管理倡议》</w:t>
      </w:r>
    </w:p>
    <w:p>
      <w:pPr>
        <w:pStyle w:val="FirstParagraph"/>
      </w:pPr>
      <w:r>
        <w:t xml:space="preserve">近日，在举行的绿色金融国际研讨会上，《中国对外投资环境风险管理倡议》（以下简称《倡议》）正式发布。《倡议》供参与对外投资的中国金融机构和企业自愿采纳，鼓励相关企业充分了解、防范和管理对外投资项目所涉及的环境和社会风险，强化环境信息披露，积极利用绿色融资工具和环境责任保险，推动贸易融资和供应链融资绿色化，加强环境风险管理方面的能力建设。</w:t>
      </w:r>
    </w:p>
    <w:p>
      <w:pPr>
        <w:pStyle w:val="TextBody"/>
      </w:pPr>
      <w:r>
        <w:t xml:space="preserve">《倡议》指出，参与对外投资的金融机构和企业应充分了解项目所在地的环境法规、标准和相关的环境风险；参与对外投资的银行应借鉴国际可持续原则，参与对外投资的机构投资者应借鉴联合国责任投资原则，在投资决策和项目实施过程中充分考虑环境、社会、治理因素，建立健全管理环境风险的内部流程和机制；鼓励参与对外投资重大项目的机构在决策和实施过程中，充分利用第三方专业力量，帮助评估和管理所面临的环境和社会风险；鼓励对外投资项目，尤其是中长期基础设施项目，充分利用绿色融资工具等。</w:t>
      </w:r>
    </w:p>
    <w:p>
      <w:pPr>
        <w:pStyle w:val="TextBody"/>
      </w:pPr>
      <w:hyperlink r:id="rId31">
        <w:r>
          <w:rPr>
            <w:rStyle w:val="Hyperlink"/>
          </w:rPr>
          <w:t xml:space="preserve">http://www.chinaforex.com.cn/index.php/cms/item-view-id-44872.shtml</w:t>
        </w:r>
      </w:hyperlink>
    </w:p>
    <w:p>
      <w:pPr>
        <w:pStyle w:val="Heading3"/>
      </w:pPr>
      <w:bookmarkStart w:id="32" w:name="中国证监会中国原油期货上市准备进入最后阶段"/>
      <w:bookmarkEnd w:id="32"/>
      <w:r>
        <w:t xml:space="preserve">中国证监会：中国原油期货上市准备进入最后阶段</w:t>
      </w:r>
    </w:p>
    <w:p>
      <w:pPr>
        <w:pStyle w:val="FirstParagraph"/>
      </w:pPr>
      <w:r>
        <w:t xml:space="preserve">近日，中国证监会党副主席方星海在出席论坛时表示在外开放的过程中，金融市场要永做排头兵。方星海表示，中国期货市场的对外开放十八大以来取得了很好的成绩，我国期货市场的影响力不断增强，目前原油上市准备工作已进入最后阶段。</w:t>
      </w:r>
    </w:p>
    <w:p>
      <w:pPr>
        <w:pStyle w:val="TextBody"/>
      </w:pPr>
      <w:r>
        <w:t xml:space="preserve">方星海表示，中国期货市场要加快进入境外投资者步伐，利用好当前国际投资者参与我国期货交易积极性高的有利时机。积极扩大境内外交割区域，扩大保税交割品种范围，继续完善税收政策。鼓励期货经营机构境外业务发展，目前境内机构在境外已设立20家机构，也鼓励境外全球性金融企业参与国内期货市场。同时，加强与境外监管机构的跨境监管工作，完善合作机制。目前，上海期货交易所子公司上海国际能源交易中心已于5月份正式发布了《上海国际能源交易中心章程》等11个相关业务细则，同批发布的还包括《上海国际能源交易中心原油期货标准合约》。</w:t>
      </w:r>
    </w:p>
    <w:p>
      <w:pPr>
        <w:pStyle w:val="TextBody"/>
      </w:pPr>
      <w:hyperlink r:id="rId33">
        <w:r>
          <w:rPr>
            <w:rStyle w:val="Hyperlink"/>
          </w:rPr>
          <w:t xml:space="preserve">http://www.chinaforex.com.cn/index.php/cms/item-view-id-44923.shtml</w:t>
        </w:r>
      </w:hyperlink>
    </w:p>
    <w:p>
      <w:pPr>
        <w:pStyle w:val="Heading2"/>
      </w:pPr>
      <w:bookmarkStart w:id="34" w:name="保险"/>
      <w:bookmarkEnd w:id="34"/>
      <w:r>
        <w:t xml:space="preserve">保险</w:t>
      </w:r>
    </w:p>
    <w:p>
      <w:pPr>
        <w:pStyle w:val="Heading3"/>
      </w:pPr>
      <w:bookmarkStart w:id="35" w:name="中国保监会发布关于在保监会公务活动中禁止饮酒有关事宜的通知"/>
      <w:bookmarkEnd w:id="35"/>
      <w:r>
        <w:t xml:space="preserve">中国保监会发布《关于在保监会公务活动中禁止饮酒有关事宜的通知》</w:t>
      </w:r>
    </w:p>
    <w:p>
      <w:pPr>
        <w:pStyle w:val="FirstParagraph"/>
      </w:pPr>
      <w:r>
        <w:t xml:space="preserve">中国保监会近日印发《关于在保监会公务活动中禁止饮酒有关事宜的通知》（以下简称《通知》）。《通知》要求，保监会机关各部门、派出机构和直属事业单位在工作时间内和工作日午间，一律不准饮酒；公务活动中禁止提供和饮用任何酒类，包括私人自带的酒类；公务接待一律不准饮酒。</w:t>
      </w:r>
    </w:p>
    <w:p>
      <w:pPr>
        <w:pStyle w:val="TextBody"/>
      </w:pPr>
      <w:r>
        <w:t xml:space="preserve">中国保监会要求，严明纪律要求，做到令行禁止。保监会机关各部门、派出机构和直属事业单位在公务活动中应严格遵守如下纪律：在工作时间内和工作日午间，一律不准饮酒。公务活动中禁止提供和饮用任何酒类，包括私人自带的酒类。公务接待一律不准饮酒。因外事活动等特殊情况需饮酒的，须报经本部门、本单位领导批准，从严进行控制。严禁部门和单位之间相互宴请饮酒。禁止公款购买或赠送任何酒类。</w:t>
      </w:r>
    </w:p>
    <w:p>
      <w:pPr>
        <w:pStyle w:val="TextBody"/>
      </w:pPr>
      <w:hyperlink r:id="rId36">
        <w:r>
          <w:rPr>
            <w:rStyle w:val="Hyperlink"/>
          </w:rPr>
          <w:t xml:space="preserve">http://legal.china.com.cn/2017-09/08/content_41552224.htm</w:t>
        </w:r>
      </w:hyperlink>
    </w:p>
    <w:p>
      <w:pPr>
        <w:pStyle w:val="Heading2"/>
      </w:pPr>
      <w:bookmarkStart w:id="37" w:name="税收"/>
      <w:bookmarkEnd w:id="37"/>
      <w:r>
        <w:t xml:space="preserve">税收</w:t>
      </w:r>
    </w:p>
    <w:p>
      <w:pPr>
        <w:pStyle w:val="Heading3"/>
      </w:pPr>
      <w:bookmarkStart w:id="38" w:name="国家税务总局关于发布税务师事务所行政登记规程试行的公告"/>
      <w:bookmarkEnd w:id="38"/>
      <w:r>
        <w:t xml:space="preserve">国家税务总局关于发布《税务师事务所行政登记规程（试行）》的公告</w:t>
      </w:r>
    </w:p>
    <w:p>
      <w:pPr>
        <w:pStyle w:val="FirstParagraph"/>
      </w:pPr>
      <w:r>
        <w:t xml:space="preserve">近日，国家税务总局制定了《税务师事务所行政登记规程（试行）》（以下简称《规程》）并予以发布，自2017年9月1日起施行。</w:t>
      </w:r>
    </w:p>
    <w:p>
      <w:pPr>
        <w:pStyle w:val="TextBody"/>
      </w:pPr>
      <w:r>
        <w:t xml:space="preserve">《规程》中规定，税务师事务所采取合伙制或者有限责任制组织形式的，除国家税务总局另有规定外，应当具备下列条件：（一）合伙人或者股东由税务师、注册会计师、律师担任，其中税务师占比应高于百分之五十；（二）有限责任制税务师事务所的法定代表人由股东担任；（三）税务师、注册会计师、律师不能同时在两家以上的税务师事务所担任合伙人、股东或者从业；（四）税务师事务所字号不得与已经行政登记的税务师事务所字号重复。合伙制税务师事务所分为普通合伙税务师事务所和特殊普通合伙税务师事务所。行政相对人办理税务师事务所行政登记，应当自取得营业执照之日起20个工作日内向所在地省税务机关提交《税务师事务所行政登记表》，营业执照复印件和国家税务总局规定的其他材料。</w:t>
      </w:r>
    </w:p>
    <w:p>
      <w:pPr>
        <w:pStyle w:val="TextBody"/>
      </w:pPr>
      <w:hyperlink r:id="rId39">
        <w:r>
          <w:rPr>
            <w:rStyle w:val="Hyperlink"/>
          </w:rPr>
          <w:t xml:space="preserve">http://www.chinatax.gov.cn/n810341/n810755/c2765628/content.html</w:t>
        </w:r>
      </w:hyperlink>
    </w:p>
    <w:p>
      <w:pPr>
        <w:pStyle w:val="Heading2"/>
      </w:pPr>
      <w:bookmarkStart w:id="40" w:name="行业"/>
      <w:bookmarkEnd w:id="40"/>
      <w:r>
        <w:t xml:space="preserve">行业</w:t>
      </w:r>
    </w:p>
    <w:p>
      <w:pPr>
        <w:pStyle w:val="Heading3"/>
      </w:pPr>
      <w:bookmarkStart w:id="41" w:name="国家互联网信息办公室公布互联网群组信息服务管理规定"/>
      <w:bookmarkEnd w:id="41"/>
      <w:r>
        <w:t xml:space="preserve">国家互联网信息办公室公布《互联网群组信息服务管理规定》</w:t>
      </w:r>
    </w:p>
    <w:p>
      <w:pPr>
        <w:pStyle w:val="FirstParagraph"/>
      </w:pPr>
      <w:r>
        <w:t xml:space="preserve">近日，国家互联网信息办公室印发《互联网群组信息服务管理规定》(以下简称《规定》),并于2017年10月8日正式施行。《规定》出台旨在促进互联网群组信息服务健康有序发展,弘扬社会主义核心价值观,培育积极健康的网络文化,为广大网民营造风清气正的网络空间。</w:t>
      </w:r>
    </w:p>
    <w:p>
      <w:pPr>
        <w:pStyle w:val="TextBody"/>
      </w:pPr>
      <w:r>
        <w:t xml:space="preserve">《规定》明确,互联网群组信息服务提供者应当落实信息内容安全管理主体责任,配备与服务规模相适应的专业人员和技术能力,建立健全用户注册、信息审核、应急处置、安全防护等管理制度。《规定》强调,互联网群组信息服务提供者应当对互联网群组信息服务使用者进行真实身份信息认证,建立信用等级管理体系,合理设定群组规模,实施分级分类管理,并采取必要措施保护使用者个人信息安全。《规定》要求,互联网群组建立者、管理者应当履行群组管理责任,依据法律法规、用户协议和平台公约,规范群组网络行为和信息发布,构建文明有序的网络群体空间。互联网群组成员在参与群组信息交流时,应当遵守相关法律法规,文明互动、理性表达。</w:t>
      </w:r>
    </w:p>
    <w:p>
      <w:pPr>
        <w:pStyle w:val="TextBody"/>
      </w:pPr>
      <w:hyperlink r:id="rId42">
        <w:r>
          <w:rPr>
            <w:rStyle w:val="Hyperlink"/>
          </w:rPr>
          <w:t xml:space="preserve">http://news.jcrb.com/jxsw/201709/t20170907_1795077.html</w:t>
        </w:r>
      </w:hyperlink>
    </w:p>
    <w:p>
      <w:pPr>
        <w:pStyle w:val="Heading3"/>
      </w:pPr>
      <w:bookmarkStart w:id="43" w:name="国家海洋局印发无居民海岛名称管理办法"/>
      <w:bookmarkEnd w:id="43"/>
      <w:r>
        <w:t xml:space="preserve">国家海洋局印发《无居民海岛名称管理办法》</w:t>
      </w:r>
    </w:p>
    <w:p>
      <w:pPr>
        <w:pStyle w:val="FirstParagraph"/>
      </w:pPr>
      <w:r>
        <w:t xml:space="preserve">近日，国家海洋局印发《无居民海岛名称管理办法》（以下简称《办法》），加强无居民海岛命名、更名、名称发布使用、名称标志设置、名称信息和档案等管理。无居民海岛名称原则上由专名和通名组成，由国家海洋局按照国务院有关规定向社会发布。</w:t>
      </w:r>
    </w:p>
    <w:p>
      <w:pPr>
        <w:pStyle w:val="TextBody"/>
      </w:pPr>
      <w:r>
        <w:t xml:space="preserve">《办法》规定，无居民海岛命名和更名要有利于维护国家领土主权和海洋权益，严格限制涉及国家领土主权和海洋权益的无居民海岛更名；尊重当地群众的愿望，能够反映无居民海岛的历史文化传承和自然地理特征，与有关各方协商一致，从历史和现状出发，保持名称的相对稳定。《办法》明确，无居民海岛名称应使用规范文字，避免使用生僻字，不得使用阿拉伯数字和外国文字，不得使用侮辱性、歧视性和极端庸俗的文字。无居民海岛名称一般应维持现状，确需命名与更名的，应由沿海省级人民政府海洋主管部门会同有关部门提出意见，经沿海省级人民政府同意后，报国家海洋局确定。</w:t>
      </w:r>
    </w:p>
    <w:p>
      <w:pPr>
        <w:pStyle w:val="TextBody"/>
      </w:pPr>
      <w:hyperlink r:id="rId44">
        <w:r>
          <w:rPr>
            <w:rStyle w:val="Hyperlink"/>
          </w:rPr>
          <w:t xml:space="preserve">http://legal.china.com.cn/2017-09/08/content_41552444.htm</w:t>
        </w:r>
      </w:hyperlink>
    </w:p>
    <w:p>
      <w:pPr>
        <w:pStyle w:val="Heading2"/>
      </w:pPr>
      <w:bookmarkStart w:id="45" w:name="并购"/>
      <w:bookmarkEnd w:id="45"/>
      <w:r>
        <w:t xml:space="preserve">并购</w:t>
      </w:r>
    </w:p>
    <w:p>
      <w:pPr>
        <w:pStyle w:val="Heading3"/>
      </w:pPr>
      <w:bookmarkStart w:id="46" w:name="国旅联合拟5亿收购度势体育主营温泉项目将脱手"/>
      <w:bookmarkEnd w:id="46"/>
      <w:r>
        <w:t xml:space="preserve">国旅联合拟5亿收购度势体育，主营温泉项目将脱手</w:t>
      </w:r>
    </w:p>
    <w:p>
      <w:pPr>
        <w:pStyle w:val="FirstParagraph"/>
      </w:pPr>
      <w:r>
        <w:t xml:space="preserve">2017年9月11日晚，国旅联合披露重大资产重组预案，拟 6.82 元/股发行4354.84万股，并支付1.98亿元现金，合计作价4.95亿元收购上海度势体育文化传播有限公司（以下简称“度势体育”）100%股权。此外，国旅联合以2.86亿元作为挂牌价格第三次在深圳联交所公开挂牌出售汤山温泉100%股权，征集到一名符合条件的意向受让方，并经交易双方协商确定为2.99亿元。</w:t>
      </w:r>
    </w:p>
    <w:p>
      <w:pPr>
        <w:pStyle w:val="TextBody"/>
      </w:pPr>
      <w:r>
        <w:t xml:space="preserve">在国旅联合所披露交易预案的介绍中，度势体育对体育资源变现主要有三个方式，一是版权贸易；二是对体育营销客户进行品牌曝光；三是对客户提供资产收购、体育内容活动策划相关的咨询服务；其主要业务均系围绕体育资源的商业价值开发和变现来提供相关服务。除了欲收购度势体育外，国旅联合还在不断剥离亏损主业，加速转型，此次汤山温泉公司的出售，意味着国旅联合放弃了超过十年的主营业务。</w:t>
      </w:r>
    </w:p>
    <w:p>
      <w:pPr>
        <w:pStyle w:val="TextBody"/>
      </w:pPr>
      <w:hyperlink r:id="rId47">
        <w:r>
          <w:rPr>
            <w:rStyle w:val="Hyperlink"/>
          </w:rPr>
          <w:t xml:space="preserve">http://company.stcn.com/2017/0913/13633557.shtml</w:t>
        </w:r>
      </w:hyperlink>
    </w:p>
    <w:p>
      <w:pPr>
        <w:pStyle w:val="Heading3"/>
      </w:pPr>
      <w:bookmarkStart w:id="48" w:name="云天化拟6.8亿元收购天宁矿业51股权"/>
      <w:bookmarkEnd w:id="48"/>
      <w:r>
        <w:t xml:space="preserve">云天化拟6.8亿元收购天宁矿业51%股权</w:t>
      </w:r>
    </w:p>
    <w:p>
      <w:pPr>
        <w:pStyle w:val="FirstParagraph"/>
      </w:pPr>
      <w:r>
        <w:t xml:space="preserve">云天化于2017年9月12日晚公告，公司拟以现金收购公司控股股东云天化集团持有的天宁矿业51%股权，交易价格按股权评估价值作价为68,339.36万元。收购完成后云天化集团不再持有天宁矿业股权，天宁矿业成为公司的控股子公司，公司持股比例51%。</w:t>
      </w:r>
    </w:p>
    <w:p>
      <w:pPr>
        <w:pStyle w:val="TextBody"/>
      </w:pPr>
      <w:r>
        <w:t xml:space="preserve">公告表示，本次交易是落实云天化集团的承诺，有利于消除关联交易和与控股股东之间可能存在的同业竞争风险。同时，天宁矿业拥有丰富的磷矿资源，本次交易有利于降低公司磷肥产品生产成本，有利于加强公司对上游磷矿资源的整合力度，进一步实现公司“矿化一体”产业优势，提升公司磷肥产业的竞争力，有利于提升上市公司的盈利能力。公告表示，本次股权交易完成后，纽米科技在云天化集团的支持下，有利于保障纽米科技的产能规模扩张，更有利于实现其战略发展目标。</w:t>
      </w:r>
    </w:p>
    <w:p>
      <w:pPr>
        <w:pStyle w:val="TextBody"/>
      </w:pPr>
      <w:hyperlink r:id="rId49">
        <w:r>
          <w:rPr>
            <w:rStyle w:val="Hyperlink"/>
          </w:rPr>
          <w:t xml:space="preserve">http://company.stcn.com/2017/0913/13633535.shtml</w:t>
        </w:r>
      </w:hyperlink>
    </w:p>
    <w:p>
      <w:pPr>
        <w:pStyle w:val="Heading3"/>
      </w:pPr>
      <w:bookmarkStart w:id="50" w:name="博雅生物计划收购复大医药82股权"/>
      <w:bookmarkEnd w:id="50"/>
      <w:r>
        <w:t xml:space="preserve">博雅生物计划收购复大医药82%股权</w:t>
      </w:r>
    </w:p>
    <w:p>
      <w:pPr>
        <w:pStyle w:val="FirstParagraph"/>
      </w:pPr>
      <w:r>
        <w:t xml:space="preserve">2017年9月12日，博雅生物发布公告，公司于2017年9月11日与复大医疗及复大医药法定代表人就拟受让复大医药82%股权事宜达成初步意向，并签署框架协议。不过，博雅生物未透露具体作价，仅表示标的公司100%的全部股权估值不超过2.66亿元。</w:t>
      </w:r>
    </w:p>
    <w:p>
      <w:pPr>
        <w:pStyle w:val="TextBody"/>
      </w:pPr>
      <w:r>
        <w:t xml:space="preserve">据博雅生物披露，复大医药截至2016年12月31日的未分配利润不少于9400万元。双方约定，复大医疗需在正式协议签署前一个月内完成对复大医药的剥离，具体为：复大医药实施9400万元分红后，母公司复大医疗给予复大医药同等金额借款，同时母公司将复大医药股权转让给指定股东，最后确保复大医药新股东作为协议方与博雅生物重新签署收购协议。</w:t>
      </w:r>
    </w:p>
    <w:p>
      <w:pPr>
        <w:pStyle w:val="TextBody"/>
      </w:pPr>
      <w:hyperlink r:id="rId51">
        <w:r>
          <w:rPr>
            <w:rStyle w:val="Hyperlink"/>
          </w:rPr>
          <w:t xml:space="preserve">http://company.stcn.com/2017/0913/13633554.shtml</w:t>
        </w:r>
      </w:hyperlink>
    </w:p>
    <w:p>
      <w:pPr>
        <w:pStyle w:val="Heading3"/>
      </w:pPr>
      <w:bookmarkStart w:id="52" w:name="天华院拟收购实控人旗下橡胶机械资产"/>
      <w:bookmarkEnd w:id="52"/>
      <w:r>
        <w:t xml:space="preserve">天华院拟收购实控人旗下橡胶机械资产</w:t>
      </w:r>
    </w:p>
    <w:p>
      <w:pPr>
        <w:pStyle w:val="FirstParagraph"/>
      </w:pPr>
      <w:r>
        <w:t xml:space="preserve">天华院于2017年9月13日晚间公告称，拟以发行股份方式，向环球香港公司间接收购塑料和橡胶加工机械设备制造商KraussMaffei Group GmbH（克劳斯玛菲集团）100%股权，并募集配套资金。同时，公司将以非公开发行方式，向桂林橡机、益阳橡机、三明化机及华橡自控收购其主要经营性资产及负债，并募集配套资金。</w:t>
      </w:r>
    </w:p>
    <w:p>
      <w:pPr>
        <w:pStyle w:val="TextBody"/>
      </w:pPr>
      <w:r>
        <w:t xml:space="preserve">上述交易方的实控人均为中国化工集团，为公司实控人，此次重组构成关联交易。天华院整合集团旗下橡胶机械资产，显示出中国化工集团重组改革正在提速。中国化工集团是中国最大的化工企业，业务范围覆盖化工新材料及特种化学品、石油化工及炼化产品、农用化学品、氯碱化工、橡胶及橡塑机械、科研开发及设计六大板块。按照该集团计划，未来六项业务将缩减为四项，即材料科学、生命科学、环境科学以及基础化工。</w:t>
      </w:r>
    </w:p>
    <w:p>
      <w:pPr>
        <w:pStyle w:val="TextBody"/>
      </w:pPr>
      <w:hyperlink r:id="rId53">
        <w:r>
          <w:rPr>
            <w:rStyle w:val="Hyperlink"/>
          </w:rPr>
          <w:t xml:space="preserve">http://company.stcn.com/2017/0914/13636467.shtml</w:t>
        </w:r>
      </w:hyperlink>
    </w:p>
    <w:p>
      <w:pPr>
        <w:pStyle w:val="Heading3"/>
      </w:pPr>
      <w:bookmarkStart w:id="54" w:name="中集集团与顺丰速运签订战略合作框架协议"/>
      <w:bookmarkEnd w:id="54"/>
      <w:r>
        <w:t xml:space="preserve">中集集团与顺丰速运签订《战略合作框架协议》</w:t>
      </w:r>
    </w:p>
    <w:p>
      <w:pPr>
        <w:pStyle w:val="FirstParagraph"/>
      </w:pPr>
      <w:r>
        <w:t xml:space="preserve">2017年9月13日，中集集团与顺丰速运（顺丰控股全资子公司）签订《战略合作框架协议》，拟在多式联运、快递、“一带一路”与中欧班列、铁路、装备、技术、商业等领域开展进一步合作。同时，中集集团旗下子公司持有的中集电商78.24%股权将全部出售给顺丰旗下的智能快递柜运营公司丰巢科技。</w:t>
      </w:r>
    </w:p>
    <w:p>
      <w:pPr>
        <w:pStyle w:val="TextBody"/>
      </w:pPr>
      <w:r>
        <w:t xml:space="preserve">协议约定，双方合作范围包括：拟联合参与“一带一路”建设，在中欧班列等领域开展合作；拟在铁路相关业务，多式联运的装备、政策研究、行业标准制定等方面进行合作；拟联合各自优势在冷运设备、自动化物流分拣设备、空港相关设备、甩挂运输等方面合作；中集集团拟为顺丰速运及其子公司提供分拣、冷运、托盘相关设备，顺丰速运为中集集团提供快递相关物流服务；加强在资本层面的互动与交流，可共同设立公司、投资项目、发起基金等。</w:t>
      </w:r>
    </w:p>
    <w:p>
      <w:pPr>
        <w:pStyle w:val="TextBody"/>
      </w:pPr>
      <w:hyperlink r:id="rId55">
        <w:r>
          <w:rPr>
            <w:rStyle w:val="Hyperlink"/>
          </w:rPr>
          <w:t xml:space="preserve">http://company.stcn.com/2017/0914/13636490.shtml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- 2017年9月15日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7f6e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49" Type="http://schemas.openxmlformats.org/officeDocument/2006/relationships/hyperlink" Target="http://company.stcn.com/2017/0913/13633535.shtml" TargetMode="External"/><Relationship Id="rId51" Type="http://schemas.openxmlformats.org/officeDocument/2006/relationships/hyperlink" Target="http://company.stcn.com/2017/0913/13633554.shtml" TargetMode="External"/><Relationship Id="rId47" Type="http://schemas.openxmlformats.org/officeDocument/2006/relationships/hyperlink" Target="http://company.stcn.com/2017/0913/13633557.shtml" TargetMode="External"/><Relationship Id="rId53" Type="http://schemas.openxmlformats.org/officeDocument/2006/relationships/hyperlink" Target="http://company.stcn.com/2017/0914/13636467.shtml" TargetMode="External"/><Relationship Id="rId55" Type="http://schemas.openxmlformats.org/officeDocument/2006/relationships/hyperlink" Target="http://company.stcn.com/2017/0914/13636490.shtml" TargetMode="External"/><Relationship Id="rId36" Type="http://schemas.openxmlformats.org/officeDocument/2006/relationships/hyperlink" Target="http://legal.china.com.cn/2017-09/08/content_41552224.htm" TargetMode="External"/><Relationship Id="rId44" Type="http://schemas.openxmlformats.org/officeDocument/2006/relationships/hyperlink" Target="http://legal.china.com.cn/2017-09/08/content_41552444.htm" TargetMode="External"/><Relationship Id="rId42" Type="http://schemas.openxmlformats.org/officeDocument/2006/relationships/hyperlink" Target="http://news.jcrb.com/jxsw/201709/t20170907_1795077.html" TargetMode="External"/><Relationship Id="rId29" Type="http://schemas.openxmlformats.org/officeDocument/2006/relationships/hyperlink" Target="http://www.chinaforex.com.cn/index.php/cms/item-view-id-44829.shtml" TargetMode="External"/><Relationship Id="rId31" Type="http://schemas.openxmlformats.org/officeDocument/2006/relationships/hyperlink" Target="http://www.chinaforex.com.cn/index.php/cms/item-view-id-44872.shtml" TargetMode="External"/><Relationship Id="rId33" Type="http://schemas.openxmlformats.org/officeDocument/2006/relationships/hyperlink" Target="http://www.chinaforex.com.cn/index.php/cms/item-view-id-44923.shtml" TargetMode="External"/><Relationship Id="rId39" Type="http://schemas.openxmlformats.org/officeDocument/2006/relationships/hyperlink" Target="http://www.chinatax.gov.cn/n810341/n810755/c2765628/content.html" TargetMode="External"/><Relationship Id="rId23" Type="http://schemas.openxmlformats.org/officeDocument/2006/relationships/hyperlink" Target="http://www.csrc.gov.cn/pub/newsite/zjhxwfb/xwdd/201709/t20170908_323380.html" TargetMode="External"/><Relationship Id="rId25" Type="http://schemas.openxmlformats.org/officeDocument/2006/relationships/hyperlink" Target="http://www.csrc.gov.cn/pub/newsite/zjhxwfb/xwdd/201709/t20170908_323381.html" TargetMode="External"/><Relationship Id="rId27" Type="http://schemas.openxmlformats.org/officeDocument/2006/relationships/hyperlink" Target="http://www.szse.cn/main/aboutus/bsyw/39774646.shtml" TargetMode="External"/><Relationship Id="rId8" Type="http://schemas.openxmlformats.org/officeDocument/2006/relationships/hyperlink" Target="http://www.charltonslaw.com.cn/zhong-guo-zheng-jian-hui-tiao-zheng-ke-zhuan-zhai-he-ke-jiao-huan-zhai-fa-xing-fang-shi-bing-xiu-ding-fa-bu-zheng-quan-fa-xing-yu-cheng-xiao-guan-li-ban-fa"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9" Type="http://schemas.openxmlformats.org/officeDocument/2006/relationships/hyperlink" Target="http://company.stcn.com/2017/0913/13633535.shtml" TargetMode="External"/><Relationship Id="rId51" Type="http://schemas.openxmlformats.org/officeDocument/2006/relationships/hyperlink" Target="http://company.stcn.com/2017/0913/13633554.shtml" TargetMode="External"/><Relationship Id="rId47" Type="http://schemas.openxmlformats.org/officeDocument/2006/relationships/hyperlink" Target="http://company.stcn.com/2017/0913/13633557.shtml" TargetMode="External"/><Relationship Id="rId53" Type="http://schemas.openxmlformats.org/officeDocument/2006/relationships/hyperlink" Target="http://company.stcn.com/2017/0914/13636467.shtml" TargetMode="External"/><Relationship Id="rId55" Type="http://schemas.openxmlformats.org/officeDocument/2006/relationships/hyperlink" Target="http://company.stcn.com/2017/0914/13636490.shtml" TargetMode="External"/><Relationship Id="rId36" Type="http://schemas.openxmlformats.org/officeDocument/2006/relationships/hyperlink" Target="http://legal.china.com.cn/2017-09/08/content_41552224.htm" TargetMode="External"/><Relationship Id="rId44" Type="http://schemas.openxmlformats.org/officeDocument/2006/relationships/hyperlink" Target="http://legal.china.com.cn/2017-09/08/content_41552444.htm" TargetMode="External"/><Relationship Id="rId42" Type="http://schemas.openxmlformats.org/officeDocument/2006/relationships/hyperlink" Target="http://news.jcrb.com/jxsw/201709/t20170907_1795077.html" TargetMode="External"/><Relationship Id="rId29" Type="http://schemas.openxmlformats.org/officeDocument/2006/relationships/hyperlink" Target="http://www.chinaforex.com.cn/index.php/cms/item-view-id-44829.shtml" TargetMode="External"/><Relationship Id="rId31" Type="http://schemas.openxmlformats.org/officeDocument/2006/relationships/hyperlink" Target="http://www.chinaforex.com.cn/index.php/cms/item-view-id-44872.shtml" TargetMode="External"/><Relationship Id="rId33" Type="http://schemas.openxmlformats.org/officeDocument/2006/relationships/hyperlink" Target="http://www.chinaforex.com.cn/index.php/cms/item-view-id-44923.shtml" TargetMode="External"/><Relationship Id="rId39" Type="http://schemas.openxmlformats.org/officeDocument/2006/relationships/hyperlink" Target="http://www.chinatax.gov.cn/n810341/n810755/c2765628/content.html" TargetMode="External"/><Relationship Id="rId23" Type="http://schemas.openxmlformats.org/officeDocument/2006/relationships/hyperlink" Target="http://www.csrc.gov.cn/pub/newsite/zjhxwfb/xwdd/201709/t20170908_323380.html" TargetMode="External"/><Relationship Id="rId25" Type="http://schemas.openxmlformats.org/officeDocument/2006/relationships/hyperlink" Target="http://www.csrc.gov.cn/pub/newsite/zjhxwfb/xwdd/201709/t20170908_323381.html" TargetMode="External"/><Relationship Id="rId27" Type="http://schemas.openxmlformats.org/officeDocument/2006/relationships/hyperlink" Target="http://www.szse.cn/main/aboutus/bsyw/3977464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2017-09-15T03:24:46Z</dcterms:created>
  <dcterms:modified xsi:type="dcterms:W3CDTF">2017-09-15T03:24:46Z</dcterms:modified>
</cp:coreProperties>
</file>