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- 2017年10月13日</w:t>
      </w:r>
    </w:p>
    <w:p>
      <w:pPr>
        <w:pStyle w:val="ReadOnline"/>
      </w:pPr>
      <w:hyperlink r:id="rId8">
        <w:r>
          <w:rPr/>
          <w:t>online version</w:t>
        </w:r>
      </w:hyperlink>
    </w:p>
    <w:p>
      <w:pPr>
        <w:pStyle w:val="Title"/>
      </w:pPr>
      <w:r>
        <w:t>首只实施信用申购的可转换公司债券在深圳交易所成功发行</w:t>
      </w:r>
    </w:p>
    <w:p>
      <w:pPr>
        <w:pStyle w:val="Heading2"/>
      </w:pPr>
      <w:bookmarkStart w:id="21" w:name="资本市场"/>
      <w:bookmarkEnd w:id="21"/>
      <w:r>
        <w:t xml:space="preserve">资本市场</w:t>
      </w:r>
    </w:p>
    <w:p>
      <w:pPr>
        <w:pStyle w:val="Heading3"/>
      </w:pPr>
      <w:bookmarkStart w:id="22" w:name="首只实施信用申购的可转换公司债券在深圳交易所成功发行"/>
      <w:bookmarkEnd w:id="22"/>
      <w:r>
        <w:t xml:space="preserve">首只实施信用申购的可转换公司债券在深圳交易所成功发行</w:t>
      </w:r>
    </w:p>
    <w:p>
      <w:pPr>
        <w:pStyle w:val="FirstParagraph"/>
      </w:pPr>
      <w:r>
        <w:t xml:space="preserve">深圳交易所（以下简称“深交所”）中小板上市公司东方雨虹日前披露公开发行可转债发行公告，雨虹转债成为深沪两市首只实施信用申购的可转债，近日，雨虹转债成功完成发行，发行规模1,840万张，募集资金总额18.4亿元。</w:t>
      </w:r>
    </w:p>
    <w:p>
      <w:pPr>
        <w:pStyle w:val="TextBody"/>
      </w:pPr>
      <w:r>
        <w:t xml:space="preserve">深交所有关负责人表示，为确保本次雨虹转债发行安全顺利进行，在发行前，深交所严格按照证监会统一工作部署，认真细致地做好发行准备工作，并多次督促发行人、保荐人和其他中介机构完善发行方案。在雨虹转债发行过程中，深交所统筹安排、精心组织，积极协调包括中国结算深圳分公司、发行人和中介机构等在内的参与各方，严格按照新修订的可转债相关业务规则，顺利完成了本次发行工作。下一步，深交所将在中国证监会领导下，继续认真做好可转债等再融资产品的发行上市工作，有效防范金融风险，持续激发市场活力，不断强化服务实体经济的能力。</w:t>
      </w:r>
    </w:p>
    <w:p>
      <w:pPr>
        <w:pStyle w:val="TextBody"/>
      </w:pPr>
      <w:hyperlink r:id="rId23">
        <w:r>
          <w:rPr>
            <w:rStyle w:val="Hyperlink"/>
          </w:rPr>
          <w:t xml:space="preserve">http://www.szse.cn/main/aboutus/bsyw/39774965.shtml</w:t>
        </w:r>
      </w:hyperlink>
    </w:p>
    <w:p>
      <w:pPr>
        <w:pStyle w:val="Heading3"/>
      </w:pPr>
      <w:bookmarkStart w:id="24" w:name="中国银行国际金融研究所发布2017年四季度经济金融展望报告"/>
      <w:bookmarkEnd w:id="24"/>
      <w:r>
        <w:t xml:space="preserve">中国银行国际金融研究所发布《2017年四季度经济金融展望报告》</w:t>
      </w:r>
    </w:p>
    <w:p>
      <w:pPr>
        <w:pStyle w:val="FirstParagraph"/>
      </w:pPr>
      <w:r>
        <w:t xml:space="preserve">近日，中国银行国际金融研究所发布了《2017年四季度经济金融展望报告》（以下简称《报告》）。《报告》表示，今年上半年，上市银行净息差持续处于低位，大型银行净息差整体呈现回升态势。随着货币政策稳中偏紧、利率中枢持续上行，预计四季度上市银行净息差降幅有望收窄。市场利率上行的影响将逐渐由银行负债端传导至资产端，其中大型银行涉及同业业务较少，流动性较充裕，负债来源中存款占比较高，净息差有所回升。</w:t>
      </w:r>
    </w:p>
    <w:p>
      <w:pPr>
        <w:pStyle w:val="TextBody"/>
      </w:pPr>
      <w:r>
        <w:t xml:space="preserve">《报告》指出，对于四季度国内债市行情，四季度债券市场行情有望继续小幅反弹。中国银行国际金融研究所研究员梁婧表示，促使债券市场小幅反弹的因素主要有：一是经济下行压力加大，债市配置价值上升；二是“债券通”正式试运行，境外投资者投资境内债券市场更加便捷，投资意愿进一步上升；三是中美利差呈现持续扩大态势。在人民币升值背景下，境外机构投资于中国境内债券市场不仅可获得利差还可获得汇差，资金配置债券市场的热情将进一步高涨。</w:t>
      </w:r>
    </w:p>
    <w:p>
      <w:pPr>
        <w:pStyle w:val="TextBody"/>
      </w:pPr>
      <w:hyperlink r:id="rId25">
        <w:r>
          <w:rPr>
            <w:rStyle w:val="Hyperlink"/>
          </w:rPr>
          <w:t xml:space="preserve">http://www.chinaforex.com.cn/index.php/cms/item-view-id-45160.shtml</w:t>
        </w:r>
      </w:hyperlink>
    </w:p>
    <w:p>
      <w:pPr>
        <w:pStyle w:val="Heading3"/>
      </w:pPr>
      <w:bookmarkStart w:id="26" w:name="人民币入篮一年国际化水平获广泛认可"/>
      <w:bookmarkEnd w:id="26"/>
      <w:r>
        <w:t xml:space="preserve">人民币“入篮”一年，国际化水平获广泛认可</w:t>
      </w:r>
    </w:p>
    <w:p>
      <w:pPr>
        <w:pStyle w:val="FirstParagraph"/>
      </w:pPr>
      <w:r>
        <w:t xml:space="preserve">2017年10月1日，人民币“入篮”满一年。IMF最新公布的2017年第二季度的“官方外汇储备货币构成（COFER）”季度数据显示，各国持有的外汇储备中人民币储备持续增加，规模约为993.6亿美元，较2016年年底上涨9.5%，占已知币种总额的1.07%。</w:t>
      </w:r>
    </w:p>
    <w:p>
      <w:pPr>
        <w:pStyle w:val="TextBody"/>
      </w:pPr>
      <w:r>
        <w:t xml:space="preserve">在人民币纳入SDR货币篮子的一年时间里，人民币汇率弹性大大增强，双向波动态势更加明显。与此同时，日内波幅进一步扩大，今年以来多次日内波幅超过1%。国家外汇管理局副局长陆磊日前表示，人民币汇率会更具弹性，完善以市场供求为基础的人民币汇率形成机制的方向是不会改变的。2017年10月1日，IMF总裁拉加德正式宣布，人民币将被国际社会认可，成为可自由使用的国际货币。苏宁金融研究院宏观经济研究中心主任、高级研究员黄志龙认为，这说明人民币纳入SDR货币篮子一年后的国际化水平，已得到IMF等国际组织的广泛认可。</w:t>
      </w:r>
    </w:p>
    <w:p>
      <w:pPr>
        <w:pStyle w:val="TextBody"/>
      </w:pPr>
      <w:hyperlink r:id="rId27">
        <w:r>
          <w:rPr>
            <w:rStyle w:val="Hyperlink"/>
          </w:rPr>
          <w:t xml:space="preserve">http://www.chinaforex.com.cn/index.php/cms/item-view-id-45207.shtml</w:t>
        </w:r>
      </w:hyperlink>
    </w:p>
    <w:p>
      <w:pPr>
        <w:pStyle w:val="Heading3"/>
      </w:pPr>
      <w:bookmarkStart w:id="28" w:name="上市公司并购新三板挂牌公司掀高潮三季度披露交易金额超百亿"/>
      <w:bookmarkEnd w:id="28"/>
      <w:r>
        <w:t xml:space="preserve">上市公司并购新三板挂牌公司掀高潮，三季度披露交易金额超百亿</w:t>
      </w:r>
    </w:p>
    <w:p>
      <w:pPr>
        <w:pStyle w:val="FirstParagraph"/>
      </w:pPr>
      <w:r>
        <w:t xml:space="preserve">近期，新三板挂牌公司被A股上市公司并购的公告可谓不绝于耳。《每日经济新闻》记者根据Choice数据统计发现，截至9月末，2017年三季度首次披露的上市公司并购新三板公司案例宗数、交易金额均再掀高潮，分别达到45宗、164亿元。与此同时，2017年上市公司并购新三板公司披露可查的交易规模已经高达380亿元，已经超过2016年全年交易规模，是2016年全年的1.25倍，为历年最高。</w:t>
      </w:r>
    </w:p>
    <w:p>
      <w:pPr>
        <w:pStyle w:val="TextBody"/>
      </w:pPr>
      <w:r>
        <w:t xml:space="preserve">中国民族证券投资银行总部董事广泽峰认为，新三板公司数量众多，很多好的企业都已经在新三板市场上挂牌了，上市公司寻求并购重组标的无需再像以前，找券商投行、投资顾问、中介机构等寻求标的。新三板公司治理相对规范、财务数据和信息披露透明，从新三板市场来寻找并购标的，要比以前省事儿得多。不过需要注意的是，上市公司淘金新三板的进程也并非都能成功，最后终止并购的案例也不在少数，例如，融钰集团日前表示“因受到市场环境及监管政策等因素的影响、暂时无法形成具体可行的方案继续推进本次重大资产重组”，终止了重大资产重组事项。</w:t>
      </w:r>
    </w:p>
    <w:p>
      <w:pPr>
        <w:pStyle w:val="TextBody"/>
      </w:pPr>
      <w:hyperlink r:id="rId29">
        <w:r>
          <w:rPr>
            <w:rStyle w:val="Hyperlink"/>
          </w:rPr>
          <w:t xml:space="preserve">http://www.chinaforex.com.cn/index.php/cms/item-view-id-45215.shtml</w:t>
        </w:r>
      </w:hyperlink>
    </w:p>
    <w:p>
      <w:pPr>
        <w:pStyle w:val="Heading2"/>
      </w:pPr>
      <w:bookmarkStart w:id="30" w:name="保险"/>
      <w:bookmarkEnd w:id="30"/>
      <w:r>
        <w:t xml:space="preserve">保险</w:t>
      </w:r>
    </w:p>
    <w:p>
      <w:pPr>
        <w:pStyle w:val="Heading3"/>
      </w:pPr>
      <w:bookmarkStart w:id="31" w:name="中国拟完善保险资金运用内部控制制度"/>
      <w:bookmarkEnd w:id="31"/>
      <w:r>
        <w:t xml:space="preserve">中国拟完善保险资金运用内部控制制度</w:t>
      </w:r>
    </w:p>
    <w:p>
      <w:pPr>
        <w:pStyle w:val="FirstParagraph"/>
      </w:pPr>
      <w:r>
        <w:t xml:space="preserve">中国保险监督管理委员会近日表示，为进一步推动保险资金运用内部控制制度建设，有效防范和化解风险，维护保险资金安全与稳定，该机构就《保险资金运用内部控制应用指引(第4号—第6号)》(以下简称《指引》)向各保险公司征求意见。</w:t>
      </w:r>
    </w:p>
    <w:p>
      <w:pPr>
        <w:pStyle w:val="TextBody"/>
      </w:pPr>
      <w:r>
        <w:t xml:space="preserve">此次《指引》进一步对股权投资、不动产投资和金融投资领域相关风险予以提示。例如，《指引》提出保险机构应至少关注涉及股权投资的五类风险，包括市场风险，投资范围、交易结构及投资标的合规风险，法律风险，操作风险，道德风险。《指引》强调，保险机构开展股权投资，投资决策层和投资执行层应当各司其职，谨慎决策，勤勉尽责，充分考虑股权投资风险，按照资产认可标准和资本约束，审慎评估股权投资对偿付能力、收益水平和流动性的影响，严格履行相关程序，并对决策和操作行为负责。</w:t>
      </w:r>
    </w:p>
    <w:p>
      <w:pPr>
        <w:pStyle w:val="TextBody"/>
      </w:pPr>
      <w:hyperlink r:id="rId32">
        <w:r>
          <w:rPr>
            <w:rStyle w:val="Hyperlink"/>
          </w:rPr>
          <w:t xml:space="preserve">http://news.sina.com.cn/o/2017-10-10/doc-ifymqxpz2946201.shtml</w:t>
        </w:r>
      </w:hyperlink>
    </w:p>
    <w:p>
      <w:pPr>
        <w:pStyle w:val="Heading3"/>
      </w:pPr>
      <w:bookmarkStart w:id="33" w:name="中国保监会保险行业正面临三大深刻变化"/>
      <w:bookmarkEnd w:id="33"/>
      <w:r>
        <w:t xml:space="preserve">中国保监会：保险行业正面临三大深刻变化</w:t>
      </w:r>
    </w:p>
    <w:p>
      <w:pPr>
        <w:pStyle w:val="FirstParagraph"/>
      </w:pPr>
      <w:r>
        <w:t xml:space="preserve">2017年10月10日至11日，由中国保险行业协会、深圳市前海管理局联合主办的“2017中国寿险业十月前海峰会”在深圳召开，会议主题为“回归本源 创新变革 增强寿险发展新动能”。中国保监会副主席黄洪在在会上表示，当前人身保险业面临的形势正在发生深刻的变化，出现了很多前所未有的新情况、新变化、新挑战。</w:t>
      </w:r>
    </w:p>
    <w:p>
      <w:pPr>
        <w:pStyle w:val="TextBody"/>
      </w:pPr>
      <w:r>
        <w:t xml:space="preserve">黄洪指出，从回归本源、创新变革的角度来看，保险行业在政策、环境、科技三个方面发生了深刻的变化，值得行业高度关注。从政策方面看，货币政策的主基调是稳健中性，调节闸门，金融政策的主基调是服务实体经济、防控金融风险、深化金融改革；从环境方面看，我国经济增长稳中向好态势日趋明显，居民财富得到快速积累，人身保险业的配套制度实现了前所未有的连续的重大突破，为人身保险业改革发展、回归本源创造了难得机遇和有利条件；从科技方面看，移动互联、大数据、人工智能、基因检测等新技术的应用，对传统的人身保险业正在产生重大而深刻的影响。</w:t>
      </w:r>
    </w:p>
    <w:p>
      <w:pPr>
        <w:pStyle w:val="TextBody"/>
      </w:pPr>
      <w:hyperlink r:id="rId34">
        <w:r>
          <w:rPr>
            <w:rStyle w:val="Hyperlink"/>
          </w:rPr>
          <w:t xml:space="preserve">http://www.stcn.com/2017/1012/13684350.shtml</w:t>
        </w:r>
      </w:hyperlink>
    </w:p>
    <w:p>
      <w:pPr>
        <w:pStyle w:val="Heading2"/>
      </w:pPr>
      <w:bookmarkStart w:id="35" w:name="税收"/>
      <w:bookmarkEnd w:id="35"/>
      <w:r>
        <w:t xml:space="preserve">税收</w:t>
      </w:r>
    </w:p>
    <w:p>
      <w:pPr>
        <w:pStyle w:val="Heading3"/>
      </w:pPr>
      <w:bookmarkStart w:id="36" w:name="全国首个国地税联合制定的税收规范性文件2017年10月起施行"/>
      <w:bookmarkEnd w:id="36"/>
      <w:r>
        <w:t xml:space="preserve">全国首个国地税联合制定的税收规范性文件2017年10月起施行</w:t>
      </w:r>
    </w:p>
    <w:p>
      <w:pPr>
        <w:pStyle w:val="FirstParagraph"/>
      </w:pPr>
      <w:r>
        <w:t xml:space="preserve">日前，广东省国税局、广东省地税局联合印发了《广东省税务系统行政执法公示办法（试行）》《广东省税务系统行政执法全过程记录办法(试行)》《广东省税务系统重大执法决定法制审核办法（试行）》（以下简称“三项制度办法”），成为全国首个国地税联合制定的税收规范性文件，这些文件自2017年10月1日起施行。</w:t>
      </w:r>
    </w:p>
    <w:p>
      <w:pPr>
        <w:pStyle w:val="TextBody"/>
      </w:pPr>
      <w:r>
        <w:t xml:space="preserve">今年5月，国家税务总局下发推行三项制度试点方案，从65家省税务局申报的311家试点单位中确定31家单位开展试点。其中，广东是全国两个全省国税、地税系统开展全部三项制度试点的省份之一。据介绍，“三项制度办法”是广东税务系统的重大具体举措。此系列办法主要针对广东省税务机关行政执法公示、行政执法全过程记录和重大税收执法决定法制审核作出具体规定，旨在保障和监督税务行政机关依法有效履行职责，促进行政执法公开透明、合法规范，更好保障纳税人的知情权、监督权，优化税收法治环境，改善营商环境。</w:t>
      </w:r>
    </w:p>
    <w:p>
      <w:pPr>
        <w:pStyle w:val="TextBody"/>
      </w:pPr>
      <w:hyperlink r:id="rId37">
        <w:r>
          <w:rPr>
            <w:rStyle w:val="Hyperlink"/>
          </w:rPr>
          <w:t xml:space="preserve">http://politics.gmw.cn/2017-10/06/content_26434751.htm</w:t>
        </w:r>
      </w:hyperlink>
    </w:p>
    <w:p>
      <w:pPr>
        <w:pStyle w:val="Heading2"/>
      </w:pPr>
      <w:bookmarkStart w:id="38" w:name="行业"/>
      <w:bookmarkEnd w:id="38"/>
      <w:r>
        <w:t xml:space="preserve">行业</w:t>
      </w:r>
    </w:p>
    <w:p>
      <w:pPr>
        <w:pStyle w:val="Heading3"/>
      </w:pPr>
      <w:bookmarkStart w:id="39" w:name="国务院印发关于在更大范围推进证照分离改革试点工作的意见"/>
      <w:bookmarkEnd w:id="39"/>
      <w:r>
        <w:t xml:space="preserve">国务院印发《关于在更大范围推进“证照分离”改革试点工作的意见》</w:t>
      </w:r>
    </w:p>
    <w:p>
      <w:pPr>
        <w:pStyle w:val="FirstParagraph"/>
      </w:pPr>
      <w:r>
        <w:t xml:space="preserve">经李克强总理签批，国务院日前印发《关于在更大范围推进“证照分离”改革试点工作的意见》（以下简称《意见》），部署进一步破解“办照容易办证难”、“准入不准营”等突出问题，加快营造稳定公平透明可预期的营商环境。</w:t>
      </w:r>
    </w:p>
    <w:p>
      <w:pPr>
        <w:pStyle w:val="TextBody"/>
      </w:pPr>
      <w:r>
        <w:t xml:space="preserve">《意见》提出了四方面改革重点。一是清理规范各类许可。除涉及国家安全、公共安全、生态安全和公众健康等重大公共利益外，能分离的许可类的“证”都分离出去。二是切实加强事中事后监管。坚持“谁审批谁监管、谁主管谁监管”原则，探索完善监管措施。三是加快推进信息共享。各自贸试验区要提前完成接入国家数据共享交换平台的工作，尽快实现跨部门、跨层级、跨区域信息共享。四是统筹推进“证照分离”和“多证合一”改革。按照能整合的尽量整合、能简化的尽量简化、该减掉的坚决减掉的原则，全面梳理、分类处理各类涉企证照事项。</w:t>
      </w:r>
    </w:p>
    <w:p>
      <w:pPr>
        <w:pStyle w:val="TextBody"/>
      </w:pPr>
      <w:hyperlink r:id="rId40">
        <w:r>
          <w:rPr>
            <w:rStyle w:val="Hyperlink"/>
          </w:rPr>
          <w:t xml:space="preserve">http://www.chinalaw.gov.cn/art/2017/9/29/art_2_206317.html</w:t>
        </w:r>
      </w:hyperlink>
    </w:p>
    <w:p>
      <w:pPr>
        <w:pStyle w:val="Heading3"/>
      </w:pPr>
      <w:bookmarkStart w:id="41" w:name="工商总局通知要求贯彻落实无证无照经营查处办法"/>
      <w:bookmarkEnd w:id="41"/>
      <w:r>
        <w:t xml:space="preserve">工商总局通知要求贯彻落实《无证无照经营查处办法》</w:t>
      </w:r>
    </w:p>
    <w:p>
      <w:pPr>
        <w:pStyle w:val="FirstParagraph"/>
      </w:pPr>
      <w:r>
        <w:t xml:space="preserve">国家工商总局近日发出通知，要求各地工商和市场监管部门切实抓好《无证无照经营查处办法》（以下简称《查处办法》）的贯彻落实，进一步做好无照经营查处工作，《查处办法》于2017年10月1日起施行。</w:t>
      </w:r>
    </w:p>
    <w:p>
      <w:pPr>
        <w:pStyle w:val="TextBody"/>
      </w:pPr>
      <w:r>
        <w:t xml:space="preserve">《查处办法》扩展了不属于无证无照经营活动的范围，进一步明确了查处与引导相结合、处罚与教育相结合的查处工作原则，按照“谁审批、谁监管，谁主管、谁监管”的原则，立足职责法定，合理区分了“无证经营”“无照经营”及“无证无照经营”三种情形，厘清了各部门的监管职责，进一步完善了事中事后监管体制。各地要准确把握、坚决落实，依法开展市场主体登记，切实履行无照经营查处职责，做好与相关部门的执法协作工作。</w:t>
      </w:r>
    </w:p>
    <w:p>
      <w:pPr>
        <w:pStyle w:val="TextBody"/>
      </w:pPr>
      <w:hyperlink r:id="rId42">
        <w:r>
          <w:rPr>
            <w:rStyle w:val="Hyperlink"/>
          </w:rPr>
          <w:t xml:space="preserve">http://www.saic.gov.cn/xw/yw/zj/201709/t20170929_269442.html</w:t>
        </w:r>
      </w:hyperlink>
    </w:p>
    <w:p>
      <w:pPr>
        <w:pStyle w:val="Heading3"/>
      </w:pPr>
      <w:bookmarkStart w:id="43" w:name="国务院办公厅关于完善反洗钱反恐怖融资反逃税监管体制机制的意见正式印发"/>
      <w:bookmarkEnd w:id="43"/>
      <w:r>
        <w:t xml:space="preserve">《国务院办公厅关于完善反洗钱、反恐怖融资、反逃税监管体制机制的意见》正式印发</w:t>
      </w:r>
    </w:p>
    <w:p>
      <w:pPr>
        <w:pStyle w:val="FirstParagraph"/>
      </w:pPr>
      <w:r>
        <w:t xml:space="preserve">近日，经中央全面深化改革领导小组审议、国务院批准，《国务院办公厅关于完善反洗钱、反恐怖融资、反逃税监管体制机制的意见》（以下简称《意见》）正式印发，要求相关部门认真贯彻落实。</w:t>
      </w:r>
    </w:p>
    <w:p>
      <w:pPr>
        <w:pStyle w:val="TextBody"/>
      </w:pPr>
      <w:r>
        <w:t xml:space="preserve">《意见》指出，反洗钱、反恐怖融资、反逃税监管体制机制是推进国家治理能力现代化、维护经济社会安全稳定的重要保障，是参与全球治理、扩大金融业双向开放的重要手段。《意见》按照问题导向、防控为本、立足国情、依法行政的基本原则，从健全工作机制、完善法律制度、健全预防措施、严惩违法犯罪活动、深化国际合作、创造良好社会氛围六个方面提出二十余项具体措施，目标是到2020年逐步健全适应社会主义市场经济要求、适合中国国情、符合国际标准的“三反”法律法规体系，建立职责清晰、权责对等、配合有力的“三反”监管协调合作机制，有效防控洗钱、恐怖融资和逃税风险。</w:t>
      </w:r>
    </w:p>
    <w:p>
      <w:pPr>
        <w:pStyle w:val="TextBody"/>
      </w:pPr>
      <w:hyperlink r:id="rId44">
        <w:r>
          <w:rPr>
            <w:rStyle w:val="Hyperlink"/>
          </w:rPr>
          <w:t xml:space="preserve">http://www.pbc.gov.cn/goutongjiaoliu/113456/113469/3391751/index.html</w:t>
        </w:r>
      </w:hyperlink>
    </w:p>
    <w:p>
      <w:pPr>
        <w:pStyle w:val="Heading3"/>
      </w:pPr>
      <w:bookmarkStart w:id="45" w:name="技术转移服务规范国家标准批准发布"/>
      <w:bookmarkEnd w:id="45"/>
      <w:r>
        <w:t xml:space="preserve">《技术转移服务规范》国家标准批准发布</w:t>
      </w:r>
    </w:p>
    <w:p>
      <w:pPr>
        <w:pStyle w:val="FirstParagraph"/>
      </w:pPr>
      <w:r>
        <w:t xml:space="preserve">近日，国家质检总局、国家标准委批准发布《技术转移服务规范》（以下简称《规范》）国家标准，标准号为GB/T 34670-2017，将于2018年1月1日实施。这是我国首个技术转移服务推荐性国家标准。</w:t>
      </w:r>
    </w:p>
    <w:p>
      <w:pPr>
        <w:pStyle w:val="TextBody"/>
      </w:pPr>
      <w:r>
        <w:t xml:space="preserve">《规范》规定了包括范围、规范性引用文件、术语和定义、一般要求、通用流程、服务评价与改进、技术转移服务主要类型等共12章，着重突出了两大特点：一是进一步明晰了技术转移概念，指出技术转移是指制造某种产品、应用某种工艺或提供某种服务的系统知识，通过各种途径从技术供给方向技术需求方转移的过程。技术转移的内容包括科学知识、技术成果、科技信息和科技能力等；二是规定了七类社会关注度高且已形成较成熟模式的技术转移服务类型，包括技术开发服务、技术转让服务、技术服务与技术咨询服务、技术评价服务、技术投融资服务、信息网络平台服务，提出了差异化的服务内容、服务要求和服务流程。</w:t>
      </w:r>
    </w:p>
    <w:p>
      <w:pPr>
        <w:pStyle w:val="TextBody"/>
      </w:pPr>
      <w:hyperlink r:id="rId46">
        <w:r>
          <w:rPr>
            <w:rStyle w:val="Hyperlink"/>
          </w:rPr>
          <w:t xml:space="preserve">http://www.gov.cn/xinwen/2017-10/09/content_5230238.htm</w:t>
        </w:r>
      </w:hyperlink>
    </w:p>
    <w:p>
      <w:pPr>
        <w:pStyle w:val="Heading2"/>
      </w:pPr>
      <w:bookmarkStart w:id="47" w:name="并购"/>
      <w:bookmarkEnd w:id="47"/>
      <w:r>
        <w:t xml:space="preserve">并购</w:t>
      </w:r>
    </w:p>
    <w:p>
      <w:pPr>
        <w:pStyle w:val="Heading3"/>
      </w:pPr>
      <w:bookmarkStart w:id="48" w:name="卓尔集团收购化塑汇52.48股权切入化工交易平台市场"/>
      <w:bookmarkEnd w:id="48"/>
      <w:r>
        <w:t xml:space="preserve">卓尔集团收购化塑汇52.48%股权，切入化工交易平台市场</w:t>
      </w:r>
    </w:p>
    <w:p>
      <w:pPr>
        <w:pStyle w:val="FirstParagraph"/>
      </w:pPr>
      <w:r>
        <w:t xml:space="preserve">卓尔集团B2B交易平台再扩新版图，2017年10月11日，公司宣布收购化工及塑料原材料电商平台“化塑汇”，成为其控股股东。卓尔集团认为，此举将拓展卓尔交易生态的客户基础、提升交易规模，助力公司实现中国最大B2B电商的目标。</w:t>
      </w:r>
    </w:p>
    <w:p>
      <w:pPr>
        <w:pStyle w:val="TextBody"/>
      </w:pPr>
      <w:r>
        <w:t xml:space="preserve">根据收购协议，卓尔集团将通过本次收购持有化塑汇52.48%的股权。此次收购完成后，化塑汇也将被纳入卓尔全球智能交易生态圈，对接卓尔智能物流、金融、供应链管理等线上线下交易服务链条。卓尔集团相关负责人表示，化塑汇拥有大量高频交易业务和庞大数据沉淀，而卓尔集团由卓尔金服及关联机构众邦银行领衔的供应链金融服务优势明显。双方协同对接后，将为客户提供更便捷有效的金融服务，助力化塑汇持续做大规模，成为全国最大的化工电商平台。</w:t>
      </w:r>
    </w:p>
    <w:p>
      <w:pPr>
        <w:pStyle w:val="TextBody"/>
      </w:pPr>
      <w:hyperlink r:id="rId49">
        <w:r>
          <w:rPr>
            <w:rStyle w:val="Hyperlink"/>
          </w:rPr>
          <w:t xml:space="preserve">http://stock.stcn.com/2017/1011/13683917.shtml</w:t>
        </w:r>
      </w:hyperlink>
    </w:p>
    <w:p>
      <w:pPr>
        <w:pStyle w:val="Heading3"/>
      </w:pPr>
      <w:bookmarkStart w:id="50" w:name="至纯科技收购珐成制药59.13股权"/>
      <w:bookmarkEnd w:id="50"/>
      <w:r>
        <w:t xml:space="preserve">至纯科技收购珐成制药59.13%股权</w:t>
      </w:r>
    </w:p>
    <w:p>
      <w:pPr>
        <w:pStyle w:val="FirstParagraph"/>
      </w:pPr>
      <w:r>
        <w:t xml:space="preserve">至纯科技2017年10月9日晚间公告，公司通过上海联合产权交易所收购珐成制药系统工程（上海）有限公司（以下简称“珐成制药”）59.13%的股权，价格为1823万元。公司于2017年10月9日收到上海联合产权交易所 0002153 号产权交易凭证。</w:t>
      </w:r>
    </w:p>
    <w:p>
      <w:pPr>
        <w:pStyle w:val="TextBody"/>
      </w:pPr>
      <w:r>
        <w:t xml:space="preserve">至纯科技是国内领先的高纯工艺系统供应商，公司主要生产工艺流程需要进行制程污染控制的制造业，其中医药领域的高纯工艺与系统是至纯科技的主营业务之一。至纯科技表示，本次交易有利于公司整合相关资源，优化资源配置，进一步提升公司在医药领域的市场竞争力，助推公司主营业务的发展。收购完成后公司将成为珐成制药的控股股东，并将其纳入合并报表范围。</w:t>
      </w:r>
    </w:p>
    <w:p>
      <w:pPr>
        <w:pStyle w:val="TextBody"/>
      </w:pPr>
      <w:hyperlink r:id="rId51">
        <w:r>
          <w:rPr>
            <w:rStyle w:val="Hyperlink"/>
          </w:rPr>
          <w:t xml:space="preserve">http://company.stcn.com/2017/1009/13677902.shtml</w:t>
        </w:r>
      </w:hyperlink>
    </w:p>
    <w:p>
      <w:pPr>
        <w:pStyle w:val="Heading3"/>
      </w:pPr>
      <w:bookmarkStart w:id="52" w:name="新五丰拟收购天心种业股权拉开产业整合大幕"/>
      <w:bookmarkEnd w:id="52"/>
      <w:r>
        <w:t xml:space="preserve">新五丰拟收购天心种业股权，拉开产业整合大幕</w:t>
      </w:r>
    </w:p>
    <w:p>
      <w:pPr>
        <w:pStyle w:val="FirstParagraph"/>
      </w:pPr>
      <w:r>
        <w:t xml:space="preserve">新五丰2017年10月11日披露，公司于2017年10月10日与湖南天心种业股份有限公司等（以下简称“天心种业”）的24名自然人股东签署了《发行股份及支付现金购买资产协议》。根据协议，公司拟以5.87元/股价格，通过发行股份及支付现金相结合的方式，购买28名交易对方合计持有的天心种业98.1317%股权和现代农业集团享有的200万元国有独享资本公积。</w:t>
      </w:r>
    </w:p>
    <w:p>
      <w:pPr>
        <w:pStyle w:val="TextBody"/>
      </w:pPr>
      <w:r>
        <w:t xml:space="preserve">公告称，通过此次交易、增强了新五丰生猪育种及种猪生产实力，扩大生猪养殖规模，丰富产品类型，拓宽客户范围及销售渠道，加强了公司对生猪全产业链的布局。此次收购的标的公司资产优良，具有良好的发展前景和较强盈利能力，有利于提高新五丰的公司价值，并为上市公司的股东带来更好的回报。公司同时表示，本次交易落实了国家积极推进的国有企业整体上市和积极推进混合所有制改革的精神，以新五丰作为上市平台，将现代农业集团下属的天心种业股权注入上市公司，以实现现代农业集团下属的生猪养殖板块整体上市。</w:t>
      </w:r>
    </w:p>
    <w:p>
      <w:pPr>
        <w:pStyle w:val="TextBody"/>
      </w:pPr>
      <w:hyperlink r:id="rId53">
        <w:r>
          <w:rPr>
            <w:rStyle w:val="Hyperlink"/>
          </w:rPr>
          <w:t xml:space="preserve">http://company.stcn.com/2017/1011/13683954.shtml</w:t>
        </w:r>
      </w:hyperlink>
    </w:p>
    <w:p>
      <w:pPr>
        <w:pStyle w:val="Heading3"/>
      </w:pPr>
      <w:bookmarkStart w:id="54" w:name="中葡股份转型新能源拟逾27亿收购国安锂业"/>
      <w:bookmarkEnd w:id="54"/>
      <w:r>
        <w:t xml:space="preserve">中葡股份转型新能源，拟逾27亿收购国安锂业</w:t>
      </w:r>
    </w:p>
    <w:p>
      <w:pPr>
        <w:pStyle w:val="FirstParagraph"/>
      </w:pPr>
      <w:r>
        <w:t xml:space="preserve">中葡股份2017年10月9日晚间公布了重组预案，中葡股份公告称，拟向控股股东下属企业青海国安以6.71元/股的价格，以非公开发行股份的方式购买其持有的国安锂业100%股权。本次交易作价27.08亿元。交易完成后，公司将新增碳酸锂、钾肥为主的盐湖资源综合开发利用业务，并将借此迈出对新能源领域布局的关键一步。</w:t>
      </w:r>
    </w:p>
    <w:p>
      <w:pPr>
        <w:pStyle w:val="TextBody"/>
      </w:pPr>
      <w:r>
        <w:t xml:space="preserve">此次交易中，评估机构采用资产基础法进行预估，对其中涉及的矿业权采取折现现金流量法进行预估。根据预估交易价格测算，公司拟向交易对方合计发行不超过4.03亿股。中葡股份是中信国安集团旗下的公司，目前中信国安集团直接持有上市公司32.72%股份，其旗下公司中信国安投资有限公司持有中葡股份11.17%股份，本次交易不构成重组上市。中葡股份称，通过此次并购国安锂业，公司将快速进入电池级碳酸锂生产行业，形成年产1万吨电池级碳酸锂的产业布局，并将形成年产40万吨级钾肥产业布局，这都将对成为公司稳定的盈利来源。</w:t>
      </w:r>
    </w:p>
    <w:p>
      <w:pPr>
        <w:pStyle w:val="TextBody"/>
      </w:pPr>
      <w:hyperlink r:id="rId55">
        <w:r>
          <w:rPr>
            <w:rStyle w:val="Hyperlink"/>
          </w:rPr>
          <w:t xml:space="preserve">http://company.stcn.com/2017/1010/13678670.shtml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- 2017年10月13日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22c68d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1" Type="http://schemas.openxmlformats.org/officeDocument/2006/relationships/hyperlink" Target="http://company.stcn.com/2017/1009/13677902.shtml" TargetMode="External"/><Relationship Id="rId55" Type="http://schemas.openxmlformats.org/officeDocument/2006/relationships/hyperlink" Target="http://company.stcn.com/2017/1010/13678670.shtml" TargetMode="External"/><Relationship Id="rId53" Type="http://schemas.openxmlformats.org/officeDocument/2006/relationships/hyperlink" Target="http://company.stcn.com/2017/1011/13683954.shtml" TargetMode="External"/><Relationship Id="rId32" Type="http://schemas.openxmlformats.org/officeDocument/2006/relationships/hyperlink" Target="http://news.sina.com.cn/o/2017-10-10/doc-ifymqxpz2946201.shtml" TargetMode="External"/><Relationship Id="rId37" Type="http://schemas.openxmlformats.org/officeDocument/2006/relationships/hyperlink" Target="http://politics.gmw.cn/2017-10/06/content_26434751.htm" TargetMode="External"/><Relationship Id="rId49" Type="http://schemas.openxmlformats.org/officeDocument/2006/relationships/hyperlink" Target="http://stock.stcn.com/2017/1011/13683917.shtml" TargetMode="External"/><Relationship Id="rId25" Type="http://schemas.openxmlformats.org/officeDocument/2006/relationships/hyperlink" Target="http://www.chinaforex.com.cn/index.php/cms/item-view-id-45160.shtml" TargetMode="External"/><Relationship Id="rId27" Type="http://schemas.openxmlformats.org/officeDocument/2006/relationships/hyperlink" Target="http://www.chinaforex.com.cn/index.php/cms/item-view-id-45207.shtml" TargetMode="External"/><Relationship Id="rId29" Type="http://schemas.openxmlformats.org/officeDocument/2006/relationships/hyperlink" Target="http://www.chinaforex.com.cn/index.php/cms/item-view-id-45215.shtml" TargetMode="External"/><Relationship Id="rId40" Type="http://schemas.openxmlformats.org/officeDocument/2006/relationships/hyperlink" Target="http://www.chinalaw.gov.cn/art/2017/9/29/art_2_206317.html" TargetMode="External"/><Relationship Id="rId46" Type="http://schemas.openxmlformats.org/officeDocument/2006/relationships/hyperlink" Target="http://www.gov.cn/xinwen/2017-10/09/content_5230238.htm" TargetMode="External"/><Relationship Id="rId44" Type="http://schemas.openxmlformats.org/officeDocument/2006/relationships/hyperlink" Target="http://www.pbc.gov.cn/goutongjiaoliu/113456/113469/3391751/index.html" TargetMode="External"/><Relationship Id="rId42" Type="http://schemas.openxmlformats.org/officeDocument/2006/relationships/hyperlink" Target="http://www.saic.gov.cn/xw/yw/zj/201709/t20170929_269442.html" TargetMode="External"/><Relationship Id="rId34" Type="http://schemas.openxmlformats.org/officeDocument/2006/relationships/hyperlink" Target="http://www.stcn.com/2017/1012/13684350.shtml" TargetMode="External"/><Relationship Id="rId23" Type="http://schemas.openxmlformats.org/officeDocument/2006/relationships/hyperlink" Target="http://www.szse.cn/main/aboutus/bsyw/39774965.shtml" TargetMode="External"/><Relationship Id="rId8" Type="http://schemas.openxmlformats.org/officeDocument/2006/relationships/hyperlink" Target="http://www.charltonslaw.com.cn/shou-zhi-shi-shi-xin-yong-shen-gou-de-ke-zhuan-huan-gong-si-zhai-quan-zai-shen-zhen-jiao-yi-suo-cheng-gong-fa-xing"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1" Type="http://schemas.openxmlformats.org/officeDocument/2006/relationships/hyperlink" Target="http://company.stcn.com/2017/1009/13677902.shtml" TargetMode="External"/><Relationship Id="rId55" Type="http://schemas.openxmlformats.org/officeDocument/2006/relationships/hyperlink" Target="http://company.stcn.com/2017/1010/13678670.shtml" TargetMode="External"/><Relationship Id="rId53" Type="http://schemas.openxmlformats.org/officeDocument/2006/relationships/hyperlink" Target="http://company.stcn.com/2017/1011/13683954.shtml" TargetMode="External"/><Relationship Id="rId32" Type="http://schemas.openxmlformats.org/officeDocument/2006/relationships/hyperlink" Target="http://news.sina.com.cn/o/2017-10-10/doc-ifymqxpz2946201.shtml" TargetMode="External"/><Relationship Id="rId37" Type="http://schemas.openxmlformats.org/officeDocument/2006/relationships/hyperlink" Target="http://politics.gmw.cn/2017-10/06/content_26434751.htm" TargetMode="External"/><Relationship Id="rId49" Type="http://schemas.openxmlformats.org/officeDocument/2006/relationships/hyperlink" Target="http://stock.stcn.com/2017/1011/13683917.shtml" TargetMode="External"/><Relationship Id="rId25" Type="http://schemas.openxmlformats.org/officeDocument/2006/relationships/hyperlink" Target="http://www.chinaforex.com.cn/index.php/cms/item-view-id-45160.shtml" TargetMode="External"/><Relationship Id="rId27" Type="http://schemas.openxmlformats.org/officeDocument/2006/relationships/hyperlink" Target="http://www.chinaforex.com.cn/index.php/cms/item-view-id-45207.shtml" TargetMode="External"/><Relationship Id="rId29" Type="http://schemas.openxmlformats.org/officeDocument/2006/relationships/hyperlink" Target="http://www.chinaforex.com.cn/index.php/cms/item-view-id-45215.shtml" TargetMode="External"/><Relationship Id="rId40" Type="http://schemas.openxmlformats.org/officeDocument/2006/relationships/hyperlink" Target="http://www.chinalaw.gov.cn/art/2017/9/29/art_2_206317.html" TargetMode="External"/><Relationship Id="rId46" Type="http://schemas.openxmlformats.org/officeDocument/2006/relationships/hyperlink" Target="http://www.gov.cn/xinwen/2017-10/09/content_5230238.htm" TargetMode="External"/><Relationship Id="rId44" Type="http://schemas.openxmlformats.org/officeDocument/2006/relationships/hyperlink" Target="http://www.pbc.gov.cn/goutongjiaoliu/113456/113469/3391751/index.html" TargetMode="External"/><Relationship Id="rId42" Type="http://schemas.openxmlformats.org/officeDocument/2006/relationships/hyperlink" Target="http://www.saic.gov.cn/xw/yw/zj/201709/t20170929_269442.html" TargetMode="External"/><Relationship Id="rId34" Type="http://schemas.openxmlformats.org/officeDocument/2006/relationships/hyperlink" Target="http://www.stcn.com/2017/1012/13684350.shtml" TargetMode="External"/><Relationship Id="rId23" Type="http://schemas.openxmlformats.org/officeDocument/2006/relationships/hyperlink" Target="http://www.szse.cn/main/aboutus/bsyw/39774965.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2017-10-13T06:29:13Z</dcterms:created>
  <dcterms:modified xsi:type="dcterms:W3CDTF">2017-10-13T06:29:13Z</dcterms:modified>
</cp:coreProperties>
</file>