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- 2017年11月17日</w:t>
      </w:r>
    </w:p>
    <w:p>
      <w:pPr>
        <w:pStyle w:val="ReadOnline"/>
      </w:pPr>
      <w:hyperlink r:id="rId8">
        <w:r>
          <w:rPr/>
          <w:t>online version</w:t>
        </w:r>
      </w:hyperlink>
    </w:p>
    <w:p>
      <w:pPr>
        <w:pStyle w:val="Title"/>
      </w:pPr>
      <w:r>
        <w:t>上海自贸港贸易限制将大松绑，多地启动自贸港探索</w:t>
      </w:r>
    </w:p>
    <w:p>
      <w:pPr>
        <w:pStyle w:val="Heading2"/>
      </w:pPr>
      <w:bookmarkStart w:id="21" w:name="资本市场"/>
      <w:bookmarkEnd w:id="21"/>
      <w:r>
        <w:t xml:space="preserve">资本市场</w:t>
      </w:r>
    </w:p>
    <w:p>
      <w:pPr>
        <w:pStyle w:val="Heading3"/>
      </w:pPr>
      <w:bookmarkStart w:id="22" w:name="上海自贸港贸易限制将大松绑多地启动自贸港探索"/>
      <w:bookmarkEnd w:id="22"/>
      <w:r>
        <w:t xml:space="preserve">上海自贸港贸易限制将大松绑，多地启动自贸港探索</w:t>
      </w:r>
    </w:p>
    <w:p>
      <w:pPr>
        <w:pStyle w:val="FirstParagraph"/>
      </w:pPr>
      <w:r>
        <w:t xml:space="preserve">《经济参考报》记者日前采访多位参与上海自贸试验区的一线建设者和专家学者获悉，上海市已将建设自由贸易港的方案报送至国家有关部委征求意见。与自贸试验区相比，自由贸易港有望在一线（国境线）放开方面取得新突破，将取消或最大程度简化入区货物的贸易管制措施，有望实现不报关、不完税、转口贸易也不受限制。此外，国际融资租赁等离岸产业也将成为上海自贸港的一大亮点。</w:t>
      </w:r>
    </w:p>
    <w:p>
      <w:pPr>
        <w:pStyle w:val="TextBody"/>
      </w:pPr>
      <w:r>
        <w:t xml:space="preserve">根据今年3月公布的《全面深化中国（上海）自由贸易试验区改革开放方案》，上海将在洋山保税港区和上海浦东机场综合保税区等海关特殊监管区域内，设立“自由贸易港区”。值得关注的是，与自贸试验区一样，上海正在建设的自由贸易港，是服务于整个国家对外开放的战略，与“一带一路”建设和长江经济带发展结合起来，也将成为上海自由贸易港新的使命。国务院发展研究中心副主任隆国强表示，下一步，要以更大的改革决心和力度，继续发挥自由贸易试验区的作用，并在此基础上打造新的开放高地，探索自由贸易港。 在他看来，自由贸易港不一定单指海港，内陆港、空港也都可以，应该是开放程度更高的地区，在国家授权后展开更高水平的开放试验。</w:t>
      </w:r>
    </w:p>
    <w:p>
      <w:pPr>
        <w:pStyle w:val="TextBody"/>
      </w:pPr>
      <w:hyperlink r:id="rId23">
        <w:r>
          <w:rPr>
            <w:rStyle w:val="Hyperlink"/>
          </w:rPr>
          <w:t xml:space="preserve">http://www.chinaforex.com.cn/index.php/cms/item-view-id-45522.shtml</w:t>
        </w:r>
      </w:hyperlink>
    </w:p>
    <w:p>
      <w:pPr>
        <w:pStyle w:val="Heading3"/>
      </w:pPr>
      <w:bookmarkStart w:id="24" w:name="银监会印发中国进出口银行监督管理办法"/>
      <w:bookmarkEnd w:id="24"/>
      <w:r>
        <w:t xml:space="preserve">银监会印发《中国进出口银行监督管理办法》</w:t>
      </w:r>
    </w:p>
    <w:p>
      <w:pPr>
        <w:pStyle w:val="FirstParagraph"/>
      </w:pPr>
      <w:r>
        <w:t xml:space="preserve">为落实政策性银行改革方案，弥补监管制度短板，防范和化解新形势下的金融风险，银监会近日印发《中国进出口银行监督管理办法》（以下简称《办法》）。</w:t>
      </w:r>
    </w:p>
    <w:p>
      <w:pPr>
        <w:pStyle w:val="TextBody"/>
      </w:pPr>
      <w:r>
        <w:t xml:space="preserve">《办法》包括总则、市场定位、公司治理、风险管理、内部控制、资本管理、激励约束、监督管理、附则等九个章节，共七十一条，覆盖进出口银行经营管理和审慎性监管的主要方面：一是要求其坚守政策性金融定位，坚持以政策性业务为主体开展经营活动。二是要求其构建决策科学、执行有力、监督有效的公司治理机制，并对董事会、高管层、监事会提出履职要求。三是要求其结合自身业务特点构建全面风险管理和内部控制体系，有效防控信用风险、国别风险等各类风险。 四是要求其建立健全资本约束机制，制定有效的资本规划和资本补充计划，完善内部资本充足评估程序和动态资本补充机制。五是要求其健全激励约束机制，强化内部问责。</w:t>
      </w:r>
    </w:p>
    <w:p>
      <w:pPr>
        <w:pStyle w:val="TextBody"/>
      </w:pPr>
      <w:hyperlink r:id="rId25">
        <w:r>
          <w:rPr>
            <w:rStyle w:val="Hyperlink"/>
          </w:rPr>
          <w:t xml:space="preserve">http://www.gov.cn/xinwen/2017-11/16/content_5240102.htm</w:t>
        </w:r>
      </w:hyperlink>
    </w:p>
    <w:p>
      <w:pPr>
        <w:pStyle w:val="Heading3"/>
      </w:pPr>
      <w:bookmarkStart w:id="26" w:name="境外投资管理办法推多项改革房地产恐难逃敏感行业定位"/>
      <w:bookmarkEnd w:id="26"/>
      <w:r>
        <w:t xml:space="preserve">境外投资管理办法推多项改革，房地产恐难逃敏感行业定位</w:t>
      </w:r>
    </w:p>
    <w:p>
      <w:pPr>
        <w:pStyle w:val="FirstParagraph"/>
      </w:pPr>
      <w:r>
        <w:t xml:space="preserve">为进一步加强对中国企业海外投资的管理，近日国家发改委公布了《企业境外投资管理办法》（征求意见稿）。本次《征求意见稿》主要是在《境外投资项目核准和备案管理办法》基础上修改而来，从公布的内容上看，发改委拟在“放管服”三个方面推出八项改革，包括取消项目信息报告；简化核准、备案申请手续；放宽核准、备案时间底线等，以支持企业创新境外投资。</w:t>
      </w:r>
    </w:p>
    <w:p>
      <w:pPr>
        <w:pStyle w:val="TextBody"/>
      </w:pPr>
      <w:r>
        <w:t xml:space="preserve">值得注意的是，征求意见稿规定了中资企业开展“敏感类”项目（包括涉及敏感国家和地区的项目和涉及敏感行业的项目）境外投资时，必须通过发改委的审批，无论投资由境内企业直接或通过其控制的境外企业进行。据悉，本次征求意见稿未明确将房地产列入敏感行业。但是，鉴于四部委今年8月份发布的《关于进一步引导和规范境外投资方向的指导意见》将房地产列为限制类行业，业内普遍认为，房地产事实上已被标示为敏感行业。</w:t>
      </w:r>
    </w:p>
    <w:p>
      <w:pPr>
        <w:pStyle w:val="TextBody"/>
      </w:pPr>
      <w:hyperlink r:id="rId27">
        <w:r>
          <w:rPr>
            <w:rStyle w:val="Hyperlink"/>
          </w:rPr>
          <w:t xml:space="preserve">http://www.chinaforex.com.cn/index.php/cms/item-view-id-45519.shtml</w:t>
        </w:r>
      </w:hyperlink>
    </w:p>
    <w:p>
      <w:pPr>
        <w:pStyle w:val="Heading3"/>
      </w:pPr>
      <w:bookmarkStart w:id="28" w:name="银监会印发国家开发银行监督管理办法"/>
      <w:bookmarkEnd w:id="28"/>
      <w:r>
        <w:t xml:space="preserve">银监会印发《国家开发银行监督管理办法》</w:t>
      </w:r>
    </w:p>
    <w:p>
      <w:pPr>
        <w:pStyle w:val="FirstParagraph"/>
      </w:pPr>
      <w:r>
        <w:t xml:space="preserve">为落实国家开发银行（以下简称“开发银行”）深化改革方案，弥补监管制度短板，防范和化解新形势下的金融风险，银监会近日印发《国家开发银行监督管理办法》（以下简称《办法》）。</w:t>
      </w:r>
    </w:p>
    <w:p>
      <w:pPr>
        <w:pStyle w:val="TextBody"/>
      </w:pPr>
      <w:r>
        <w:t xml:space="preserve">《办法》主要内容包括总则、市场定位、公司治理、风险管理、内部控制、资本管理、激励约束、监督管理、附则等九个章节，共六十六条。重点强调以下五个方面：一是要求开发银行坚守开发性金融定位，以开发性业务为主，辅以商业性业务，发挥中长期投融资作用。二是要求开发银行完善现代金融企业制度，构建决策科学、执行有力、监督有效的公司治理机制。三是要求开发银行加强风险管理和内部控制，建立符合银行运行一般规律的、与开发性金融相适应的风险管理和内部控制体系。 四是要求开发银行建立健全以资本充足率为核心的资本约束机制。五是要求开发银行强化责任追究和问责，建立符合开发性金融特点的激励约束机制。</w:t>
      </w:r>
    </w:p>
    <w:p>
      <w:pPr>
        <w:pStyle w:val="TextBody"/>
      </w:pPr>
      <w:hyperlink r:id="rId29">
        <w:r>
          <w:rPr>
            <w:rStyle w:val="Hyperlink"/>
          </w:rPr>
          <w:t xml:space="preserve">http://www.gov.cn/xinwen/2017-11/16/content_5240100.htm</w:t>
        </w:r>
      </w:hyperlink>
    </w:p>
    <w:p>
      <w:pPr>
        <w:pStyle w:val="Heading2"/>
      </w:pPr>
      <w:bookmarkStart w:id="30" w:name="保险"/>
      <w:bookmarkEnd w:id="30"/>
      <w:r>
        <w:t xml:space="preserve">保险</w:t>
      </w:r>
    </w:p>
    <w:p>
      <w:pPr>
        <w:pStyle w:val="Heading3"/>
      </w:pPr>
      <w:bookmarkStart w:id="31" w:name="中国保监会对健康保险管理办法征求意见稿公开征求意见"/>
      <w:bookmarkEnd w:id="31"/>
      <w:r>
        <w:t xml:space="preserve">中国保监会对《健康保险管理办法（征求意见稿）》公开征求意见</w:t>
      </w:r>
    </w:p>
    <w:p>
      <w:pPr>
        <w:pStyle w:val="FirstParagraph"/>
      </w:pPr>
      <w:r>
        <w:t xml:space="preserve">2017年11月15日，中国保监会对拟修订的《健康保险管理办法（征求意见稿）》（以下简称《征求意见稿》）公开征求意见，旨在促进健康保险的发展，规范健康保险的经营行为，保护健康保险活动当事人的合法权益，提升人民群众健康保障水平。</w:t>
      </w:r>
    </w:p>
    <w:p>
      <w:pPr>
        <w:pStyle w:val="TextBody"/>
      </w:pPr>
      <w:r>
        <w:t xml:space="preserve">《征求意见稿》明确，除健康保险公司外，保险公司经营健康保险业务应当成立专门健康保险事业部，且享受税收优惠政策的健康保险产品在产品设计、赔付率等方面应当遵循相关政策和监管要求。根据《征求意见稿》，保险公司可以将健康保险产品与健康管理服务相结合，提供健康风险评估和干预，提供疾病预防、健康体检、健康咨询、健康维护、慢性病管理、养生保健等服务，其分摊的成本不得超过净保险费的20%。 超出以上限额的服务，应当单独定价，不计入保险费，并在合同中明示健康管理服务价格。在医保合作方面，保险公司应当积极发挥健康保险费率调节机制对医疗费用和风险管控的作用，降低不合理的医疗费用支出，并在充分保障客户隐私和数据安全的前提下，鼓励保险公司与医疗机构、基本医保部门等实现信息互联和数据共享。</w:t>
      </w:r>
    </w:p>
    <w:p>
      <w:pPr>
        <w:pStyle w:val="TextBody"/>
      </w:pPr>
      <w:hyperlink r:id="rId32">
        <w:r>
          <w:rPr>
            <w:rStyle w:val="Hyperlink"/>
          </w:rPr>
          <w:t xml:space="preserve">http://xw.sinoins.com/2017-11/15/content_247596.htm</w:t>
        </w:r>
      </w:hyperlink>
    </w:p>
    <w:p>
      <w:pPr>
        <w:pStyle w:val="Heading2"/>
      </w:pPr>
      <w:bookmarkStart w:id="33" w:name="税收"/>
      <w:bookmarkEnd w:id="33"/>
      <w:r>
        <w:t xml:space="preserve">税收</w:t>
      </w:r>
    </w:p>
    <w:p>
      <w:pPr>
        <w:pStyle w:val="Heading3"/>
      </w:pPr>
      <w:bookmarkStart w:id="34" w:name="沪港通继续暂免征收个人所得税"/>
      <w:bookmarkEnd w:id="34"/>
      <w:r>
        <w:t xml:space="preserve">沪港通继续暂免征收个人所得税</w:t>
      </w:r>
    </w:p>
    <w:p>
      <w:pPr>
        <w:pStyle w:val="FirstParagraph"/>
      </w:pPr>
      <w:r>
        <w:t xml:space="preserve">财政部、国家税务总局和中国证监会近日发布通知，就沪港股票市场交易互联互通机制（以下简称“沪港通”）有关个人所得税政策明确，对内地个人投资者通过沪港通投资香港联交所上市股票取得的转让差价所得，自2017年11月17日起至2019年12月4日止，继续暂免征收个人所得税。</w:t>
      </w:r>
    </w:p>
    <w:p>
      <w:pPr>
        <w:pStyle w:val="TextBody"/>
      </w:pPr>
      <w:r>
        <w:t xml:space="preserve">沪港通于2014年11月17日正式启动，上海证券交易所和香港联合交易所有限公司建立技术连接，使内地和香港投资者可以通过当地证券公司或经纪商买卖规定范围内的对方交易所上市的股票。当时财政部等三部门明确，对内地个人通过沪港通投资港股的转让差价所得，自2014年11月17日起至2017年11月16日止，三年内暂免征收个人所得税。</w:t>
      </w:r>
    </w:p>
    <w:p>
      <w:pPr>
        <w:pStyle w:val="TextBody"/>
      </w:pPr>
      <w:hyperlink r:id="rId35">
        <w:r>
          <w:rPr>
            <w:rStyle w:val="Hyperlink"/>
          </w:rPr>
          <w:t xml:space="preserve">http://www.chinaforex.com.cn/index.php/cms/item-view-id-45517.shtml</w:t>
        </w:r>
      </w:hyperlink>
    </w:p>
    <w:p>
      <w:pPr>
        <w:pStyle w:val="Heading2"/>
      </w:pPr>
      <w:bookmarkStart w:id="36" w:name="行业"/>
      <w:bookmarkEnd w:id="36"/>
      <w:r>
        <w:t xml:space="preserve">行业</w:t>
      </w:r>
    </w:p>
    <w:p>
      <w:pPr>
        <w:pStyle w:val="Heading3"/>
      </w:pPr>
      <w:bookmarkStart w:id="37" w:name="国家工商总局发布网络交易违法失信惩戒暂行办法征求意见稿"/>
      <w:bookmarkEnd w:id="37"/>
      <w:r>
        <w:t xml:space="preserve">国家工商总局发布《网络交易违法失信惩戒暂行办法（征求意见稿）》</w:t>
      </w:r>
    </w:p>
    <w:p>
      <w:pPr>
        <w:pStyle w:val="FirstParagraph"/>
      </w:pPr>
      <w:r>
        <w:t xml:space="preserve">国家工商总局近日发布《网络交易违法失信惩戒暂行办法（征求意见稿）》（以下简称《暂行办法》），向社会公开征求意见。 《暂行办法》除根据违法失信行为的社会危害程度，规定采取公示违法信息、发布消费警示、提请屏蔽网站、停止接入服务、采取技术制约等惩戒措施外，还规定将因严重违法行为受到惩戒的网络商品经营者列为重点监督管理对象，在惩戒期限内实施线下重点监管。</w:t>
      </w:r>
    </w:p>
    <w:p>
      <w:pPr>
        <w:pStyle w:val="TextBody"/>
      </w:pPr>
      <w:r>
        <w:t xml:space="preserve">《暂行办法》对违法失信惩戒的认定和实施程序进行了具体规定，在明确了严重违法失信行为和一般违法失信行为的认定标准和对应的惩戒措施基础上，设置了各个环节的程序性规定，包括管辖权设置、决定程序、异议程序等，确保违法失信名单管理和惩戒措施实施的明确性、指向性。《暂行办法》明确建立违法失信行为人信息互通共享机制，从而及时发现、关闭被查处的违法失信经营者在其他网络交易平台继续违法经营的店铺。《暂行办法》规定对违法失信行为人有关信息进行多渠道公示，有利于各网络交易平台违法失信经营者信息互通共享，促进实现惩戒效果广泛覆盖。</w:t>
      </w:r>
    </w:p>
    <w:p>
      <w:pPr>
        <w:pStyle w:val="TextBody"/>
      </w:pPr>
      <w:hyperlink r:id="rId38">
        <w:r>
          <w:rPr>
            <w:rStyle w:val="Hyperlink"/>
          </w:rPr>
          <w:t xml:space="preserve">http://www.legaldaily.com.cn/index_article/content/2017-11/14/content_7387248.htm?node=5955</w:t>
        </w:r>
      </w:hyperlink>
    </w:p>
    <w:p>
      <w:pPr>
        <w:pStyle w:val="Heading3"/>
      </w:pPr>
      <w:bookmarkStart w:id="39" w:name="上海发布推动新一代人工智能发展实施意见"/>
      <w:bookmarkEnd w:id="39"/>
      <w:r>
        <w:t xml:space="preserve">上海发布推动新一代人工智能发展实施意见</w:t>
      </w:r>
    </w:p>
    <w:p>
      <w:pPr>
        <w:pStyle w:val="FirstParagraph"/>
      </w:pPr>
      <w:r>
        <w:t xml:space="preserve">近日，上海市政府正式发布《关于本市推动新一代人工智能发展的实施意见》（以下简称《实施意见》），《实施意见》提出，上海将加快形成以人工智能芯片及传感器、机器人及智能硬件、智能无人系统及软件等为重点的世界级新兴产业集群，到2020年实现人工智能重点产业规模超过1000亿，成为新增长点。</w:t>
      </w:r>
    </w:p>
    <w:p>
      <w:pPr>
        <w:pStyle w:val="TextBody"/>
      </w:pPr>
      <w:r>
        <w:t xml:space="preserve">《实施意见》共五个部分21条措施。主要内容突出“三个深度融合”。首先，推动人工智能与实体经济深度融合，形成经济新增量。其次，促进人工智能与创新创业深度融合，形成发展新动能。最后，打造多元主体深度融合的智能生态圈，形成要素新供给。上海还将大力推进人工智能促进实体经济降本增效，在智能制造、现代金融、商贸服务、现代物流、现代农业等领域深度应用，提升全员劳动生产率，实现经济能级优势提升。</w:t>
      </w:r>
    </w:p>
    <w:p>
      <w:pPr>
        <w:pStyle w:val="TextBody"/>
      </w:pPr>
      <w:hyperlink r:id="rId40">
        <w:r>
          <w:rPr>
            <w:rStyle w:val="Hyperlink"/>
          </w:rPr>
          <w:t xml:space="preserve">http://news.sina.com.cn/c/2017-11-14/doc-ifynsait8258137.shtml</w:t>
        </w:r>
      </w:hyperlink>
    </w:p>
    <w:p>
      <w:pPr>
        <w:pStyle w:val="Heading3"/>
      </w:pPr>
      <w:bookmarkStart w:id="41" w:name="民航局印发民航行业信用管理办法试行"/>
      <w:bookmarkEnd w:id="41"/>
      <w:r>
        <w:t xml:space="preserve">民航局印发《民航行业信用管理办法（试行）》</w:t>
      </w:r>
    </w:p>
    <w:p>
      <w:pPr>
        <w:pStyle w:val="FirstParagraph"/>
      </w:pPr>
      <w:r>
        <w:t xml:space="preserve">为贯彻落实《社会信用体系建设规划纲要（2014-2020年）》和《国务院关于建立完善守信联合激励和失信联合惩戒制度，加快推进社会诚信建设的指导意见》的精神，加强民航行业信用文化建设，维护民用航空活动秩序，促进民航行业健康发展，近日，民航局正式印发《民航行业信用管理办法（试行）》（以下简称《管理办法》）。</w:t>
      </w:r>
    </w:p>
    <w:p>
      <w:pPr>
        <w:pStyle w:val="TextBody"/>
      </w:pPr>
      <w:r>
        <w:t xml:space="preserve">《管理办法》共五章共三十一条，对民航行业信用信息的采集、使用、移除等事项进行了规范，要求设立全国统一的民航行业信用信息记录，全面记录在我国境内从事民用航空活动或者在我国境外从事需要我国批准的民用航空活动的组织和个人的基本信息和违法失信信息。违法失信信息是指违反相关法律、行政法规、规章规定或者依法应当记入信用记录的失信行为信息，分为一般失信行为信息和严重失信行为信息。《管理办法》明确，对因一般失信行为被记入信用记录的相对人视情从严管理。 对因严重失信行为被记入信用记录的相对人，则加大检查频次，依照《民航行政机关行政处罚裁量权规范办法》从重处罚，运用多种手段采取惩戒措施。</w:t>
      </w:r>
    </w:p>
    <w:p>
      <w:pPr>
        <w:pStyle w:val="TextBody"/>
      </w:pPr>
      <w:hyperlink r:id="rId42">
        <w:r>
          <w:rPr>
            <w:rStyle w:val="Hyperlink"/>
          </w:rPr>
          <w:t xml:space="preserve">http://www.gov.cn/xinwen/2017-11/14/content_5239534.htm</w:t>
        </w:r>
      </w:hyperlink>
    </w:p>
    <w:p>
      <w:pPr>
        <w:pStyle w:val="Heading3"/>
      </w:pPr>
      <w:bookmarkStart w:id="43" w:name="发改委发布工程咨询行业管理办法实行终身负责制"/>
      <w:bookmarkEnd w:id="43"/>
      <w:r>
        <w:t xml:space="preserve">发改委发布《工程咨询行业管理办法》实行终身负责制</w:t>
      </w:r>
    </w:p>
    <w:p>
      <w:pPr>
        <w:pStyle w:val="FirstParagraph"/>
      </w:pPr>
      <w:r>
        <w:t xml:space="preserve">发改委2017年11月14日发布《工程咨询行业管理办法》（以下简称《办法》），并自2017年12月6日起施行。</w:t>
      </w:r>
    </w:p>
    <w:p>
      <w:pPr>
        <w:pStyle w:val="TextBody"/>
      </w:pPr>
      <w:r>
        <w:t xml:space="preserve">工程咨询服务范围包括规划咨询、项目咨询、评估咨询、全过程工程咨询。《办法》实行咨询成果质量终身负责制。工程项目在设计使用年限内，因工程咨询质量导致项目单位重大损失的，应倒查咨询成果质量责任，形成工程咨询成果质量追溯机制。《办法》规定，取得咨询工程师（投资）职业资格证书的人员从事工程咨询工作的，应当选择且仅能同时选择一个工程咨询单位作为其执业单位，进行执业登记并取得登记证书。</w:t>
      </w:r>
    </w:p>
    <w:p>
      <w:pPr>
        <w:pStyle w:val="TextBody"/>
      </w:pPr>
      <w:hyperlink r:id="rId44">
        <w:r>
          <w:rPr>
            <w:rStyle w:val="Hyperlink"/>
          </w:rPr>
          <w:t xml:space="preserve">http://www.chinalawinfo.com/News/NewsFullText.aspx?NewsId=88401&amp;NewsType=1</w:t>
        </w:r>
      </w:hyperlink>
    </w:p>
    <w:p>
      <w:pPr>
        <w:pStyle w:val="Heading2"/>
      </w:pPr>
      <w:bookmarkStart w:id="45" w:name="并购"/>
      <w:bookmarkEnd w:id="45"/>
      <w:r>
        <w:t xml:space="preserve">并购</w:t>
      </w:r>
    </w:p>
    <w:p>
      <w:pPr>
        <w:pStyle w:val="Heading3"/>
      </w:pPr>
      <w:bookmarkStart w:id="46" w:name="世纪华通1.5亿元收购文脉互动51股权"/>
      <w:bookmarkEnd w:id="46"/>
      <w:r>
        <w:t xml:space="preserve">世纪华通1.5亿元收购文脉互动51%股权</w:t>
      </w:r>
    </w:p>
    <w:p>
      <w:pPr>
        <w:pStyle w:val="FirstParagraph"/>
      </w:pPr>
      <w:r>
        <w:t xml:space="preserve">2017年11月14日晚间，世纪华通发成公告，上市公司全资子公司无锡七酷投资有限公司（以下简称“七酷投资”）近日与李刚、樟树市浩宇投资管理中心（有限合伙）（以下简称“浩宇投资”）签署《北京文脉互动科技有限公司股权转让意向书》，以1.5亿元对价合计受让其持有的北京文脉互动科技有限公司（以下简称“文脉互动”）51%股权。交易完成后，文脉互动将成为世纪华通控股子公司。</w:t>
      </w:r>
    </w:p>
    <w:p>
      <w:pPr>
        <w:pStyle w:val="TextBody"/>
      </w:pPr>
      <w:r>
        <w:t xml:space="preserve">值得一提的是，本次收购标的文脉互动在页游行业中排名靠前，世纪华通表示，此次交易是基于公司整体战略发展的规划，出于提升公司业务的考虑，本次交易有利于公司持续推进产业布局，符合公司长远发展的战略定位。公司资料显示，文脉互动自2014年12月份成立以来主要专注于传奇类网络游戏的受托定制开发及自主研发，积累了丰富的传奇类网络游戏的研发经验。此外公司凭借其自身优良的游戏设计制作水平、良好的内部管理、优秀的游戏产品和后续的发展潜力，获得了以360游戏、中手游为代表的国内顶尖游戏发行商的青睐。</w:t>
      </w:r>
    </w:p>
    <w:p>
      <w:pPr>
        <w:pStyle w:val="TextBody"/>
      </w:pPr>
      <w:hyperlink r:id="rId47">
        <w:r>
          <w:rPr>
            <w:rStyle w:val="Hyperlink"/>
          </w:rPr>
          <w:t xml:space="preserve">http://company.stcn.com/2017/1115/13770293.shtml</w:t>
        </w:r>
      </w:hyperlink>
    </w:p>
    <w:p>
      <w:pPr>
        <w:pStyle w:val="Heading3"/>
      </w:pPr>
      <w:bookmarkStart w:id="48" w:name="华数传媒与中国财富传媒集团战略合作"/>
      <w:bookmarkEnd w:id="48"/>
      <w:r>
        <w:t xml:space="preserve">华数传媒与中国财富传媒集团战略合作</w:t>
      </w:r>
    </w:p>
    <w:p>
      <w:pPr>
        <w:pStyle w:val="FirstParagraph"/>
      </w:pPr>
      <w:r>
        <w:t xml:space="preserve">华数传媒2017年11月14日晚间公告称，公司与中国财富传媒集团签署战略合作协议，双方将从节目培育开始，拓展市场力量，谋求战略合作，致力于共同打造一流的专业财经音视频节目。</w:t>
      </w:r>
    </w:p>
    <w:p>
      <w:pPr>
        <w:pStyle w:val="TextBody"/>
      </w:pPr>
      <w:r>
        <w:t xml:space="preserve">公告显示，中国财富传媒集团发挥在财经音视频节目制作领域选题策划、内容设计、嘉宾邀请、编辑把关等优势，并利用自身渠道进行传播；华数传媒发挥在主持、拍摄、剪辑、包装、渠道分发等方面的优势，对财经音视频节目进行加工制作和传播。双方将就“高端访谈”等财经访谈类节目和“财富大讲堂”等投资教育类专题节目进行深度合作；积极探索财经知识的付费阅读、收听与收看；双方将联合投资制作财经纪录片、影视剧，共同开展高级财经人员的培训研修、举办高端财经论坛等线上线下活动。</w:t>
      </w:r>
    </w:p>
    <w:p>
      <w:pPr>
        <w:pStyle w:val="TextBody"/>
      </w:pPr>
      <w:hyperlink r:id="rId49">
        <w:r>
          <w:rPr>
            <w:rStyle w:val="Hyperlink"/>
          </w:rPr>
          <w:t xml:space="preserve">http://company.stcn.com/2017/1115/13770296.shtml</w:t>
        </w:r>
      </w:hyperlink>
    </w:p>
    <w:p>
      <w:pPr>
        <w:pStyle w:val="Heading3"/>
      </w:pPr>
      <w:bookmarkStart w:id="50" w:name="新华联拟1.8亿元收购湖南海外旅游60股权"/>
      <w:bookmarkEnd w:id="50"/>
      <w:r>
        <w:t xml:space="preserve">新华联拟1.8亿元收购湖南海外旅游60%股权</w:t>
      </w:r>
    </w:p>
    <w:p>
      <w:pPr>
        <w:pStyle w:val="FirstParagraph"/>
      </w:pPr>
      <w:r>
        <w:t xml:space="preserve">新华联2017年11月13日晚间公告，公司拟以自筹资金收购湖南海外旅游60%的股权，转让价款为1.8亿元。交易完成后，新华联将持有湖南海外60%的股权，湖南海外将纳入公司合并财务报表范围内。根据业绩承诺，湖南海外旅游在2018年、2019年、2020年净利润分别不低于1700万元、2000万元、2300万元。</w:t>
      </w:r>
    </w:p>
    <w:p>
      <w:pPr>
        <w:pStyle w:val="TextBody"/>
      </w:pPr>
      <w:r>
        <w:t xml:space="preserve">湖南海外旅游目前的主业为传统出境旅游、国内旅游、入境旅游等，此外还开展了研学游学、邮轮同业、会展服务、活动策划、差旅服务等创新业务。新华联文旅发展总裁苏波表示，新华联文旅自确定转型目标以来，加速向文旅产业转型升级，构建以“景点+酒店+儿童乐园+文化演艺+旅行社”为主力业态的新华联旅游生态圈。和湖南海外旅游的签约，是新华联立足中南，布局全国，拓展海内外旅游资源，打通旅游客户端，完善旅游产业链的重要一步。</w:t>
      </w:r>
    </w:p>
    <w:p>
      <w:pPr>
        <w:pStyle w:val="TextBody"/>
      </w:pPr>
      <w:hyperlink r:id="rId51">
        <w:r>
          <w:rPr>
            <w:rStyle w:val="Hyperlink"/>
          </w:rPr>
          <w:t xml:space="preserve">http://company.stcn.com/2017/1114/13767864.shtml</w:t>
        </w:r>
      </w:hyperlink>
    </w:p>
    <w:p>
      <w:pPr>
        <w:pStyle w:val="Heading3"/>
      </w:pPr>
      <w:bookmarkStart w:id="52" w:name="歌华有线与华为战略合作"/>
      <w:bookmarkEnd w:id="52"/>
      <w:r>
        <w:t xml:space="preserve">歌华有线与华为战略合作</w:t>
      </w:r>
    </w:p>
    <w:p>
      <w:pPr>
        <w:pStyle w:val="FirstParagraph"/>
      </w:pPr>
      <w:r>
        <w:t xml:space="preserve">歌华有线2017年11月14日晚公告称，近日公司与华为技术有限公司签署了《战略合作协议》。双方同意在智慧城市、云计算、大数据、资源共享、基础网络、创新领域、物联网等领域进行合作，协议有效期为3年。</w:t>
      </w:r>
    </w:p>
    <w:p>
      <w:pPr>
        <w:pStyle w:val="TextBody"/>
      </w:pPr>
      <w:r>
        <w:t xml:space="preserve">公告显示，智慧城市合作方面，双方共享市场信息、优势资源互补，实现信息网络、信息应用、信息技术和信息产业的全面良性互动；云计算、大数据合作方面，华为对公司及下属企业提供云平台建设、大数据中心建设、大数据管理平台建设等；资源共享合作方面，借助公司现有成熟的网络资源及华为技术有限公司广大的终端消费群体资源，整合内容与流量资源共享合作，实现互联互通；广播电视有线无线融合网及基础网络建设合作方面，双方加大在后续有线无线融合网项目建设中合作力度，加强有线+无线产业布局；创新领域合作方面，合力打造有线+无线模式的精品网络；物联网合作方面，双方共同拓展第三方企业市场的物联网创新业务；平安城市合作方面，开展共同视频资源整合共享服务，推进首都平安城市项目合作。</w:t>
      </w:r>
    </w:p>
    <w:p>
      <w:pPr>
        <w:pStyle w:val="TextBody"/>
      </w:pPr>
      <w:hyperlink r:id="rId53">
        <w:r>
          <w:rPr>
            <w:rStyle w:val="Hyperlink"/>
          </w:rPr>
          <w:t xml:space="preserve">http://company.stcn.com/2017/1115/13770300.shtml</w:t>
        </w:r>
      </w:hyperlink>
    </w:p>
    <w:p>
      <w:pPr>
        <w:pStyle w:val="Heading3"/>
      </w:pPr>
      <w:bookmarkStart w:id="54" w:name="东华能源拟6亿元收购天盛港务"/>
      <w:bookmarkEnd w:id="54"/>
      <w:r>
        <w:t xml:space="preserve">东华能源拟6亿元收购天盛港务</w:t>
      </w:r>
    </w:p>
    <w:p>
      <w:pPr>
        <w:pStyle w:val="FirstParagraph"/>
      </w:pPr>
      <w:r>
        <w:t xml:space="preserve">东华能源近日公告，公司拟不超过6亿元收购广西天盛港务有限公司（以下简称“天盛港务”）拥有的油气码头资产。天盛港务专注于LPG的装卸、储存与贸易业务，本次收购有助于东华能源发挥整体资源优势，扩大在西南市场的业务覆盖区域，形成真正意义上的“全沿海”战略布局。</w:t>
      </w:r>
    </w:p>
    <w:p>
      <w:pPr>
        <w:pStyle w:val="TextBody"/>
      </w:pPr>
      <w:r>
        <w:t xml:space="preserve">东华能源作为全球一流的LPG综合运营商，已连续多年位列国内LPG进口量和销售量第一。公司的国内贸易重点区域主要以宁波、张家港、太仓三个储存基地为依托，覆盖华东沿海省份和长江内陆周边省份，并且在上述区域的市场竞争中处于优势地位。而天盛港务依托广西钦州港优良的码头岸线资源，以及专业油气化工码头和储存基地，可通过槽车和铁路专线直达云贵川等地。收购天盛港务将有助于东华能源扩大对西南市场的业务覆盖。</w:t>
      </w:r>
    </w:p>
    <w:p>
      <w:pPr>
        <w:pStyle w:val="TextBody"/>
      </w:pPr>
      <w:hyperlink r:id="rId55">
        <w:r>
          <w:rPr>
            <w:rStyle w:val="Hyperlink"/>
          </w:rPr>
          <w:t xml:space="preserve">http://company.stcn.com/2017/1115/13770275.shtml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- 2017年11月17日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81ee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1" Type="http://schemas.openxmlformats.org/officeDocument/2006/relationships/hyperlink" Target="http://company.stcn.com/2017/1114/13767864.shtml" TargetMode="External"/><Relationship Id="rId55" Type="http://schemas.openxmlformats.org/officeDocument/2006/relationships/hyperlink" Target="http://company.stcn.com/2017/1115/13770275.shtml" TargetMode="External"/><Relationship Id="rId47" Type="http://schemas.openxmlformats.org/officeDocument/2006/relationships/hyperlink" Target="http://company.stcn.com/2017/1115/13770293.shtml" TargetMode="External"/><Relationship Id="rId49" Type="http://schemas.openxmlformats.org/officeDocument/2006/relationships/hyperlink" Target="http://company.stcn.com/2017/1115/13770296.shtml" TargetMode="External"/><Relationship Id="rId53" Type="http://schemas.openxmlformats.org/officeDocument/2006/relationships/hyperlink" Target="http://company.stcn.com/2017/1115/13770300.shtml" TargetMode="External"/><Relationship Id="rId40" Type="http://schemas.openxmlformats.org/officeDocument/2006/relationships/hyperlink" Target="http://news.sina.com.cn/c/2017-11-14/doc-ifynsait8258137.shtml" TargetMode="External"/><Relationship Id="rId35" Type="http://schemas.openxmlformats.org/officeDocument/2006/relationships/hyperlink" Target="http://www.chinaforex.com.cn/index.php/cms/item-view-id-45517.shtml" TargetMode="External"/><Relationship Id="rId27" Type="http://schemas.openxmlformats.org/officeDocument/2006/relationships/hyperlink" Target="http://www.chinaforex.com.cn/index.php/cms/item-view-id-45519.shtml" TargetMode="External"/><Relationship Id="rId23" Type="http://schemas.openxmlformats.org/officeDocument/2006/relationships/hyperlink" Target="http://www.chinaforex.com.cn/index.php/cms/item-view-id-45522.shtml" TargetMode="External"/><Relationship Id="rId44" Type="http://schemas.openxmlformats.org/officeDocument/2006/relationships/hyperlink" Target="http://www.chinalawinfo.com/News/NewsFullText.aspx?NewsId=88401&amp;NewsType=1" TargetMode="External"/><Relationship Id="rId42" Type="http://schemas.openxmlformats.org/officeDocument/2006/relationships/hyperlink" Target="http://www.gov.cn/xinwen/2017-11/14/content_5239534.htm" TargetMode="External"/><Relationship Id="rId29" Type="http://schemas.openxmlformats.org/officeDocument/2006/relationships/hyperlink" Target="http://www.gov.cn/xinwen/2017-11/16/content_5240100.htm" TargetMode="External"/><Relationship Id="rId25" Type="http://schemas.openxmlformats.org/officeDocument/2006/relationships/hyperlink" Target="http://www.gov.cn/xinwen/2017-11/16/content_5240102.htm" TargetMode="External"/><Relationship Id="rId38" Type="http://schemas.openxmlformats.org/officeDocument/2006/relationships/hyperlink" Target="http://www.legaldaily.com.cn/index_article/content/2017-11/14/content_7387248.htm?node=5955" TargetMode="External"/><Relationship Id="rId32" Type="http://schemas.openxmlformats.org/officeDocument/2006/relationships/hyperlink" Target="http://xw.sinoins.com/2017-11/15/content_247596.htm" TargetMode="External"/><Relationship Id="rId8" Type="http://schemas.openxmlformats.org/officeDocument/2006/relationships/hyperlink" Target="http://www.charltonslaw.com.cn/shang-hai-zi-mao-gang-mao-yi-xian-zhi-jiang-da-song-bang-duo-di-qi-dong-zi-mao-gang-tan-suo"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company.stcn.com/2017/1114/13767864.shtml" TargetMode="External"/><Relationship Id="rId55" Type="http://schemas.openxmlformats.org/officeDocument/2006/relationships/hyperlink" Target="http://company.stcn.com/2017/1115/13770275.shtml" TargetMode="External"/><Relationship Id="rId47" Type="http://schemas.openxmlformats.org/officeDocument/2006/relationships/hyperlink" Target="http://company.stcn.com/2017/1115/13770293.shtml" TargetMode="External"/><Relationship Id="rId49" Type="http://schemas.openxmlformats.org/officeDocument/2006/relationships/hyperlink" Target="http://company.stcn.com/2017/1115/13770296.shtml" TargetMode="External"/><Relationship Id="rId53" Type="http://schemas.openxmlformats.org/officeDocument/2006/relationships/hyperlink" Target="http://company.stcn.com/2017/1115/13770300.shtml" TargetMode="External"/><Relationship Id="rId40" Type="http://schemas.openxmlformats.org/officeDocument/2006/relationships/hyperlink" Target="http://news.sina.com.cn/c/2017-11-14/doc-ifynsait8258137.shtml" TargetMode="External"/><Relationship Id="rId35" Type="http://schemas.openxmlformats.org/officeDocument/2006/relationships/hyperlink" Target="http://www.chinaforex.com.cn/index.php/cms/item-view-id-45517.shtml" TargetMode="External"/><Relationship Id="rId27" Type="http://schemas.openxmlformats.org/officeDocument/2006/relationships/hyperlink" Target="http://www.chinaforex.com.cn/index.php/cms/item-view-id-45519.shtml" TargetMode="External"/><Relationship Id="rId23" Type="http://schemas.openxmlformats.org/officeDocument/2006/relationships/hyperlink" Target="http://www.chinaforex.com.cn/index.php/cms/item-view-id-45522.shtml" TargetMode="External"/><Relationship Id="rId44" Type="http://schemas.openxmlformats.org/officeDocument/2006/relationships/hyperlink" Target="http://www.chinalawinfo.com/News/NewsFullText.aspx?NewsId=88401&amp;NewsType=1" TargetMode="External"/><Relationship Id="rId42" Type="http://schemas.openxmlformats.org/officeDocument/2006/relationships/hyperlink" Target="http://www.gov.cn/xinwen/2017-11/14/content_5239534.htm" TargetMode="External"/><Relationship Id="rId29" Type="http://schemas.openxmlformats.org/officeDocument/2006/relationships/hyperlink" Target="http://www.gov.cn/xinwen/2017-11/16/content_5240100.htm" TargetMode="External"/><Relationship Id="rId25" Type="http://schemas.openxmlformats.org/officeDocument/2006/relationships/hyperlink" Target="http://www.gov.cn/xinwen/2017-11/16/content_5240102.htm" TargetMode="External"/><Relationship Id="rId38" Type="http://schemas.openxmlformats.org/officeDocument/2006/relationships/hyperlink" Target="http://www.legaldaily.com.cn/index_article/content/2017-11/14/content_7387248.htm?node=5955" TargetMode="External"/><Relationship Id="rId32" Type="http://schemas.openxmlformats.org/officeDocument/2006/relationships/hyperlink" Target="http://xw.sinoins.com/2017-11/15/content_2475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2017-11-17T03:26:08Z</dcterms:created>
  <dcterms:modified xsi:type="dcterms:W3CDTF">2017-11-17T03:26:08Z</dcterms:modified>
</cp:coreProperties>
</file>