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- 2017年12月1日</w:t>
      </w:r>
    </w:p>
    <w:p>
      <w:pPr>
        <w:pStyle w:val="ReadOnline"/>
      </w:pPr>
      <w:hyperlink r:id="rId8">
        <w:r>
          <w:rPr/>
          <w:t>online version</w:t>
        </w:r>
      </w:hyperlink>
    </w:p>
    <w:p>
      <w:pPr>
        <w:pStyle w:val="Title"/>
      </w:pPr>
      <w:r>
        <w:t>中国银监会就《商业银行银行账簿利率风险管理指引（修订征求意见稿）》公开征求意见</w:t>
      </w:r>
    </w:p>
    <w:p>
      <w:pPr>
        <w:pStyle w:val="Heading2"/>
      </w:pPr>
      <w:bookmarkStart w:id="21" w:name="资本市场"/>
      <w:bookmarkEnd w:id="21"/>
      <w:r>
        <w:t xml:space="preserve">资本市场</w:t>
      </w:r>
    </w:p>
    <w:p>
      <w:pPr>
        <w:pStyle w:val="Heading3"/>
      </w:pPr>
      <w:bookmarkStart w:id="22" w:name="中国银监会就商业银行银行账簿利率风险管理指引修订征求意见稿公开征求意见"/>
      <w:bookmarkEnd w:id="22"/>
      <w:r>
        <w:t xml:space="preserve">中国银监会就《商业银行银行账簿利率风险管理指引（修订征求意见稿）》公开征求意见</w:t>
      </w:r>
    </w:p>
    <w:p>
      <w:pPr>
        <w:pStyle w:val="FirstParagraph"/>
      </w:pPr>
      <w:r>
        <w:t xml:space="preserve">为推动商业银行提升银行账簿利率风险管理水平，弥补监管制度短板，银监会对《商业银行银行账户利率风险管理指引》进行了全面修订，形成了《商业银行银行账簿利率风险管理指引（修订征求意见稿）》（以下简称《指引》）。现向社会公开征求意见。银监会将根据各界反馈意见，进一步修改完善并适时发布。</w:t>
      </w:r>
    </w:p>
    <w:p>
      <w:pPr>
        <w:pStyle w:val="TextBody"/>
      </w:pPr>
      <w:r>
        <w:t xml:space="preserve">《指引》内容包括总则、风险治理、风险计量和压力测试、计量系统与模型管理、计量结果应用和信息披露、监督检查、附则七个章节，以及名词解释、利率冲击情景设计要求、客户行为性期权风险考虑因素、模型管理要求、标准化计量框架、监管评估六个附件。《指引》在银行风险管理、风险计量、监督检查等方面提出了细化要求。修订内容主要体现在规范银行账簿利率风险的治理架构和风险管理政策流程，明确风险计量、利率冲击情景和客户行为假设的具体要求，完善信息系统、模型和数据管理要求，引导银行加强计量结果应用，强化监管评估等方面。 同时，《指引》明确商业银行在适用相关监管要求时应遵循匹配性原则，并根据银行系统重要性或业务复杂程度不同，进行差异化的风险计量。</w:t>
      </w:r>
    </w:p>
    <w:p>
      <w:pPr>
        <w:pStyle w:val="TextBody"/>
      </w:pPr>
      <w:hyperlink r:id="rId23">
        <w:r>
          <w:rPr>
            <w:rStyle w:val="Hyperlink"/>
          </w:rPr>
          <w:t xml:space="preserve">http://www.cbrc.gov.cn/chinese/home/docView/D1C53F0B33134D2F8BAD99425F426978.html</w:t>
        </w:r>
      </w:hyperlink>
    </w:p>
    <w:p>
      <w:pPr>
        <w:pStyle w:val="Heading3"/>
      </w:pPr>
      <w:bookmarkStart w:id="24" w:name="深圳证券交易所支持中关村股交集团技术系统建设"/>
      <w:bookmarkEnd w:id="24"/>
      <w:r>
        <w:t xml:space="preserve">深圳证券交易所支持中关村股交集团技术系统建设</w:t>
      </w:r>
    </w:p>
    <w:p>
      <w:pPr>
        <w:pStyle w:val="FirstParagraph"/>
      </w:pPr>
      <w:r>
        <w:t xml:space="preserve">近日，深圳证券交易所（以下简称“深交所”）与中关村股权交易服务集团（以下简称“股交集团”）签署《深交所向股交集团提供技术支持与综合服务的协议》暨中介机构征信区块链系统发布仪式在中关村国家自主创新示范区会议中心圆满举办。</w:t>
      </w:r>
    </w:p>
    <w:p>
      <w:pPr>
        <w:pStyle w:val="TextBody"/>
      </w:pPr>
      <w:r>
        <w:t xml:space="preserve">技术系统是支持市场运作的生命线，在新一轮金融科技创新变革浪潮中，深交所对大数据、人工智能、云计算、区块链等技术进行了深入探索和应用。本次，深交所联合股交集团等5家股交中心共同发布了区域性股权市场中介机构征信链，利用区块链技术分布式可信共享的特性，在股交中心之间共享中介机构的执业信息，制定了中介机构征信的数据结构和权限隔离标准，搭建了股交中心之间以及与监管机构之间的新型交互关系。 该系统自2016年6月启动建设，历经一年多的探索和研发，是行业内首个正式上线的区块链应用。下一步，工作组将积极推广中介机构征信链，深入挖掘业务需求，探索区域性股权市场新的业务场景，进一步提升科技监管水平，促进业务创新发展。</w:t>
      </w:r>
    </w:p>
    <w:p>
      <w:pPr>
        <w:pStyle w:val="TextBody"/>
      </w:pPr>
      <w:hyperlink r:id="rId25">
        <w:r>
          <w:rPr>
            <w:rStyle w:val="Hyperlink"/>
          </w:rPr>
          <w:t xml:space="preserve">http://www.szse.cn/main/aboutus/bsyw/39775872.shtml</w:t>
        </w:r>
      </w:hyperlink>
    </w:p>
    <w:p>
      <w:pPr>
        <w:pStyle w:val="Heading3"/>
      </w:pPr>
      <w:bookmarkStart w:id="26" w:name="深圳证券交易所推出深股通标的上市公司中英文要览"/>
      <w:bookmarkEnd w:id="26"/>
      <w:r>
        <w:t xml:space="preserve">深圳证券交易所推出深股通标的上市公司中英文要览</w:t>
      </w:r>
    </w:p>
    <w:p>
      <w:pPr>
        <w:pStyle w:val="FirstParagraph"/>
      </w:pPr>
      <w:r>
        <w:t xml:space="preserve">为便于境内外投资者查阅深股通标的上市公司的基本信息，深圳证券交易所（以下简称“深交所”）在“深港通”一周年之际发出通知，将于2017年12月28日起推出深股通标的上市公司披露中英文要览。</w:t>
      </w:r>
    </w:p>
    <w:p>
      <w:pPr>
        <w:pStyle w:val="TextBody"/>
      </w:pPr>
      <w:r>
        <w:t xml:space="preserve">上市公司要览主要包括上市公司基本信息、业务概况、价格走势、公司亮点、交易信息、董事及高管、前五大股东、营业收入、风险提示、分红数据、每股数据以及财务报表中主要财务数据等十二个部分，主要内容和数据来自于上市公司已披露的定期报告。投资者可登陆巨潮资讯网信息披露栏目，点击深股通标上市公司清单，或输入证券代码、证券简称，查看上市公司要览信息。为了提高上市公司中英文要览编制效率，减轻上市公司信息披露负担，深交所下属深圳证券信息有限公司将向上市公司免费提供要览编制信息集成服务。为了更好地服务投资者，信息公司开设了服务热线，及时接受投资者的业务咨询并解答相关问题。</w:t>
      </w:r>
    </w:p>
    <w:p>
      <w:pPr>
        <w:pStyle w:val="TextBody"/>
      </w:pPr>
      <w:hyperlink r:id="rId27">
        <w:r>
          <w:rPr>
            <w:rStyle w:val="Hyperlink"/>
          </w:rPr>
          <w:t xml:space="preserve">http://www.szse.cn/main/aboutus/bsyw/39775929.shtml</w:t>
        </w:r>
      </w:hyperlink>
    </w:p>
    <w:p>
      <w:pPr>
        <w:pStyle w:val="Heading2"/>
      </w:pPr>
      <w:bookmarkStart w:id="28" w:name="保险"/>
      <w:bookmarkEnd w:id="28"/>
      <w:r>
        <w:t xml:space="preserve">保险</w:t>
      </w:r>
    </w:p>
    <w:p>
      <w:pPr>
        <w:pStyle w:val="Heading3"/>
      </w:pPr>
      <w:bookmarkStart w:id="29" w:name="中国保监会印发关于财产保险公司和再保险公司实施总精算师制度有关事项的通知"/>
      <w:bookmarkEnd w:id="29"/>
      <w:r>
        <w:t xml:space="preserve">中国保监会印发《关于财产保险公司和再保险公司实施总精算师制度有关事项的通知》</w:t>
      </w:r>
    </w:p>
    <w:p>
      <w:pPr>
        <w:pStyle w:val="FirstParagraph"/>
      </w:pPr>
      <w:r>
        <w:t xml:space="preserve">为进一步完善非寿险精算监管制度，补齐短板，充分发挥精算技术在财产保险公司、再保险公司经营管理中的作用，中国保监会近日印发了《关于财产保险公司和再保险公司实施总精算师制度有关事项的通知》（以下简称《通知》）。</w:t>
      </w:r>
    </w:p>
    <w:p>
      <w:pPr>
        <w:pStyle w:val="TextBody"/>
      </w:pPr>
      <w:r>
        <w:t xml:space="preserve">《通知》规定，各财产保险公司、再保险公司应全面实施总精算师制度，按照《保险公司总精算师管理办法》的相关要求聘任总精算师并报中国保监会进行任职资格核准。根据财产保险行业实际情况，《通知》设置了过渡期，明确了过渡期安排。《通知》还对不同经营范围的再保险公司总精算师的资格要求进行了明确与细化。《通知》弥补了财产保险公司、再保险公司在精算制度方面的短板，有助于相关公司精算水平的提高，推动非寿险行业借助精算力量科学发展和理性竞争，增强精算专业技术在风险防范方面的作用。</w:t>
      </w:r>
    </w:p>
    <w:p>
      <w:pPr>
        <w:pStyle w:val="TextBody"/>
      </w:pPr>
      <w:hyperlink r:id="rId30">
        <w:r>
          <w:rPr>
            <w:rStyle w:val="Hyperlink"/>
          </w:rPr>
          <w:t xml:space="preserve">http://www.circ.gov.cn/web/site0/tab5168/info4090180.htm</w:t>
        </w:r>
      </w:hyperlink>
    </w:p>
    <w:p>
      <w:pPr>
        <w:pStyle w:val="Heading2"/>
      </w:pPr>
      <w:bookmarkStart w:id="31" w:name="税收"/>
      <w:bookmarkEnd w:id="31"/>
      <w:r>
        <w:t xml:space="preserve">税收</w:t>
      </w:r>
    </w:p>
    <w:p>
      <w:pPr>
        <w:pStyle w:val="Heading3"/>
      </w:pPr>
      <w:bookmarkStart w:id="32" w:name="国家税务总局发布关于企业境外承包工程税收抵免凭证有关问题的公告"/>
      <w:bookmarkEnd w:id="32"/>
      <w:r>
        <w:t xml:space="preserve">国家税务总局发布关于企业境外承包工程税收抵免凭证有关问题的公告</w:t>
      </w:r>
    </w:p>
    <w:p>
      <w:pPr>
        <w:pStyle w:val="FirstParagraph"/>
      </w:pPr>
      <w:r>
        <w:t xml:space="preserve">根据《中华人民共和国企业所得税法》及其实施条例、《财政部国家税务总局关于企业境外所得税收抵免有关问题的通知》和《国家税务总局关于发布〈企业境外所得税收抵免操作指南〉的公告》的有关规定，国家税务总局发布企业境外承包工程税收抵免凭证有关问题公告。</w:t>
      </w:r>
    </w:p>
    <w:p>
      <w:pPr>
        <w:pStyle w:val="TextBody"/>
      </w:pPr>
      <w:r>
        <w:t xml:space="preserve">公告中指出，企业以总分包或联合体方式在境外实施工程项目（包括但不限于工程建设、基础设施建设等项目），其来源于境外所得已在境外缴纳的企业所得税税额，可按本公告规定以总承包企业或联合体主导方企业开具的《境外承包工程项目完税凭证分割单（总分包方式）》或《境外承包工程项目完税凭证分割单（联合体方式）》作为境外所得完税证明或纳税凭证进行税收抵免。企业以联合体方式中标境外工程，该联合体在境外缴纳的企业所得税税额可由主导方企业按实际取得的收入、工作量等因素确定的合理比例进行分配，开具《分割单（联合体方式）》，并将《分割单（联合体方式）》复印件提供给联合体各方企业，联合体各方企业据此申报抵免。</w:t>
      </w:r>
    </w:p>
    <w:p>
      <w:pPr>
        <w:pStyle w:val="TextBody"/>
      </w:pPr>
      <w:hyperlink r:id="rId33">
        <w:r>
          <w:rPr>
            <w:rStyle w:val="Hyperlink"/>
          </w:rPr>
          <w:t xml:space="preserve">http://www.chinatax.gov.cn/n810341/n810755/c2929036/content.html</w:t>
        </w:r>
      </w:hyperlink>
    </w:p>
    <w:p>
      <w:pPr>
        <w:pStyle w:val="Heading2"/>
      </w:pPr>
      <w:bookmarkStart w:id="34" w:name="知识产权"/>
      <w:bookmarkEnd w:id="34"/>
      <w:r>
        <w:t xml:space="preserve">知识产权</w:t>
      </w:r>
    </w:p>
    <w:p>
      <w:pPr>
        <w:pStyle w:val="Heading3"/>
      </w:pPr>
      <w:bookmarkStart w:id="35" w:name="国家工商总局发文明确2018年提高商标注册效率各项目标任务"/>
      <w:bookmarkEnd w:id="35"/>
      <w:r>
        <w:t xml:space="preserve">国家工商总局发文明确2018年提高商标注册效率各项目标任务</w:t>
      </w:r>
    </w:p>
    <w:p>
      <w:pPr>
        <w:pStyle w:val="FirstParagraph"/>
      </w:pPr>
      <w:r>
        <w:t xml:space="preserve">国家工商总局日前正式印发《关于深化商标注册便利化改革，切实提高商标注册效率的意见》（以下简称《意见》），明确了2018年年底前缩短商标审查业务周期的目标，并就加快商标审查协作中心建设、优化商标审查流程、推进商标注册申请全程电子化等工作提出要求。</w:t>
      </w:r>
    </w:p>
    <w:p>
      <w:pPr>
        <w:pStyle w:val="TextBody"/>
      </w:pPr>
      <w:r>
        <w:t xml:space="preserve">《意见》全文共7部分，从改革体制机制、提高审查效率、强化技术支撑、推动法律修改、加强宣传引导等方面提出了20条深化改革的具体措施，其中明确提出进一步缩短商标审查业务周期，在2018年年底前，商标注册申请受理通知书发放时间压缩到1个月，商标注册审查周期压缩到6个月，商标转让审查周期压缩到4个月，商标变更、续展审查周期压缩到2个月，商标检索盲期压缩到2个月。</w:t>
      </w:r>
    </w:p>
    <w:p>
      <w:pPr>
        <w:pStyle w:val="TextBody"/>
      </w:pPr>
      <w:hyperlink r:id="rId36">
        <w:r>
          <w:rPr>
            <w:rStyle w:val="Hyperlink"/>
          </w:rPr>
          <w:t xml:space="preserve">http://www.gov.cn/xinwen/2017-11/24/content_5241953.htm</w:t>
        </w:r>
      </w:hyperlink>
    </w:p>
    <w:p>
      <w:pPr>
        <w:pStyle w:val="Heading2"/>
      </w:pPr>
      <w:bookmarkStart w:id="37" w:name="行业"/>
      <w:bookmarkEnd w:id="37"/>
      <w:r>
        <w:t xml:space="preserve">行业</w:t>
      </w:r>
    </w:p>
    <w:p>
      <w:pPr>
        <w:pStyle w:val="Heading3"/>
      </w:pPr>
      <w:bookmarkStart w:id="38" w:name="国资委加强央企ppp风险管控重大决策终身追责"/>
      <w:bookmarkEnd w:id="38"/>
      <w:r>
        <w:t xml:space="preserve">国资委加强央企PPP风险管控：重大决策终身追责</w:t>
      </w:r>
    </w:p>
    <w:p>
      <w:pPr>
        <w:pStyle w:val="FirstParagraph"/>
      </w:pPr>
      <w:r>
        <w:t xml:space="preserve">经过近期征求各方意见后，近日国务院国有资产监督管理委员会（以下简称“国资委”）正式印发了《关于加强中央企业PPP业务风险管控的通知》（以下简称《通知》）。</w:t>
      </w:r>
    </w:p>
    <w:p>
      <w:pPr>
        <w:pStyle w:val="TextBody"/>
      </w:pPr>
      <w:r>
        <w:t xml:space="preserve">《通知》从强化集团管控、严格准入条件、严格规模控制、优化合作安排、规范会计核算、严肃责任追究六方面来防范央企参与PPP的经营风险。其中，国资委对央企做PPP业务进行规模控制最受市场关注。《通知》要求，各中央企业对PPP业务实行总量管控，从严设定PPP业务规模上限防止过度推高杠杆水平。此次《通知》还明确不少风险红线。比如，央企不得参与付费来源缺乏保障的项目，不得通过引入“明股实债”类股权资金或购买劣后级份额等方式承担本应由其他地方承担的风险。在PPP项目股权合作中，不得为其他方股权出资提供担保、承诺收益等。</w:t>
      </w:r>
    </w:p>
    <w:p>
      <w:pPr>
        <w:pStyle w:val="TextBody"/>
      </w:pPr>
      <w:hyperlink r:id="rId39">
        <w:r>
          <w:rPr>
            <w:rStyle w:val="Hyperlink"/>
          </w:rPr>
          <w:t xml:space="preserve">http://news.ifeng.com/a/20171125/53574391_0.shtml</w:t>
        </w:r>
      </w:hyperlink>
    </w:p>
    <w:p>
      <w:pPr>
        <w:pStyle w:val="Heading3"/>
      </w:pPr>
      <w:bookmarkStart w:id="40" w:name="国务院印发关于深化互联网先进制造业发展工业互联网的指导意见支持符合条件工业互联网企业开展股权融资"/>
      <w:bookmarkEnd w:id="40"/>
      <w:r>
        <w:t xml:space="preserve">国务院印发《关于深化“互联网+先进制造业”发展工业互联网的指导意见》，支持符合条件工业互联网企业开展股权融资</w:t>
      </w:r>
    </w:p>
    <w:p>
      <w:pPr>
        <w:pStyle w:val="FirstParagraph"/>
      </w:pPr>
      <w:r>
        <w:t xml:space="preserve">国务院日前印发《关于深化“互联网+先进制造业”发展工业互联网的指导意见》（以下简称《意见》）。《意见》明确提出，支持符合条件的工业互联网企业在境内外各层次资本市场开展股权融资，积极推动项目收益债、可转债、企业债、公司债等在工业互联网领域的应用，引导各类投资基金等向工业互联网领域倾斜。</w:t>
      </w:r>
    </w:p>
    <w:p>
      <w:pPr>
        <w:pStyle w:val="TextBody"/>
      </w:pPr>
      <w:r>
        <w:t xml:space="preserve">《意见》指出，当前，全球范围内新一轮科技革命和产业变革蓬勃兴起。工业互联网作为新一代信息技术与制造业深度融合的产物，日益成为新工业革命的关键支撑和深化“互联网+先进制造业”的重要基石，对未来工业发展产生全方位、深层次、革命性影响。但是，与发达国家相比，我国工业互联网发展水平及现实基础仍然不高，与建设制造强国和网络强国的需要仍有较大差距。</w:t>
      </w:r>
    </w:p>
    <w:p>
      <w:pPr>
        <w:pStyle w:val="TextBody"/>
      </w:pPr>
      <w:hyperlink r:id="rId41">
        <w:r>
          <w:rPr>
            <w:rStyle w:val="Hyperlink"/>
          </w:rPr>
          <w:t xml:space="preserve">http://finance.qq.com/a/20171128/005333.htm</w:t>
        </w:r>
      </w:hyperlink>
    </w:p>
    <w:p>
      <w:pPr>
        <w:pStyle w:val="Heading3"/>
      </w:pPr>
      <w:bookmarkStart w:id="42" w:name="国务院公布国务院关于修改部分行政法规的决定"/>
      <w:bookmarkEnd w:id="42"/>
      <w:r>
        <w:t xml:space="preserve">国务院公布《国务院关于修改部分行政法规的决定》</w:t>
      </w:r>
    </w:p>
    <w:p>
      <w:pPr>
        <w:pStyle w:val="FirstParagraph"/>
      </w:pPr>
      <w:r>
        <w:t xml:space="preserve">国务院总理李克强日前签署国务院令，公布《国务院关于修改部分行政法规的决定》，自公布之日起施行。</w:t>
      </w:r>
    </w:p>
    <w:p>
      <w:pPr>
        <w:pStyle w:val="TextBody"/>
      </w:pPr>
      <w:r>
        <w:t xml:space="preserve">通过修改《中华人民共和国中外合作经营企业法实施细则》、《中华人民共和国母婴保健法实施办法》2部行政法规的3个条款，取消了中外合作经营企业委托经营管理合同审批、家庭接生员技术合格证书核发2项由地方实施的审批项目。按照“放管服”改革加强后续监管的要求，修改后的法规条款强化了有关部门对行政审批项目取消后从事相关活动的监管，增加了行政主管部门的监管职责。</w:t>
      </w:r>
    </w:p>
    <w:p>
      <w:pPr>
        <w:pStyle w:val="TextBody"/>
      </w:pPr>
      <w:hyperlink r:id="rId43">
        <w:r>
          <w:rPr>
            <w:rStyle w:val="Hyperlink"/>
          </w:rPr>
          <w:t xml:space="preserve">http://news.jcrb.com/jxsw/201711/t20171129_1821066.html</w:t>
        </w:r>
      </w:hyperlink>
    </w:p>
    <w:p>
      <w:pPr>
        <w:pStyle w:val="Heading3"/>
      </w:pPr>
      <w:bookmarkStart w:id="44" w:name="工信部1亿以上用户信息泄露为特大网络安全事件"/>
      <w:bookmarkEnd w:id="44"/>
      <w:r>
        <w:t xml:space="preserve">工信部：1亿以上用户信息泄露为特大网络安全事件</w:t>
      </w:r>
    </w:p>
    <w:p>
      <w:pPr>
        <w:pStyle w:val="FirstParagraph"/>
      </w:pPr>
      <w:r>
        <w:t xml:space="preserve">工信部近日对外公布印发的《公共互联网网络安全突发事件应急预案》，明确了事件分级、监测预警、应急处置、预防与应急准备、保障措施等内容。预案自印发之日起实施。</w:t>
      </w:r>
    </w:p>
    <w:p>
      <w:pPr>
        <w:pStyle w:val="TextBody"/>
      </w:pPr>
      <w:r>
        <w:t xml:space="preserve">工信部根据社会影响范围和危害程度，将公共互联网网络安全突发事件分为四级：特别重大事件、重大事件、较大事件、一般事件。其中，全国范围大量互联网用户无法正常上网，.CN国家顶级域名系统解析效率大幅下降，1亿以上互联网用户信息泄露，网络病毒在全国范围大面积爆发，其他造成或可能造成特别重大危害或影响的网络安全事件为特别重大网络安全事件。</w:t>
      </w:r>
    </w:p>
    <w:p>
      <w:pPr>
        <w:pStyle w:val="TextBody"/>
      </w:pPr>
      <w:hyperlink r:id="rId45">
        <w:r>
          <w:rPr>
            <w:rStyle w:val="Hyperlink"/>
          </w:rPr>
          <w:t xml:space="preserve">http://news.xinhuanet.com/politics/2017-11/27/c_1122013152.htm</w:t>
        </w:r>
      </w:hyperlink>
    </w:p>
    <w:p>
      <w:pPr>
        <w:pStyle w:val="Heading2"/>
      </w:pPr>
      <w:bookmarkStart w:id="46" w:name="并购"/>
      <w:bookmarkEnd w:id="46"/>
      <w:r>
        <w:t xml:space="preserve">并购</w:t>
      </w:r>
    </w:p>
    <w:p>
      <w:pPr>
        <w:pStyle w:val="Heading3"/>
      </w:pPr>
      <w:bookmarkStart w:id="47" w:name="南京新百拟收购美国生物医药公司dendreon全部股权"/>
      <w:bookmarkEnd w:id="47"/>
      <w:r>
        <w:t xml:space="preserve">南京新百拟收购美国生物医药公司Dendreon全部股权</w:t>
      </w:r>
    </w:p>
    <w:p>
      <w:pPr>
        <w:pStyle w:val="FirstParagraph"/>
      </w:pPr>
      <w:r>
        <w:t xml:space="preserve">2017年11月29日晚间，南京新百发布公告，拟向三胞集团发行1.8亿股收购美国生物医药公司Dendreon的全部股权，从而将拥有美国FDA批准上市的首个细胞免疫治疗药物Provenge的所有权。</w:t>
      </w:r>
    </w:p>
    <w:p>
      <w:pPr>
        <w:pStyle w:val="TextBody"/>
      </w:pPr>
      <w:r>
        <w:t xml:space="preserve">此次收购Dendreon的交易作价为59.68亿元，南京新百将以33.11元的价格向三胞集团发行1.8亿股。本次交易前，三胞集团及其一致行动人合计持有南京新百3.68亿股，占总股本的比例为33.10%。本次交易完成后，三胞集团及其一致行动人将合计持有上市公司5.48亿股，占总股本（不含募集配套资金的发股数量）比例将变更为42.43%，三胞集团仍为南京新百的控股股东。南京新百表示，通过本次交易，上市公司将拥有国际领先的肿瘤细胞免疫产品和符合美国FDA cGMP标准的生产流程，结合Dendreon的研发经验、生产能力和多年上市的市场经验，上市公司有望打造一个广阔的细胞治疗平台，巩固上市公司在医疗养老领域的发展。</w:t>
      </w:r>
    </w:p>
    <w:p>
      <w:pPr>
        <w:pStyle w:val="TextBody"/>
      </w:pPr>
      <w:hyperlink r:id="rId48">
        <w:r>
          <w:rPr>
            <w:rStyle w:val="Hyperlink"/>
          </w:rPr>
          <w:t xml:space="preserve">http://company.stcn.com/2017/1130/13801954.shtml</w:t>
        </w:r>
      </w:hyperlink>
    </w:p>
    <w:p>
      <w:pPr>
        <w:pStyle w:val="Heading3"/>
      </w:pPr>
      <w:bookmarkStart w:id="49" w:name="盛讯达调整重组方案拟8.5亿元收购中联畅想"/>
      <w:bookmarkEnd w:id="49"/>
      <w:r>
        <w:t xml:space="preserve">盛讯达调整重组方案，拟8.5亿元收购中联畅想</w:t>
      </w:r>
    </w:p>
    <w:p>
      <w:pPr>
        <w:pStyle w:val="FirstParagraph"/>
      </w:pPr>
      <w:r>
        <w:t xml:space="preserve">2017年11月27日晚间，盛讯达披露重大资产重组草案，公司拟以8.5亿元收购畅想互娱（北京）科技有限公司持有的中联畅想全部股权。中联畅想主要从事面向海外市场的休闲社交棋牌类移动网络游戏的研发与运营业务。</w:t>
      </w:r>
    </w:p>
    <w:p>
      <w:pPr>
        <w:pStyle w:val="TextBody"/>
      </w:pPr>
      <w:r>
        <w:t xml:space="preserve">盛讯达表示，通过本次并购，公司将进一步丰富游戏产品类型，充分开拓各类型游戏市场，进一步拓宽游戏业务规模；同时公司将充分利用中联畅想在东南亚市场已有的市场营销和支付服务渠道进行游戏产品推广和运营，有助于公司实现进军海外市场的发展战略，本次收购有助于增强公司主营业务，有利于提升公司在游戏研发和运营领域的综合竞争力。同时根据交易对方对2018年度-2021年度的业绩承诺，公司业务规模和市场范围将进一步扩大，盈利能力将进一步增强，有利于自身主营业务的健康发展和未来业绩的持续稳定增长。</w:t>
      </w:r>
    </w:p>
    <w:p>
      <w:pPr>
        <w:pStyle w:val="TextBody"/>
      </w:pPr>
      <w:hyperlink r:id="rId50">
        <w:r>
          <w:rPr>
            <w:rStyle w:val="Hyperlink"/>
          </w:rPr>
          <w:t xml:space="preserve">http://company.stcn.com/2017/1127/13795326.shtml</w:t>
        </w:r>
      </w:hyperlink>
    </w:p>
    <w:p>
      <w:pPr>
        <w:pStyle w:val="Heading3"/>
      </w:pPr>
      <w:bookmarkStart w:id="51" w:name="商务部附条件批准台湾日月光收购矽品股权案"/>
      <w:bookmarkEnd w:id="51"/>
      <w:r>
        <w:t xml:space="preserve">商务部附条件批准台湾日月光收购矽品股权案</w:t>
      </w:r>
    </w:p>
    <w:p>
      <w:pPr>
        <w:pStyle w:val="FirstParagraph"/>
      </w:pPr>
      <w:r>
        <w:t xml:space="preserve">近日，商务部发布公告，以附加限制性条件的形式批准了日月光半导体制造股份有限公司（以下简称“日月光”）收购矽品精密工业股份有限公司（以下简称“矽品”）股权案。</w:t>
      </w:r>
    </w:p>
    <w:p>
      <w:pPr>
        <w:pStyle w:val="TextBody"/>
      </w:pPr>
      <w:r>
        <w:t xml:space="preserve">商务部于2017年6月6日对该项经营者集中立案，审查截止日期为11月29日。日月光和矽品均为我国台湾地区企业，在半导体封装测试代工服务领域占据行业领先地位。经审查，日月光和矽品在全球半导体封装测试代工服务市场存在横向重叠。本项集中将使日月光的市场份额进一步提高，交易后可能从事差别定价及涨价等排除、限制竞争的行为，减少客户对主要封装测试代工服务供应商的替代选择，最终损害消费者利益。商务部决定附加限制性条件批准本项集中。</w:t>
      </w:r>
    </w:p>
    <w:p>
      <w:pPr>
        <w:pStyle w:val="TextBody"/>
      </w:pPr>
      <w:hyperlink r:id="rId52">
        <w:r>
          <w:rPr>
            <w:rStyle w:val="Hyperlink"/>
          </w:rPr>
          <w:t xml:space="preserve">http://kuaixun.stcn.com/2017/1124/13790157.shtml</w:t>
        </w:r>
      </w:hyperlink>
    </w:p>
    <w:p>
      <w:pPr>
        <w:pStyle w:val="Heading3"/>
      </w:pPr>
      <w:bookmarkStart w:id="53" w:name="国泰集团拟收购江西两家民爆公司"/>
      <w:bookmarkEnd w:id="53"/>
      <w:r>
        <w:t xml:space="preserve">国泰集团拟收购江西两家民爆公司</w:t>
      </w:r>
    </w:p>
    <w:p>
      <w:pPr>
        <w:pStyle w:val="FirstParagraph"/>
      </w:pPr>
      <w:r>
        <w:t xml:space="preserve">国泰集团近日公告称，拟向交易对方江西省民爆投资有限公司发行股份购买其持有的江西威源民爆器材有限责任公司100%股权和江西铜业民爆矿服有限公司100%股权。经交易双方初步协商，标的资产交易价格暂定为7.67亿元。本次购买资产的股份发行价格为14.73元/股，股票发行数量预估为5205.73万股。</w:t>
      </w:r>
    </w:p>
    <w:p>
      <w:pPr>
        <w:pStyle w:val="TextBody"/>
      </w:pPr>
      <w:r>
        <w:t xml:space="preserve">本次交易完成后，威源民爆和江铜民爆将成为公司全资子公司。同时，公司拟以询价的方式向其他不超过10名符合条件的特定投资者非公开发行股票募集配套资金不超过2.06亿元，发行股票的数量不超过4421.60万股。配套募集资金用于威源民爆智能化平台建设项目、江铜民爆爆破服务一体化建设项目、江铜民爆智能化平台建设项目及支付本次发行相关费用。</w:t>
      </w:r>
    </w:p>
    <w:p>
      <w:pPr>
        <w:pStyle w:val="TextBody"/>
      </w:pPr>
      <w:hyperlink r:id="rId54">
        <w:r>
          <w:rPr>
            <w:rStyle w:val="Hyperlink"/>
          </w:rPr>
          <w:t xml:space="preserve">http://company.stcn.com/2017/1124/13789294.shtml</w:t>
        </w:r>
      </w:hyperlink>
    </w:p>
    <w:p>
      <w:pPr>
        <w:pStyle w:val="Heading3"/>
      </w:pPr>
      <w:bookmarkStart w:id="55" w:name="爱迪尔16亿收购两珠宝公司开拓全国市场丰富产品种类"/>
      <w:bookmarkEnd w:id="55"/>
      <w:r>
        <w:t xml:space="preserve">爱迪尔16亿收购两珠宝公司，开拓全国市场丰富产品种类</w:t>
      </w:r>
    </w:p>
    <w:p>
      <w:pPr>
        <w:pStyle w:val="FirstParagraph"/>
      </w:pPr>
      <w:r>
        <w:t xml:space="preserve">2017年11月26日晚间，爱迪尔发布公告，拟以10.65元/股价格发行股份并支付现金购买千年珠宝100%股权（作价9亿元）和蜀茂钻石100%股权（作价7亿元），并以询价方式募集配套资金3.05亿元，用于支付现金对价及相关交易费用。</w:t>
      </w:r>
    </w:p>
    <w:p>
      <w:pPr>
        <w:pStyle w:val="TextBody"/>
      </w:pPr>
      <w:r>
        <w:t xml:space="preserve">爱迪尔表示，千年珠宝及蜀茂钻石主营业务与公司基本相同，此次收购将有助公司进一步丰富产品种类并使原有产品渠道市场实现升级，开拓全国市场，扩大销售规模，增强盈利能力。爱迪尔在最近一次接待机构调研时表示，公司并购重组的思路是始终坚持以珠宝为主业，以钻石为主营产品，所以在并购重组标的选择上首先是珠宝行业。第一阶段偏向于渠道，目前中国珠宝市场集中化程度低，各地区域品牌也有整合的意愿；第二阶段为具有工匠精神的制造商。</w:t>
      </w:r>
    </w:p>
    <w:p>
      <w:pPr>
        <w:pStyle w:val="TextBody"/>
      </w:pPr>
      <w:hyperlink r:id="rId56">
        <w:r>
          <w:rPr>
            <w:rStyle w:val="Hyperlink"/>
          </w:rPr>
          <w:t xml:space="preserve">http://www.stcn.com/2017/1127/13792171.shtml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- 2017年12月1日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11c8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4" Type="http://schemas.openxmlformats.org/officeDocument/2006/relationships/hyperlink" Target="http://company.stcn.com/2017/1124/13789294.shtml" TargetMode="External"/><Relationship Id="rId50" Type="http://schemas.openxmlformats.org/officeDocument/2006/relationships/hyperlink" Target="http://company.stcn.com/2017/1127/13795326.shtml" TargetMode="External"/><Relationship Id="rId48" Type="http://schemas.openxmlformats.org/officeDocument/2006/relationships/hyperlink" Target="http://company.stcn.com/2017/1130/13801954.shtml" TargetMode="External"/><Relationship Id="rId41" Type="http://schemas.openxmlformats.org/officeDocument/2006/relationships/hyperlink" Target="http://finance.qq.com/a/20171128/005333.htm" TargetMode="External"/><Relationship Id="rId52" Type="http://schemas.openxmlformats.org/officeDocument/2006/relationships/hyperlink" Target="http://kuaixun.stcn.com/2017/1124/13790157.shtml" TargetMode="External"/><Relationship Id="rId39" Type="http://schemas.openxmlformats.org/officeDocument/2006/relationships/hyperlink" Target="http://news.ifeng.com/a/20171125/53574391_0.shtml" TargetMode="External"/><Relationship Id="rId43" Type="http://schemas.openxmlformats.org/officeDocument/2006/relationships/hyperlink" Target="http://news.jcrb.com/jxsw/201711/t20171129_1821066.html" TargetMode="External"/><Relationship Id="rId45" Type="http://schemas.openxmlformats.org/officeDocument/2006/relationships/hyperlink" Target="http://news.xinhuanet.com/politics/2017-11/27/c_1122013152.htm" TargetMode="External"/><Relationship Id="rId23" Type="http://schemas.openxmlformats.org/officeDocument/2006/relationships/hyperlink" Target="http://www.cbrc.gov.cn/chinese/home/docView/D1C53F0B33134D2F8BAD99425F426978.html" TargetMode="External"/><Relationship Id="rId33" Type="http://schemas.openxmlformats.org/officeDocument/2006/relationships/hyperlink" Target="http://www.chinatax.gov.cn/n810341/n810755/c2929036/content.html" TargetMode="External"/><Relationship Id="rId30" Type="http://schemas.openxmlformats.org/officeDocument/2006/relationships/hyperlink" Target="http://www.circ.gov.cn/web/site0/tab5168/info4090180.htm" TargetMode="External"/><Relationship Id="rId36" Type="http://schemas.openxmlformats.org/officeDocument/2006/relationships/hyperlink" Target="http://www.gov.cn/xinwen/2017-11/24/content_5241953.htm" TargetMode="External"/><Relationship Id="rId56" Type="http://schemas.openxmlformats.org/officeDocument/2006/relationships/hyperlink" Target="http://www.stcn.com/2017/1127/13792171.shtml" TargetMode="External"/><Relationship Id="rId25" Type="http://schemas.openxmlformats.org/officeDocument/2006/relationships/hyperlink" Target="http://www.szse.cn/main/aboutus/bsyw/39775872.shtml" TargetMode="External"/><Relationship Id="rId27" Type="http://schemas.openxmlformats.org/officeDocument/2006/relationships/hyperlink" Target="http://www.szse.cn/main/aboutus/bsyw/39775929.shtml" TargetMode="External"/><Relationship Id="rId8" Type="http://schemas.openxmlformats.org/officeDocument/2006/relationships/hyperlink" Target="http://www.charltonslaw.com.cn/zhong-guo-yin-jian-hui-jiu-shang-ye-yin-hang-yin-hang-zhang-bo-li-lv-feng-xian-guan-li-zhi-yin-xiu-ding-zheng-qiu-yi-jian-gao-gong-kai-zheng-qiu-yi-jian"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4" Type="http://schemas.openxmlformats.org/officeDocument/2006/relationships/hyperlink" Target="http://company.stcn.com/2017/1124/13789294.shtml" TargetMode="External"/><Relationship Id="rId50" Type="http://schemas.openxmlformats.org/officeDocument/2006/relationships/hyperlink" Target="http://company.stcn.com/2017/1127/13795326.shtml" TargetMode="External"/><Relationship Id="rId48" Type="http://schemas.openxmlformats.org/officeDocument/2006/relationships/hyperlink" Target="http://company.stcn.com/2017/1130/13801954.shtml" TargetMode="External"/><Relationship Id="rId41" Type="http://schemas.openxmlformats.org/officeDocument/2006/relationships/hyperlink" Target="http://finance.qq.com/a/20171128/005333.htm" TargetMode="External"/><Relationship Id="rId52" Type="http://schemas.openxmlformats.org/officeDocument/2006/relationships/hyperlink" Target="http://kuaixun.stcn.com/2017/1124/13790157.shtml" TargetMode="External"/><Relationship Id="rId39" Type="http://schemas.openxmlformats.org/officeDocument/2006/relationships/hyperlink" Target="http://news.ifeng.com/a/20171125/53574391_0.shtml" TargetMode="External"/><Relationship Id="rId43" Type="http://schemas.openxmlformats.org/officeDocument/2006/relationships/hyperlink" Target="http://news.jcrb.com/jxsw/201711/t20171129_1821066.html" TargetMode="External"/><Relationship Id="rId45" Type="http://schemas.openxmlformats.org/officeDocument/2006/relationships/hyperlink" Target="http://news.xinhuanet.com/politics/2017-11/27/c_1122013152.htm" TargetMode="External"/><Relationship Id="rId23" Type="http://schemas.openxmlformats.org/officeDocument/2006/relationships/hyperlink" Target="http://www.cbrc.gov.cn/chinese/home/docView/D1C53F0B33134D2F8BAD99425F426978.html" TargetMode="External"/><Relationship Id="rId33" Type="http://schemas.openxmlformats.org/officeDocument/2006/relationships/hyperlink" Target="http://www.chinatax.gov.cn/n810341/n810755/c2929036/content.html" TargetMode="External"/><Relationship Id="rId30" Type="http://schemas.openxmlformats.org/officeDocument/2006/relationships/hyperlink" Target="http://www.circ.gov.cn/web/site0/tab5168/info4090180.htm" TargetMode="External"/><Relationship Id="rId36" Type="http://schemas.openxmlformats.org/officeDocument/2006/relationships/hyperlink" Target="http://www.gov.cn/xinwen/2017-11/24/content_5241953.htm" TargetMode="External"/><Relationship Id="rId56" Type="http://schemas.openxmlformats.org/officeDocument/2006/relationships/hyperlink" Target="http://www.stcn.com/2017/1127/13792171.shtml" TargetMode="External"/><Relationship Id="rId25" Type="http://schemas.openxmlformats.org/officeDocument/2006/relationships/hyperlink" Target="http://www.szse.cn/main/aboutus/bsyw/39775872.shtml" TargetMode="External"/><Relationship Id="rId27" Type="http://schemas.openxmlformats.org/officeDocument/2006/relationships/hyperlink" Target="http://www.szse.cn/main/aboutus/bsyw/3977592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2017-12-01T04:18:42Z</dcterms:created>
  <dcterms:modified xsi:type="dcterms:W3CDTF">2017-12-01T04:18:42Z</dcterms:modified>
</cp:coreProperties>
</file>