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- 2017年12月22日</w:t>
      </w:r>
    </w:p>
    <w:p>
      <w:pPr>
        <w:pStyle w:val="ReadOnline"/>
      </w:pPr>
      <w:hyperlink r:id="rId8">
        <w:r>
          <w:rPr/>
          <w:t>online version</w:t>
        </w:r>
      </w:hyperlink>
    </w:p>
    <w:p>
      <w:pPr>
        <w:pStyle w:val="Title"/>
      </w:pPr>
      <w:r>
        <w:t>民企境外投资行为规范发布：五方面引导规范民企境外投资</w:t>
      </w:r>
    </w:p>
    <w:p>
      <w:pPr>
        <w:pStyle w:val="Heading2"/>
      </w:pPr>
      <w:bookmarkStart w:id="21" w:name="资本市场"/>
      <w:bookmarkEnd w:id="21"/>
      <w:r>
        <w:t xml:space="preserve">资本市场</w:t>
      </w:r>
    </w:p>
    <w:p>
      <w:pPr>
        <w:pStyle w:val="Heading3"/>
      </w:pPr>
      <w:bookmarkStart w:id="22" w:name="民企境外投资行为规范发布五方面引导规范民企境外投资"/>
      <w:bookmarkEnd w:id="22"/>
      <w:r>
        <w:t xml:space="preserve">民企境外投资行为规范发布：五方面引导规范民企境外投资</w:t>
      </w:r>
    </w:p>
    <w:p>
      <w:pPr>
        <w:pStyle w:val="FirstParagraph"/>
      </w:pPr>
      <w:r>
        <w:t xml:space="preserve">由国家发展和改革委员会会同商务部、人民银行、外交部和全国工商联联合编制的《民营企业境外投资经营行为规范》（以下简称《规范》）近日正式发布。国家发改委新闻发言人孟玮表示，民营企业是境外投资的重要主体，这个主体不仅是决策主体，也是执行主体和责任主体。国家支持有条件的民营企业“走出去”。</w:t>
      </w:r>
    </w:p>
    <w:p>
      <w:pPr>
        <w:pStyle w:val="TextBody"/>
      </w:pPr>
      <w:r>
        <w:t xml:space="preserve">《规范》主要从五方面对民营企业境外投资经营活动进行引导和规范。完善经营管理体系，民营企业要建立健全境外投资决策、授权管理、财务管理等内部规章制度。依法合规诚信经营，民营企业及其境外分支机构要认真履行国内外相关手续，开展公平竞争，诚信经营。切实履行社会责任，鼓励民营企业在境外投资过程中热心公益事业，增进文化交流，树立服务社会的良好企业形象。注重资源环境保护，倡导民营企业提高资源节约、环境保护意识，遵守东道国环保法规，履行环保责任和相关法律义务。加强境外风险防控，民营企业要加强全面风险防控，建立健全应急处置机制，完善境外安全保障措施，做好安全事故处理。</w:t>
      </w:r>
    </w:p>
    <w:p>
      <w:pPr>
        <w:pStyle w:val="TextBody"/>
      </w:pPr>
      <w:hyperlink r:id="rId23">
        <w:r>
          <w:rPr>
            <w:rStyle w:val="Hyperlink"/>
          </w:rPr>
          <w:t xml:space="preserve">http://www.legaldaily.com.cn/index_article/content/2017-12/18/content_7423546.htm?node=5955</w:t>
        </w:r>
      </w:hyperlink>
    </w:p>
    <w:p>
      <w:pPr>
        <w:pStyle w:val="Heading3"/>
      </w:pPr>
      <w:bookmarkStart w:id="24" w:name="中英创新资本对接增添新渠道深伦科创投融资服务联盟正式启动"/>
      <w:bookmarkEnd w:id="24"/>
      <w:r>
        <w:t xml:space="preserve">中英创新资本对接增添新渠道：“深伦科创投融资服务联盟”正式启动</w:t>
      </w:r>
    </w:p>
    <w:p>
      <w:pPr>
        <w:pStyle w:val="FirstParagraph"/>
      </w:pPr>
      <w:r>
        <w:t xml:space="preserve">2017年12月16日下午，深圳证券交易所（以下简称“深交所”）与伦敦证券交易所集团（以下简称“伦交所集团”）在北京举办中英创新资本专题研讨会暨“深伦科创投融资服务联盟”启动仪式。这是深交所积极落实“打造国际合作新平台，增添共同发展新动力”的有力举措，也是深交所跨境资本服务机制对接成熟市场的重要探索。</w:t>
      </w:r>
    </w:p>
    <w:p>
      <w:pPr>
        <w:pStyle w:val="TextBody"/>
      </w:pPr>
      <w:r>
        <w:t xml:space="preserve">“深伦科创投融资服务联盟”项目将建立严格准入机制，提供包括融资项目展示和路演、项目评估、企业培训、线上投融资社区、上市培育的全链条服务，利用科技金融手段，打造“线上+线下”的服务模式，提升跨境投融资便捷程度。深交所与伦交所集团将充分利用各自制度优势、市场组织优势和信息资源优势，打造“深伦科创投融资服务联盟”合作平台，以深伦科创投融资服务平台合作为契机，为平台内的中小企业、投资机构建立双向服务机制，加大对两国创新型企业和中小企业发展支持力度，吸引两国更多具有发展潜力的企业及相关投资者、证券机构、上市公司等市场主体参与到平台建设上来，为跨境资本对接提供服务。</w:t>
      </w:r>
    </w:p>
    <w:p>
      <w:pPr>
        <w:pStyle w:val="TextBody"/>
      </w:pPr>
      <w:hyperlink r:id="rId25">
        <w:r>
          <w:rPr>
            <w:rStyle w:val="Hyperlink"/>
          </w:rPr>
          <w:t xml:space="preserve">http://www.szse.cn/main/aboutus/bsyw/39776226.shtml</w:t>
        </w:r>
      </w:hyperlink>
    </w:p>
    <w:p>
      <w:pPr>
        <w:pStyle w:val="Heading3"/>
      </w:pPr>
      <w:bookmarkStart w:id="26" w:name="深证成指中小板指创业板指深证100等指数调整样本股"/>
      <w:bookmarkEnd w:id="26"/>
      <w:r>
        <w:t xml:space="preserve">深证成指、中小板指、创业板指、深证100等指数调整样本股</w:t>
      </w:r>
    </w:p>
    <w:p>
      <w:pPr>
        <w:pStyle w:val="FirstParagraph"/>
      </w:pPr>
      <w:r>
        <w:t xml:space="preserve">深圳证券交易所（以下简称“深交所”）和深圳证券信息有限公司日前宣布，根据指数编制规则，对深证成指、深证100、中小板指、创业板指、中小创新等深证系列指数实施样本股定期调整。本次样本股调整将于2018年1月的第一个交易日正式实施。</w:t>
      </w:r>
    </w:p>
    <w:p>
      <w:pPr>
        <w:pStyle w:val="TextBody"/>
      </w:pPr>
      <w:r>
        <w:t xml:space="preserve">经过本次调整，深证成指对于深市A股的总市值覆盖率和自由流通市值覆盖率分别达到60%和61%，市场代表性进一步提升。从行业分布来看，信息技术继续保持深证成指第一大行业的地位，权重为23%，其次为可选消费，权重约17%；深证100中前三大行业分别是信息技术、可选消费和金融地产，权重占比为22%、21%和18%；中小板指与创业板指中第一大行业均为信息技术，权重分别为33%和36%；中小创新中工业为第一大行业，占比约24%。本次样本调整后，深证成指、深证100和中小板指中战略性新兴产业样本股权重分别达到55%、58%和57%，创业板指更高达75%，显著高于市场平均水平。</w:t>
      </w:r>
    </w:p>
    <w:p>
      <w:pPr>
        <w:pStyle w:val="TextBody"/>
      </w:pPr>
      <w:hyperlink r:id="rId27">
        <w:r>
          <w:rPr>
            <w:rStyle w:val="Hyperlink"/>
          </w:rPr>
          <w:t xml:space="preserve">http://www.szse.cn/main/aboutus/bsyw/39776241.shtml</w:t>
        </w:r>
      </w:hyperlink>
    </w:p>
    <w:p>
      <w:pPr>
        <w:pStyle w:val="Heading3"/>
      </w:pPr>
      <w:bookmarkStart w:id="28" w:name="中央结算公司宣布正式设立上海总部"/>
      <w:bookmarkEnd w:id="28"/>
      <w:r>
        <w:t xml:space="preserve">中央结算公司宣布正式设立上海总部</w:t>
      </w:r>
    </w:p>
    <w:p>
      <w:pPr>
        <w:pStyle w:val="FirstParagraph"/>
      </w:pPr>
      <w:r>
        <w:t xml:space="preserve">中央国债登记结算有限责任公（以下简称“中央结算公司”）近日宣布正式设立上海总部，并将其人民币债券跨境发行中心、人民币债券跨境结算中心、中债担保品业务中心、中债金融估值中心和上海数据中心五大功能平台迁入上海，服务全球人民币债券市场。</w:t>
      </w:r>
    </w:p>
    <w:p>
      <w:pPr>
        <w:pStyle w:val="TextBody"/>
      </w:pPr>
      <w:r>
        <w:t xml:space="preserve">中央结算公司是国家核心金融基础设施，中央托管体系是债券市场运行的基石，是金融市场开放的门户。中央结算公司设立上海总部，是全面对接上海国际金融中心建设的重大部署，也是中国债券市场创新发展的重要举措。在上海总部揭牌当日，中央结算公司还成立了中债担保品业务中心，发布了上海关键收益（SKY）曲线。据了解，中债担保品业务中心管理的担保品余额已突破12万亿元，覆盖各类市场机构4500余家，是世界最大担保品运营机构，将在上海形成全球人民币金融体系重要的管理和金融风控中枢。</w:t>
      </w:r>
    </w:p>
    <w:p>
      <w:pPr>
        <w:pStyle w:val="TextBody"/>
      </w:pPr>
      <w:hyperlink r:id="rId29">
        <w:r>
          <w:rPr>
            <w:rStyle w:val="Hyperlink"/>
          </w:rPr>
          <w:t xml:space="preserve">http://www.chinaforex.com.cn/index.php/cms/item-view-id-45905.shtml</w:t>
        </w:r>
      </w:hyperlink>
    </w:p>
    <w:p>
      <w:pPr>
        <w:pStyle w:val="Heading2"/>
      </w:pPr>
      <w:bookmarkStart w:id="30" w:name="保险"/>
      <w:bookmarkEnd w:id="30"/>
      <w:r>
        <w:t xml:space="preserve">保险</w:t>
      </w:r>
    </w:p>
    <w:p>
      <w:pPr>
        <w:pStyle w:val="Heading3"/>
      </w:pPr>
      <w:bookmarkStart w:id="31" w:name="保监会就保险资产负债管理监管办法征求意见"/>
      <w:bookmarkEnd w:id="31"/>
      <w:r>
        <w:t xml:space="preserve">保监会就《保险资产负债管理监管办法》征求意见</w:t>
      </w:r>
    </w:p>
    <w:p>
      <w:pPr>
        <w:pStyle w:val="FirstParagraph"/>
      </w:pPr>
      <w:r>
        <w:t xml:space="preserve">近日，保监会就《保险资产负债管理监管办法》（以下简称《监管办法》）征求行业意见。《监管办法》是保监会贯彻落实全国金融工作会议精神和保监会“1+4”系列文件的一项重要举措，对于推动行业回归本源、积极服务实体经济、防范资产负债错配风险、强化资产负债管理监管硬约束具有重要的意义。</w:t>
      </w:r>
    </w:p>
    <w:p>
      <w:pPr>
        <w:pStyle w:val="TextBody"/>
      </w:pPr>
      <w:r>
        <w:t xml:space="preserve">《监管办法》在前期五项具体监管规则的基础上，进一步明确了资产负债管理的基本要求、监管框架、评级方法以及对应的差别化监管措施，是资产负债管理监管的总领性文件，共5章38条。第一章总则，主要明确制定目的、适用范围、资产负债管理定义、监管组织架构及相应职责。第二章保险公司资产负债管理，主要针对保险公司明确资产负债管理的基本内容和要求。第三章监管评估，主要明确资产负债管理监管的评估方式、评分方法、综合评级划分标准等。第四章监管措施，主要明确根据综合评级结果实施差别化的监管措施。第五章附则，主要针对特殊情况和原有法规适用作出说明。</w:t>
      </w:r>
    </w:p>
    <w:p>
      <w:pPr>
        <w:pStyle w:val="TextBody"/>
      </w:pPr>
      <w:hyperlink r:id="rId32">
        <w:r>
          <w:rPr>
            <w:rStyle w:val="Hyperlink"/>
          </w:rPr>
          <w:t xml:space="preserve">http://xw.sinoins.com/2017-12/15/content_250205.htm</w:t>
        </w:r>
      </w:hyperlink>
    </w:p>
    <w:p>
      <w:pPr>
        <w:pStyle w:val="Heading3"/>
      </w:pPr>
      <w:bookmarkStart w:id="33" w:name="保监会等三部门正式印发安全生产责任保险实施办法"/>
      <w:bookmarkEnd w:id="33"/>
      <w:r>
        <w:t xml:space="preserve">保监会等三部门正式印发《安全生产责任保险实施办法》</w:t>
      </w:r>
    </w:p>
    <w:p>
      <w:pPr>
        <w:pStyle w:val="FirstParagraph"/>
      </w:pPr>
      <w:r>
        <w:t xml:space="preserve">保监会、财政部、国家安监总局近日印发《安全生产责任保险实施办法》（以下简称《办法》）。《办法》指出，各地区根据实际情况确定安全生产责任保险中涉及人员死亡的最低赔偿金额，每死亡一人按不低于30万元赔偿，并按本地区城镇居民上一年度人均可支配收入的变化进行调整。《办法》自2018年1月1日起施行。</w:t>
      </w:r>
    </w:p>
    <w:p>
      <w:pPr>
        <w:pStyle w:val="TextBody"/>
      </w:pPr>
      <w:r>
        <w:t xml:space="preserve">《办法》明确，本办法所称安全生产责任保险，是指保险机构对投保的生产经营单位发生的生产安全事故造成的人员伤亡和有关经济损失等予以赔偿，并且为投保的生产经营单位提供生产安全事故预防服务的商业保险。《办法》指出，安全生产责任保险的保险责任包括投保的生产经营单位的从业人员人身伤亡赔偿，第三者人身伤亡和财产损失赔偿，事故抢险救援、医疗救护、事故鉴定、法律诉讼等费用。保险机构可以开发适应各类生产经营单位安全生产保障需求的个性化保险产品。除被依法关闭取缔、完全停止生产经营活动外，应当投保安全生产责任保险的生产经营单位不得延迟续保、退保。</w:t>
      </w:r>
    </w:p>
    <w:p>
      <w:pPr>
        <w:pStyle w:val="TextBody"/>
      </w:pPr>
      <w:hyperlink r:id="rId34">
        <w:r>
          <w:rPr>
            <w:rStyle w:val="Hyperlink"/>
          </w:rPr>
          <w:t xml:space="preserve">http://www.chinanews.com/gn/2017/12-21/8405703.shtml</w:t>
        </w:r>
      </w:hyperlink>
    </w:p>
    <w:p>
      <w:pPr>
        <w:pStyle w:val="Heading2"/>
      </w:pPr>
      <w:bookmarkStart w:id="35" w:name="税收"/>
      <w:bookmarkEnd w:id="35"/>
      <w:r>
        <w:t xml:space="preserve">税收</w:t>
      </w:r>
    </w:p>
    <w:p>
      <w:pPr>
        <w:pStyle w:val="Heading3"/>
      </w:pPr>
      <w:bookmarkStart w:id="36" w:name="国务院深化产教融合要求落实财税政策"/>
      <w:bookmarkEnd w:id="36"/>
      <w:r>
        <w:t xml:space="preserve">国务院深化产教融合：要求落实财税政策</w:t>
      </w:r>
    </w:p>
    <w:p>
      <w:pPr>
        <w:pStyle w:val="FirstParagraph"/>
      </w:pPr>
      <w:r>
        <w:t xml:space="preserve">国务院办公厅印发《关于深化产教融合的若干意见》（以下简称《意见》），要求各级财政、税务部门要把深化产教融合作为落实结构性减税政策，推进降成本、补短板的重要举措，落实社会力量举办教育有关财税政策，积极支持职业教育发展和企业参与办学。</w:t>
      </w:r>
    </w:p>
    <w:p>
      <w:pPr>
        <w:pStyle w:val="TextBody"/>
      </w:pPr>
      <w:r>
        <w:t xml:space="preserve">《意见》要求，落实财税用地等政策。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意见》强调，要强化行业协调指导，规范发展市场服务组织，打造信息服务平台，健全社会第三方评价，促进产教供需双向对接。</w:t>
      </w:r>
    </w:p>
    <w:p>
      <w:pPr>
        <w:pStyle w:val="TextBody"/>
      </w:pPr>
      <w:hyperlink r:id="rId37">
        <w:r>
          <w:rPr>
            <w:rStyle w:val="Hyperlink"/>
          </w:rPr>
          <w:t xml:space="preserve">http://www.cfen.com.cn/cjxw/ss/201712/t20171221_2785532.html</w:t>
        </w:r>
      </w:hyperlink>
    </w:p>
    <w:p>
      <w:pPr>
        <w:pStyle w:val="Heading2"/>
      </w:pPr>
      <w:bookmarkStart w:id="38" w:name="行业"/>
      <w:bookmarkEnd w:id="38"/>
      <w:r>
        <w:t xml:space="preserve">行业</w:t>
      </w:r>
    </w:p>
    <w:p>
      <w:pPr>
        <w:pStyle w:val="Heading3"/>
      </w:pPr>
      <w:bookmarkStart w:id="39" w:name="国务院办公厅印发关于推进重大建设项目批准和实施领域政府信息公开的意见"/>
      <w:bookmarkEnd w:id="39"/>
      <w:r>
        <w:t xml:space="preserve">国务院办公厅印发《关于推进重大建设项目批准和实施领域政府信息公开的意见》</w:t>
      </w:r>
    </w:p>
    <w:p>
      <w:pPr>
        <w:pStyle w:val="FirstParagraph"/>
      </w:pPr>
      <w:r>
        <w:t xml:space="preserve">日前，国务院办公厅印发《关于推进重大建设项目批准和实施领域政府信息公开的意见》（以下简称《意见》）。</w:t>
      </w:r>
    </w:p>
    <w:p>
      <w:pPr>
        <w:pStyle w:val="TextBody"/>
      </w:pPr>
      <w:r>
        <w:t xml:space="preserve">《意见》明确，推进重大建设项目批准和实施领域政府信息公开，要抓好四项主要任务。一是突出公开重点。在重大建设项目批准和实施过程中，重点公开批准服务信息、批准结果信息、招标投标信息、征收土地信息等8类信息。二是明确公开主体。批准服务信息、批准结果信息由批准重大建设项目和有关要件的各级政府和有关部门分别负责公开，招标投标信息由招标人或有关行政监督部门依法公开。三是拓展公开渠道。各级政府和有关部门要通过政府公报、政府网站、新媒体平台、新闻发布会等及时公开各类项目信息，并及时回应公众关切。 四是强化公开时效。重大建设项目批准和实施过程中产生的政府信息，要严格按照《中华人民共和国政府信息公开条例》有关规定进行公开。</w:t>
      </w:r>
    </w:p>
    <w:p>
      <w:pPr>
        <w:pStyle w:val="TextBody"/>
      </w:pPr>
      <w:hyperlink r:id="rId40">
        <w:r>
          <w:rPr>
            <w:rStyle w:val="Hyperlink"/>
          </w:rPr>
          <w:t xml:space="preserve">http://politics.people.com.cn/n1/2017/1216/c1001-29710650.html</w:t>
        </w:r>
      </w:hyperlink>
    </w:p>
    <w:p>
      <w:pPr>
        <w:pStyle w:val="Heading3"/>
      </w:pPr>
      <w:bookmarkStart w:id="41" w:name="住建部公布建筑市场信用管理暂行办法"/>
      <w:bookmarkEnd w:id="41"/>
      <w:r>
        <w:t xml:space="preserve">住建部公布《建筑市场信用管理暂行办法》</w:t>
      </w:r>
    </w:p>
    <w:p>
      <w:pPr>
        <w:pStyle w:val="FirstParagraph"/>
      </w:pPr>
      <w:r>
        <w:t xml:space="preserve">住房和城乡建设部近日对外公布《建筑市场信用管理暂行办法》（以下简称《办法》），《办法》规定，各级住建部门应当将列入建筑市场主体“黑名单”和拖欠农民工工资“黑名单”的建筑市场各方主体作为重点监管对象，在市场准入、资质资格管理、招标投标等方面依法给予限制。</w:t>
      </w:r>
    </w:p>
    <w:p>
      <w:pPr>
        <w:pStyle w:val="TextBody"/>
      </w:pPr>
      <w:r>
        <w:t xml:space="preserve">《办法》规定县级以上住建部门按照“谁处罚、谁列入”原则，将存在下列情形的建筑市场各方主体，列入建筑市场主体“黑名单”：即利用虚假材料、以欺骗手段取得企业资质的；发生转包、出借资质，受到行政处罚的；发生重大及以上工程质量安全事故，或1年内累计发生两次及以上较大工程质量安全事故，或发生性质恶劣、危害性严重、社会影响大的较大工程质量安全事故，受到行政处罚的；经法院判决或仲裁机构裁决，认定为拖欠工程款，且拒不履行生效法律文书确定的义务的。</w:t>
      </w:r>
    </w:p>
    <w:p>
      <w:pPr>
        <w:pStyle w:val="TextBody"/>
      </w:pPr>
      <w:hyperlink r:id="rId42">
        <w:r>
          <w:rPr>
            <w:rStyle w:val="Hyperlink"/>
          </w:rPr>
          <w:t xml:space="preserve">http://www.legaldaily.com.cn/index_article/content/2017-12/19/content_7424881.htm?node=5955</w:t>
        </w:r>
      </w:hyperlink>
    </w:p>
    <w:p>
      <w:pPr>
        <w:pStyle w:val="Heading3"/>
      </w:pPr>
      <w:bookmarkStart w:id="43" w:name="司法部环境损害司法鉴定机构登记评审细则出台在即"/>
      <w:bookmarkEnd w:id="43"/>
      <w:r>
        <w:t xml:space="preserve">司法部《环境损害司法鉴定机构登记评审细则》出台在即</w:t>
      </w:r>
    </w:p>
    <w:p>
      <w:pPr>
        <w:pStyle w:val="FirstParagraph"/>
      </w:pPr>
      <w:r>
        <w:t xml:space="preserve">近日，中共中央办公厅、国务院办公厅印发了《生态环境损害赔偿制度改革方案》（以下简称《方案》）。《方案》提出，从2018年1月1日起，在全国试行生态环境损害赔偿制度。在中办、国办印发的《方案》中，明确规定“司法部负责指导有关生态环境损害司法鉴定管理工作”。</w:t>
      </w:r>
    </w:p>
    <w:p>
      <w:pPr>
        <w:pStyle w:val="TextBody"/>
      </w:pPr>
      <w:r>
        <w:t xml:space="preserve">《方案》的出台，标志着生态环境损害赔偿制度改革已从先行试点进入全国试行的阶段。在生态环境损害赔偿制度中，生态环境损害鉴定评估是必不可少的一环。无论是提起损害赔偿的磋商还是诉讼，生态环境损害鉴定评估报告或者鉴定意见都是重要依据。 在《方案》中，多处对生态环境损害鉴定评估作出了规定：第四部分第七条：规范生态环境损害鉴定评估。各地区要加快推进生态环境损害鉴定评估专业力量建设，推动组建符合条件的专业评估队伍，尽快形成评估能力。研究制定鉴定评估管理制度和工作程序，保障独立开展生态环境损害鉴定评估，并做好与司法程序的衔接。</w:t>
      </w:r>
    </w:p>
    <w:p>
      <w:pPr>
        <w:pStyle w:val="TextBody"/>
      </w:pPr>
      <w:hyperlink r:id="rId44">
        <w:r>
          <w:rPr>
            <w:rStyle w:val="Hyperlink"/>
          </w:rPr>
          <w:t xml:space="preserve">http://www.legaldaily.com.cn/index_article/content/2017-12/21/content_7426069.htm?node=5955</w:t>
        </w:r>
      </w:hyperlink>
    </w:p>
    <w:p>
      <w:pPr>
        <w:pStyle w:val="Heading2"/>
      </w:pPr>
      <w:bookmarkStart w:id="45" w:name="并购"/>
      <w:bookmarkEnd w:id="45"/>
      <w:r>
        <w:t xml:space="preserve">并购</w:t>
      </w:r>
    </w:p>
    <w:p>
      <w:pPr>
        <w:pStyle w:val="Heading3"/>
      </w:pPr>
      <w:bookmarkStart w:id="46" w:name="睿康股份拟不超过9亿元收购协勤实业"/>
      <w:bookmarkEnd w:id="46"/>
      <w:r>
        <w:t xml:space="preserve">睿康股份拟不超过9亿元收购协勤实业</w:t>
      </w:r>
    </w:p>
    <w:p>
      <w:pPr>
        <w:pStyle w:val="FirstParagraph"/>
      </w:pPr>
      <w:r>
        <w:t xml:space="preserve">2017年12月20日，睿康股份公告签订的《股权收购框架协议》，拟收购赵志强持有的深圳市协勤实业有限公司股权。协议显示，本次交易价格合计暂定为标的公司今年经审计后的净利润的10倍，且不超过9亿元。方案尚待公司董事会、股东大会审议批准，以作为协议生效的先决条件。</w:t>
      </w:r>
    </w:p>
    <w:p>
      <w:pPr>
        <w:pStyle w:val="TextBody"/>
      </w:pPr>
      <w:r>
        <w:t xml:space="preserve">睿康股份表示，电缆业务经过多年发展已趋于成熟，行业竞争日趋激烈，行业发展空间饱和，公司将逐步完善包括新一代光纤光缆在内的通讯传输设备和智能设备领域的布局，实现产业升级。另一方面，标的公司生产的软硬件产品可应用于安防、智能信息通信通讯领域，与公司未来布局与发展战略相契合，交易成功将有利于形成新的利润增长点，提升公司价值，对公司未来发展产生积极影响。</w:t>
      </w:r>
    </w:p>
    <w:p>
      <w:pPr>
        <w:pStyle w:val="TextBody"/>
      </w:pPr>
      <w:hyperlink r:id="rId47">
        <w:r>
          <w:rPr>
            <w:rStyle w:val="Hyperlink"/>
          </w:rPr>
          <w:t xml:space="preserve">http://company.stcn.com/2017/1221/13848995.shtml</w:t>
        </w:r>
      </w:hyperlink>
    </w:p>
    <w:p>
      <w:pPr>
        <w:pStyle w:val="Heading3"/>
      </w:pPr>
      <w:bookmarkStart w:id="48" w:name="神州信息7.8亿收购恒鸿达"/>
      <w:bookmarkEnd w:id="48"/>
      <w:r>
        <w:t xml:space="preserve">神州信息7.8亿收购恒鸿达</w:t>
      </w:r>
    </w:p>
    <w:p>
      <w:pPr>
        <w:pStyle w:val="FirstParagraph"/>
      </w:pPr>
      <w:r>
        <w:t xml:space="preserve">神州信息近日发布公告，拟收购恒鸿达100%股权，该交易评估作价7.8亿元。对于此次收购的标的“恒鸿达”资本市场有些陌生，但提起其前身“三元达软件”投资者并不陌生。从三元达走出后的恒鸿达在一年时间内实现扭亏为盈，并实现营业收入87.8%的大幅增长。</w:t>
      </w:r>
    </w:p>
    <w:p>
      <w:pPr>
        <w:pStyle w:val="TextBody"/>
      </w:pPr>
      <w:r>
        <w:t xml:space="preserve">神州信息方面表示，本次收购将有助于神州信息完善自己的业务线，而恒鸿达借助神州信息的资源平台，也将抓住5G快速推进、智能终端蓬勃发展的历史机遇，实现更好的发展。神州信息有关负责人称，对于神州信息而言，本次重组看中的是恒鸿达“软件+终端+运营”的营销服务模式，在丰富神州信息业务内容的同时，更将帮助公司从行业大客户走向泛企业级用户，成为“IT+”战略企业融合服务平台和智慧农业平台的协同枢纽和支撑点，为入驻平台的各类企业提供一站式营销管理服务，助力公司战略加速落地。</w:t>
      </w:r>
    </w:p>
    <w:p>
      <w:pPr>
        <w:pStyle w:val="TextBody"/>
      </w:pPr>
      <w:hyperlink r:id="rId49">
        <w:r>
          <w:rPr>
            <w:rStyle w:val="Hyperlink"/>
          </w:rPr>
          <w:t xml:space="preserve">http://company.stcn.com/2017/1220/13847435.shtml</w:t>
        </w:r>
      </w:hyperlink>
    </w:p>
    <w:p>
      <w:pPr>
        <w:pStyle w:val="Heading3"/>
      </w:pPr>
      <w:bookmarkStart w:id="50" w:name="延长化建将作价16亿收购新北油工程"/>
      <w:bookmarkEnd w:id="50"/>
      <w:r>
        <w:t xml:space="preserve">延长化建将作价16亿收购新北油工程</w:t>
      </w:r>
    </w:p>
    <w:p>
      <w:pPr>
        <w:pStyle w:val="FirstParagraph"/>
      </w:pPr>
      <w:r>
        <w:t xml:space="preserve">延长化建近日公布重组预案，公司拟以5.41元/股，定增发行2.98亿股，作价16.13亿元，向包括陕西延长石油（集团）有限责任公司、金石投资有限公司、武汉毕派克时代创业投资基金合伙企业（有限合伙）等在内的七方，购买其持有的以2017年9月30日为基准日进行派生分立后存续公司北京石油化工工程有限公司（以下简称“北油工程”）合计100%股权。</w:t>
      </w:r>
    </w:p>
    <w:p>
      <w:pPr>
        <w:pStyle w:val="TextBody"/>
      </w:pPr>
      <w:r>
        <w:t xml:space="preserve">本次交易完成前，延长化建与北油工程均为延长集团控制的企业，随着近几年延长化建与北油工程业务的逐步发展，尤其是北油工程EPC业务规模的逐步壮大，延长化建与北油工程的业务边界逐渐靠近，形成了潜在同业竞争。延长化建表示，本次交易完成后，上市公司将整合北油工程在化工及石油化工、天然气化工、新型煤化工等领域的工程设计技术和工程总承包能力，发挥上市公司施工能力与北油工程设计技术能力的协同效应，延伸上市公司在化工及石油化工、天然气化工、新型煤化工等领域的产业链，形成工程设计、施工、设备采购及总承包一体化的业务格局，增强上市公司抗风险能力，提升上市公司总体的竞争力与盈利能力。</w:t>
      </w:r>
    </w:p>
    <w:p>
      <w:pPr>
        <w:pStyle w:val="TextBody"/>
      </w:pPr>
      <w:hyperlink r:id="rId51">
        <w:r>
          <w:rPr>
            <w:rStyle w:val="Hyperlink"/>
          </w:rPr>
          <w:t xml:space="preserve">http://company.stcn.com/2017/1215/13836060.shtml</w:t>
        </w:r>
      </w:hyperlink>
    </w:p>
    <w:p>
      <w:pPr>
        <w:pStyle w:val="Heading3"/>
      </w:pPr>
      <w:bookmarkStart w:id="52" w:name="富控互动拟并购百搭网络"/>
      <w:bookmarkEnd w:id="52"/>
      <w:r>
        <w:t xml:space="preserve">富控互动拟并购百搭网络</w:t>
      </w:r>
    </w:p>
    <w:p>
      <w:pPr>
        <w:pStyle w:val="FirstParagraph"/>
      </w:pPr>
      <w:r>
        <w:t xml:space="preserve">富控互动2017年12月16日公告称，公司拟以13.67亿元对价现金收购宁波尚游持有的宁波百搭网络科技有限公司（以下简称“百搭网络”）51%股权。截至2017年9月30日，百搭网络净资产为7811.95万元，按照交易价格计算，增值26.02亿元，增值率为3330.64%。</w:t>
      </w:r>
    </w:p>
    <w:p>
      <w:pPr>
        <w:pStyle w:val="TextBody"/>
      </w:pPr>
      <w:r>
        <w:t xml:space="preserve">富控互动表示，百搭网络账面资产未体现其拥有的无形资产价值，在估值基准日，其经营使用的软件著作权为自主研发获得，这部分资产未在账面体现。富控互动还表示，公司积极布局和开拓国内网络游戏市场，百搭网络是一家开发和运营移动端游戏的互联网游戏公司，公司将借助百搭网络打开国内移动端网络游戏市场，并迈入休闲社交类游戏领域，进一步丰富上市公司游戏产品类型，扩大上市公司在国内游戏市场影响力。</w:t>
      </w:r>
    </w:p>
    <w:p>
      <w:pPr>
        <w:pStyle w:val="TextBody"/>
      </w:pPr>
      <w:hyperlink r:id="rId53">
        <w:r>
          <w:rPr>
            <w:rStyle w:val="Hyperlink"/>
          </w:rPr>
          <w:t xml:space="preserve">http://company.stcn.com/2017/1218/13840084.shtml</w:t>
        </w:r>
      </w:hyperlink>
    </w:p>
    <w:p>
      <w:pPr>
        <w:pStyle w:val="Heading3"/>
      </w:pPr>
      <w:bookmarkStart w:id="54" w:name="海通国际拟向海通银行收购旗下资产"/>
      <w:bookmarkEnd w:id="54"/>
      <w:r>
        <w:t xml:space="preserve">海通国际拟向海通银行收购旗下资产</w:t>
      </w:r>
    </w:p>
    <w:p>
      <w:pPr>
        <w:pStyle w:val="FirstParagraph"/>
      </w:pPr>
      <w:r>
        <w:t xml:space="preserve">海通国际近日公告称，拟向海通银行收购以经营股票、固定收益、外汇及商品和企业融资业务为主的Haitong（UK）Limited（海通英国）及 Haitong Securities USA LLC（海通证券美国）全部股本，总作价约2931万美元，预期通过牌照及业务整合，可带来统一品牌及开拓新客户的积极效应，是海通国际成为国际顶级投行不可或缺的战略布局。</w:t>
      </w:r>
    </w:p>
    <w:p>
      <w:pPr>
        <w:pStyle w:val="TextBody"/>
      </w:pPr>
      <w:r>
        <w:t xml:space="preserve">据悉，海通国际目前已于纽约及伦敦设有分支机构，这次收购将完善海通国际在英美的业务牌照。美国方面，将拥有美国国债经纪商、自营交易、并购或其他企业活动财务顾问、及结构性融资；英国方面则包括伦敦交易所会员、资产托管、作为代理商进行交易、及自营交易。董事会相信本次收购可以为公司带来协同效益，有助公司开拓跨境并购和股票资本市场等新商机，为公司的全球客户提供更全面的金融产品及服务，有信心在收购完成后，吸纳更多寻求全球资产配置的客户。</w:t>
      </w:r>
    </w:p>
    <w:p>
      <w:pPr>
        <w:pStyle w:val="TextBody"/>
      </w:pPr>
      <w:hyperlink r:id="rId55">
        <w:r>
          <w:rPr>
            <w:rStyle w:val="Hyperlink"/>
          </w:rPr>
          <w:t xml:space="preserve">http://www.stcn.com/2017/1215/13838185.shtml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- 2017年12月22日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682d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1" Type="http://schemas.openxmlformats.org/officeDocument/2006/relationships/hyperlink" Target="http://company.stcn.com/2017/1215/13836060.shtml" TargetMode="External"/><Relationship Id="rId53" Type="http://schemas.openxmlformats.org/officeDocument/2006/relationships/hyperlink" Target="http://company.stcn.com/2017/1218/13840084.shtml" TargetMode="External"/><Relationship Id="rId49" Type="http://schemas.openxmlformats.org/officeDocument/2006/relationships/hyperlink" Target="http://company.stcn.com/2017/1220/13847435.shtml" TargetMode="External"/><Relationship Id="rId47" Type="http://schemas.openxmlformats.org/officeDocument/2006/relationships/hyperlink" Target="http://company.stcn.com/2017/1221/13848995.shtml" TargetMode="External"/><Relationship Id="rId40" Type="http://schemas.openxmlformats.org/officeDocument/2006/relationships/hyperlink" Target="http://politics.people.com.cn/n1/2017/1216/c1001-29710650.html" TargetMode="External"/><Relationship Id="rId37" Type="http://schemas.openxmlformats.org/officeDocument/2006/relationships/hyperlink" Target="http://www.cfen.com.cn/cjxw/ss/201712/t20171221_2785532.html" TargetMode="External"/><Relationship Id="rId29" Type="http://schemas.openxmlformats.org/officeDocument/2006/relationships/hyperlink" Target="http://www.chinaforex.com.cn/index.php/cms/item-view-id-45905.shtml" TargetMode="External"/><Relationship Id="rId34" Type="http://schemas.openxmlformats.org/officeDocument/2006/relationships/hyperlink" Target="http://www.chinanews.com/gn/2017/12-21/8405703.shtml" TargetMode="External"/><Relationship Id="rId23" Type="http://schemas.openxmlformats.org/officeDocument/2006/relationships/hyperlink" Target="http://www.legaldaily.com.cn/index_article/content/2017-12/18/content_7423546.htm?node=5955" TargetMode="External"/><Relationship Id="rId42" Type="http://schemas.openxmlformats.org/officeDocument/2006/relationships/hyperlink" Target="http://www.legaldaily.com.cn/index_article/content/2017-12/19/content_7424881.htm?node=5955" TargetMode="External"/><Relationship Id="rId44" Type="http://schemas.openxmlformats.org/officeDocument/2006/relationships/hyperlink" Target="http://www.legaldaily.com.cn/index_article/content/2017-12/21/content_7426069.htm?node=5955" TargetMode="External"/><Relationship Id="rId55" Type="http://schemas.openxmlformats.org/officeDocument/2006/relationships/hyperlink" Target="http://www.stcn.com/2017/1215/13838185.shtml" TargetMode="External"/><Relationship Id="rId25" Type="http://schemas.openxmlformats.org/officeDocument/2006/relationships/hyperlink" Target="http://www.szse.cn/main/aboutus/bsyw/39776226.shtml" TargetMode="External"/><Relationship Id="rId27" Type="http://schemas.openxmlformats.org/officeDocument/2006/relationships/hyperlink" Target="http://www.szse.cn/main/aboutus/bsyw/39776241.shtml" TargetMode="External"/><Relationship Id="rId32" Type="http://schemas.openxmlformats.org/officeDocument/2006/relationships/hyperlink" Target="http://xw.sinoins.com/2017-12/15/content_250205.htm" TargetMode="External"/><Relationship Id="rId8" Type="http://schemas.openxmlformats.org/officeDocument/2006/relationships/hyperlink" Target="http://www.charltonslaw.com.cn/min-qi-jing-wai-tou-zi-xing-wei-gui-fan-fa-bu-wu-fang-mian-yin-dao-gui-fan-min-qi-jing-wai-tou-zi"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company.stcn.com/2017/1215/13836060.shtml" TargetMode="External"/><Relationship Id="rId53" Type="http://schemas.openxmlformats.org/officeDocument/2006/relationships/hyperlink" Target="http://company.stcn.com/2017/1218/13840084.shtml" TargetMode="External"/><Relationship Id="rId49" Type="http://schemas.openxmlformats.org/officeDocument/2006/relationships/hyperlink" Target="http://company.stcn.com/2017/1220/13847435.shtml" TargetMode="External"/><Relationship Id="rId47" Type="http://schemas.openxmlformats.org/officeDocument/2006/relationships/hyperlink" Target="http://company.stcn.com/2017/1221/13848995.shtml" TargetMode="External"/><Relationship Id="rId40" Type="http://schemas.openxmlformats.org/officeDocument/2006/relationships/hyperlink" Target="http://politics.people.com.cn/n1/2017/1216/c1001-29710650.html" TargetMode="External"/><Relationship Id="rId37" Type="http://schemas.openxmlformats.org/officeDocument/2006/relationships/hyperlink" Target="http://www.cfen.com.cn/cjxw/ss/201712/t20171221_2785532.html" TargetMode="External"/><Relationship Id="rId29" Type="http://schemas.openxmlformats.org/officeDocument/2006/relationships/hyperlink" Target="http://www.chinaforex.com.cn/index.php/cms/item-view-id-45905.shtml" TargetMode="External"/><Relationship Id="rId34" Type="http://schemas.openxmlformats.org/officeDocument/2006/relationships/hyperlink" Target="http://www.chinanews.com/gn/2017/12-21/8405703.shtml" TargetMode="External"/><Relationship Id="rId23" Type="http://schemas.openxmlformats.org/officeDocument/2006/relationships/hyperlink" Target="http://www.legaldaily.com.cn/index_article/content/2017-12/18/content_7423546.htm?node=5955" TargetMode="External"/><Relationship Id="rId42" Type="http://schemas.openxmlformats.org/officeDocument/2006/relationships/hyperlink" Target="http://www.legaldaily.com.cn/index_article/content/2017-12/19/content_7424881.htm?node=5955" TargetMode="External"/><Relationship Id="rId44" Type="http://schemas.openxmlformats.org/officeDocument/2006/relationships/hyperlink" Target="http://www.legaldaily.com.cn/index_article/content/2017-12/21/content_7426069.htm?node=5955" TargetMode="External"/><Relationship Id="rId55" Type="http://schemas.openxmlformats.org/officeDocument/2006/relationships/hyperlink" Target="http://www.stcn.com/2017/1215/13838185.shtml" TargetMode="External"/><Relationship Id="rId25" Type="http://schemas.openxmlformats.org/officeDocument/2006/relationships/hyperlink" Target="http://www.szse.cn/main/aboutus/bsyw/39776226.shtml" TargetMode="External"/><Relationship Id="rId27" Type="http://schemas.openxmlformats.org/officeDocument/2006/relationships/hyperlink" Target="http://www.szse.cn/main/aboutus/bsyw/39776241.shtml" TargetMode="External"/><Relationship Id="rId32" Type="http://schemas.openxmlformats.org/officeDocument/2006/relationships/hyperlink" Target="http://xw.sinoins.com/2017-12/15/content_2502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2017-12-22T04:13:06Z</dcterms:created>
  <dcterms:modified xsi:type="dcterms:W3CDTF">2017-12-22T04:13:06Z</dcterms:modified>
</cp:coreProperties>
</file>