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- 2018年1月5日</w:t>
      </w:r>
    </w:p>
    <w:p>
      <w:pPr>
        <w:pStyle w:val="ReadOnline"/>
      </w:pPr>
      <w:hyperlink r:id="rId9">
        <w:r>
          <w:rPr/>
          <w:t>online version</w:t>
        </w:r>
      </w:hyperlink>
    </w:p>
    <w:p>
      <w:pPr>
        <w:pStyle w:val="Title"/>
      </w:pPr>
      <w:r>
        <w:t>银监会印发《金融资产管理公司资本管理办法（试行）》</w:t>
      </w:r>
    </w:p>
    <w:p>
      <w:pPr>
        <w:pStyle w:val="Heading2"/>
      </w:pPr>
      <w:bookmarkStart w:id="21" w:name="资本市场"/>
      <w:r>
        <w:t xml:space="preserve">资本市场</w:t>
      </w:r>
      <w:bookmarkEnd w:id="21"/>
    </w:p>
    <w:p>
      <w:pPr>
        <w:pStyle w:val="Heading3"/>
      </w:pPr>
      <w:bookmarkStart w:id="22" w:name="银监会印发金融资产管理公司资本管理办法试行"/>
      <w:r>
        <w:t xml:space="preserve">银监会印发《金融资产管理公司资本管理办法（试行）》</w:t>
      </w:r>
      <w:bookmarkEnd w:id="22"/>
    </w:p>
    <w:p>
      <w:pPr>
        <w:pStyle w:val="FirstParagraph"/>
      </w:pPr>
      <w:r>
        <w:t xml:space="preserve">近日，为加强对金融资产管理公司的资本监管，弥补制度短板，提升监管效能，引导资产公司进一步聚焦不良资产主业，服务实体经济和供给侧结构性改革，规范多元化经营，银监会发布《金融资产管理公司资本管理办法（试行）》（以下简称《资本办法》），《资本办法》将于2018年1月1日起正式实施。</w:t>
      </w:r>
    </w:p>
    <w:p>
      <w:pPr>
        <w:pStyle w:val="TextBody"/>
      </w:pPr>
      <w:r>
        <w:t xml:space="preserve">《资本办法》主要内容包括总则、集团母公司资本监管要求、集团资本监管要求、监督检查、信息披露和附则等六个章节，共八十四条。重点强调以下五个方面：一是结合资产公司业务经营特点，设定适当的资本充足性监管标准，明确第二支柱监管要求和信息披露监管要求，强化监管部门的监督管理和市场约束作用。二是通过设定差异化的资产风险权重，引导资产公司按照“相对集中，突出主业”的原则，聚焦不良资产主业。三是对资产公司集团内未受监管但具有投融资功能、杠杆率较高的非金融类子公司提出审慎监管要求，确保资本监管全覆盖。四是将杠杆率监管指标及要求纳入《资本办法》，形成统一的资本监管框架。五是要求集团母公司及相关子公司将信用风险、市场风险和操作风险纳入资本计量范围，并结合资产公司实际选择适当的风险计量方法。</w:t>
      </w:r>
    </w:p>
    <w:p>
      <w:pPr>
        <w:pStyle w:val="TextBody"/>
      </w:pPr>
      <w:hyperlink r:id="rId23">
        <w:r>
          <w:rPr>
            <w:rStyle w:val="Hyperlink"/>
          </w:rPr>
          <w:t xml:space="preserve">http://www.gov.cn/xinwen/2018-01/01/content_5252176.htm</w:t>
        </w:r>
      </w:hyperlink>
    </w:p>
    <w:p>
      <w:pPr>
        <w:pStyle w:val="Heading3"/>
      </w:pPr>
      <w:bookmarkStart w:id="24" w:name="证监会发布公告要求资本市场有关主体全面实施新审计报告相关准则"/>
      <w:r>
        <w:t xml:space="preserve">证监会发布公告要求资本市场有关主体全面实施新审计报告相关准则</w:t>
      </w:r>
      <w:bookmarkEnd w:id="24"/>
    </w:p>
    <w:p>
      <w:pPr>
        <w:pStyle w:val="FirstParagraph"/>
      </w:pPr>
      <w:r>
        <w:t xml:space="preserve">近日，证监会发布《中国证券监督管理委员会公告》〔2017〕19号，对资本市场主体全面实施新审计报告相关准则做出有关规定。</w:t>
      </w:r>
    </w:p>
    <w:p>
      <w:pPr>
        <w:pStyle w:val="TextBody"/>
      </w:pPr>
      <w:r>
        <w:t xml:space="preserve">《中国证券监督管理委员会公告》〔2017〕19号对资本市场有关主体全面实施新审计报告相关准则的具体要求予以明确，同时，要求具有证券期货相关业务资格的会计师事务所加强内部质量管理，严格执行新审计报告相关准则的要求，提高审计报告信息的有用性和针对性。下一步，证监会将加强对证券资格会计师事务所执行新审计报告相关准则的监管以及上市公司等资本市场有关主体信息披露的监管，提高新审计报告相关准则的实施质量，满足投资者对高质量财务信息的需求。</w:t>
      </w:r>
    </w:p>
    <w:p>
      <w:pPr>
        <w:pStyle w:val="TextBody"/>
      </w:pPr>
      <w:hyperlink r:id="rId25">
        <w:r>
          <w:rPr>
            <w:rStyle w:val="Hyperlink"/>
          </w:rPr>
          <w:t xml:space="preserve">http://www.gov.cn/xinwen/2017-12/31/content_5252007.htm</w:t>
        </w:r>
      </w:hyperlink>
    </w:p>
    <w:p>
      <w:pPr>
        <w:pStyle w:val="Heading3"/>
      </w:pPr>
      <w:bookmarkStart w:id="26" w:name="证监会修订定期报告内容与格式准则促进提高上市公司质量"/>
      <w:r>
        <w:t xml:space="preserve">证监会修订定期报告内容与格式准则促进提高上市公司质量</w:t>
      </w:r>
      <w:bookmarkEnd w:id="26"/>
    </w:p>
    <w:p>
      <w:pPr>
        <w:pStyle w:val="FirstParagraph"/>
      </w:pPr>
      <w:r>
        <w:t xml:space="preserve">近日，证监会对上市公司年度报告和半年度报告信息披露内容与格式准则进行了统一修订，发布了《公开发行证券的公司信息披露内容与格式准则第2号——年度报告的内容与格式》（2017年修订）和《公开发行证券的公司信息披露内容与格式准则第3号——半年度报告的内容与格式》（2017年修订）。</w:t>
      </w:r>
    </w:p>
    <w:p>
      <w:pPr>
        <w:pStyle w:val="TextBody"/>
      </w:pPr>
      <w:r>
        <w:t xml:space="preserve">本次修订明确提出分层次的上市公司环境信息披露制度，即要求重点排污公司强制披露、其他公司执行“遵守或解释”原则，同时，鼓励公司自愿披露有利于保护生态、防止污染的信息，进一步强化公司承担环境与社会责任，推动构建绿色金融体系，为人民创造良好生产生活环境、建设美丽中国贡献力量。本次修订新增上市公司支持扶贫开发工作的信息披露要求，鼓励公司披露精准扶贫规划、成效等方面的信息，进一步提升上市公司的担当意识，压实上市公司的扶贫责任，体现资本市场坚持以人民为中心的发展思想。</w:t>
      </w:r>
    </w:p>
    <w:p>
      <w:pPr>
        <w:pStyle w:val="TextBody"/>
      </w:pPr>
      <w:hyperlink r:id="rId27">
        <w:r>
          <w:rPr>
            <w:rStyle w:val="Hyperlink"/>
          </w:rPr>
          <w:t xml:space="preserve">http://www.gov.cn/xinwen/2017-12/31/content_5252008.htm</w:t>
        </w:r>
      </w:hyperlink>
    </w:p>
    <w:p>
      <w:pPr>
        <w:pStyle w:val="Heading3"/>
      </w:pPr>
      <w:bookmarkStart w:id="28" w:name="国家外汇管理局发布国家外汇管理局关于规范银行卡境外大额提取现金交易的通知"/>
      <w:r>
        <w:t xml:space="preserve">国家外汇管理局发布《国家外汇管理局关于规范银行卡境外大额提取现金交易的通知》</w:t>
      </w:r>
      <w:bookmarkEnd w:id="28"/>
    </w:p>
    <w:p>
      <w:pPr>
        <w:pStyle w:val="FirstParagraph"/>
      </w:pPr>
      <w:r>
        <w:t xml:space="preserve">日前，国家外汇管理局发布《国家外汇管理局关于规范银行卡境外大额提取现金交易的通知》（以下简称《通知》），规范银行卡境外大额提取现金交易，完善跨境反洗钱监管。</w:t>
      </w:r>
    </w:p>
    <w:p>
      <w:pPr>
        <w:pStyle w:val="TextBody"/>
      </w:pPr>
      <w:r>
        <w:t xml:space="preserve">《通知》主要内容包括：一是个人持境内银行卡在境外提取现金，本人名下银行卡（含附属卡）合计每个自然年度不得超过等值10万元人民币；二是将人民币卡、外币卡境外提取现金每卡每日额度统一为等值1万元人民币；三是个人持境内银行卡境外提取现金超过年度额度的，本年及次年将被暂停持境内银行卡在境外提取现金；四是个人不得通过借用他人银行卡或出借本人银行卡等方式规避或协助规避境外提取现金管理。外汇局坚持支持个人持卡跨境合规使用。规范银行卡境外大额提取现金交易，是反洗钱、反恐怖融资、反逃税的必要举措，可进一步防范银行卡提取现金领域的违法犯罪活动。</w:t>
      </w:r>
    </w:p>
    <w:p>
      <w:pPr>
        <w:pStyle w:val="TextBody"/>
      </w:pPr>
      <w:hyperlink r:id="rId29">
        <w:r>
          <w:rPr>
            <w:rStyle w:val="Hyperlink"/>
          </w:rPr>
          <w:t xml:space="preserve">http://www.gov.cn/xinwen/2017-12/31/content_5251955.htm</w:t>
        </w:r>
      </w:hyperlink>
    </w:p>
    <w:p>
      <w:pPr>
        <w:pStyle w:val="Heading2"/>
      </w:pPr>
      <w:bookmarkStart w:id="30" w:name="保险"/>
      <w:r>
        <w:t xml:space="preserve">保险</w:t>
      </w:r>
      <w:bookmarkEnd w:id="30"/>
    </w:p>
    <w:p>
      <w:pPr>
        <w:pStyle w:val="Heading3"/>
      </w:pPr>
      <w:bookmarkStart w:id="31" w:name="保监会重点整治将保险产品混同存款进行销售等问题"/>
      <w:r>
        <w:t xml:space="preserve">保监会：重点整治将保险产品混同存款进行销售等问题</w:t>
      </w:r>
      <w:bookmarkEnd w:id="31"/>
    </w:p>
    <w:p>
      <w:pPr>
        <w:pStyle w:val="FirstParagraph"/>
      </w:pPr>
      <w:r>
        <w:t xml:space="preserve">近日，保监会印发《中国保监会关于组织开展人身保险治理销售乱象打击非法经营专项行动的通知》，在人身保险行业组织开展“治乱打非”专项行动。保监会有关部门负责人表示，将重点整治保险公司、保险中介机构和保险销售从业人员将保险产品混同为银行存款或理财产品进行销售、“存单变保单”等问题。</w:t>
      </w:r>
    </w:p>
    <w:p>
      <w:pPr>
        <w:pStyle w:val="TextBody"/>
      </w:pPr>
      <w:r>
        <w:t xml:space="preserve">该负责人介绍，人身保险“治乱打非”专项行动是打好防范化解重大风险攻坚战，做好重点领域风险防范和处置，坚决打击违法违规保险活动的实际行动和重要举措。此次专项行动将综合采取自查自纠、监管抽查、日常监管、社会监督等手段措施，通过严查重处、重典治乱，严厉打击违法违规行为，有效治理人身保险销售、渠道、非法经营等各类市场乱象问题，强化监管制度落实，提升合法合规经营，坚决清除风险隐患，规范人身保险市场秩序，保护保险消费者合法权益，促进人身保险业规范健康高质量发展。</w:t>
      </w:r>
    </w:p>
    <w:p>
      <w:pPr>
        <w:pStyle w:val="TextBody"/>
      </w:pPr>
      <w:hyperlink r:id="rId32">
        <w:r>
          <w:rPr>
            <w:rStyle w:val="Hyperlink"/>
          </w:rPr>
          <w:t xml:space="preserve">http://www.chinanews.com/fortune/2018/01-03/8414953.shtml</w:t>
        </w:r>
      </w:hyperlink>
    </w:p>
    <w:p>
      <w:pPr>
        <w:pStyle w:val="Heading2"/>
      </w:pPr>
      <w:bookmarkStart w:id="33" w:name="税收"/>
      <w:r>
        <w:t xml:space="preserve">税收</w:t>
      </w:r>
      <w:bookmarkEnd w:id="33"/>
    </w:p>
    <w:p>
      <w:pPr>
        <w:pStyle w:val="Heading3"/>
      </w:pPr>
      <w:bookmarkStart w:id="34" w:name="两部门出台税收支持政策降低企业境外所得税负"/>
      <w:r>
        <w:t xml:space="preserve">两部门出台税收支持政策降低企业境外所得税负</w:t>
      </w:r>
      <w:bookmarkEnd w:id="34"/>
    </w:p>
    <w:p>
      <w:pPr>
        <w:pStyle w:val="FirstParagraph"/>
      </w:pPr>
      <w:r>
        <w:t xml:space="preserve">财政部、税务总局近日联合印发《关于完善企业境外所得税收抵免政策问题的通知》（以下简称《通知》），明确在现行分国（地区）别不分项抵免方法的基础上，增加不分国（地区）别不分项的综合抵免方法，并适当扩大抵免层级，进一步促进利用外资与对外投资相结合。</w:t>
      </w:r>
    </w:p>
    <w:p>
      <w:pPr>
        <w:pStyle w:val="TextBody"/>
      </w:pPr>
      <w:r>
        <w:t xml:space="preserve">《通知》赋予纳税人选择权，对境外投资所得可自行选择综合抵免法或分国抵免法，但一经选择，5年内不得改变。此外，《通知》规定，企业选择采用不同于以前年度的抵免方法计算可抵免境外所得税税额和抵免限额时，对该企业以前年度尚未抵免完的余额，可在税法规定结转的剩余年限内，按新选择的抵免方法计算的抵免限额中继续结转抵免。即企业此前在分国抵免法下还有尚未抵免完的余额，可在税法规定5年结转期的剩余年限内，按照综合抵免法计算的抵免限额继续结转抵免。</w:t>
      </w:r>
    </w:p>
    <w:p>
      <w:pPr>
        <w:pStyle w:val="TextBody"/>
      </w:pPr>
      <w:hyperlink r:id="rId35">
        <w:r>
          <w:rPr>
            <w:rStyle w:val="Hyperlink"/>
          </w:rPr>
          <w:t xml:space="preserve">http://www.xinhuanet.com/fortune/2018-01/03/c_1122201216.htm</w:t>
        </w:r>
      </w:hyperlink>
    </w:p>
    <w:p>
      <w:pPr>
        <w:pStyle w:val="Heading2"/>
      </w:pPr>
      <w:bookmarkStart w:id="36" w:name="知识产权"/>
      <w:r>
        <w:t xml:space="preserve">知识产权</w:t>
      </w:r>
      <w:bookmarkEnd w:id="36"/>
    </w:p>
    <w:p>
      <w:pPr>
        <w:pStyle w:val="Heading3"/>
      </w:pPr>
      <w:bookmarkStart w:id="37" w:name="两部门关于确定中小企业知识产权战略推进工程试点城市的通知"/>
      <w:r>
        <w:t xml:space="preserve">两部门关于确定中小企业知识产权战略推进工程试点城市的通知</w:t>
      </w:r>
      <w:bookmarkEnd w:id="37"/>
    </w:p>
    <w:p>
      <w:pPr>
        <w:pStyle w:val="FirstParagraph"/>
      </w:pPr>
      <w:r>
        <w:t xml:space="preserve">为强化知识产权创造、保护、运用，加强对中小企业创新的支持，根据《关于全面组织实施中小企业知识产权战略推进工程的指导意见》（以下简称《指导意见》）和《关于开展中小企业知识产权战略推进工程试点城市申报工作的通知》（以下简称《申报通知》），国家知识产权局与工业和信息化部共同确定20个中小企业知识产权战略推进工程试点城市（含35个中小企业集聚的园区），并原则同意各试点城市申报的工作方案。试点时间为2017年12月至2020年12月。</w:t>
      </w:r>
    </w:p>
    <w:p>
      <w:pPr>
        <w:pStyle w:val="TextBody"/>
      </w:pPr>
      <w:r>
        <w:t xml:space="preserve">试点期间，国家知识产权局与工业和信息化部将对试点城市进行工作指导和跟踪管理，督促试点城市工作方案按计划实施；各省（区、市）知识产权局、中小企业主管部门要密切配合，切实加强组织领导和业务指导，充分整合资源，予以政策支持和项目扶持，确保试点工作取得实效。试点城市要按照《指导意见》和《申报通知》要求，根据申报的工作方案，把中小企业集聚的园区作为中小企业知识产权战略推进工程的重点实施单位，细化工作计划，落实专项工作经费，积极开展专利导航和运营工作，加大知识产权保护力度，提升知识产权管理水平，优化知识产权服务体系，大力培养知识产权人才，营造良好的知识产权环境。</w:t>
      </w:r>
    </w:p>
    <w:p>
      <w:pPr>
        <w:pStyle w:val="TextBody"/>
      </w:pPr>
      <w:hyperlink r:id="rId38">
        <w:r>
          <w:rPr>
            <w:rStyle w:val="Hyperlink"/>
          </w:rPr>
          <w:t xml:space="preserve">http://www.gov.cn/xinwen/2017-12/30/content_5251765.htm</w:t>
        </w:r>
      </w:hyperlink>
    </w:p>
    <w:p>
      <w:pPr>
        <w:pStyle w:val="Heading2"/>
      </w:pPr>
      <w:bookmarkStart w:id="39" w:name="行业"/>
      <w:r>
        <w:t xml:space="preserve">行业</w:t>
      </w:r>
      <w:bookmarkEnd w:id="39"/>
    </w:p>
    <w:p>
      <w:pPr>
        <w:pStyle w:val="Heading3"/>
      </w:pPr>
      <w:bookmarkStart w:id="40" w:name="最高人民法院为企业家创新创业营造良好法治环境"/>
      <w:r>
        <w:t xml:space="preserve">最高人民法院：为企业家创新创业营造良好法治环境</w:t>
      </w:r>
      <w:bookmarkEnd w:id="40"/>
    </w:p>
    <w:p>
      <w:pPr>
        <w:pStyle w:val="FirstParagraph"/>
      </w:pPr>
      <w:r>
        <w:t xml:space="preserve">为了贯彻落实中央有关意见要求，进一步增强各级法院依法保护企业家合法权益的意识和水平，进一步增强企业家人身及财产财富安全感，保障企业家安心经营、放心投资、专心创业，促进经济发展，《最高人民法院关于充分发挥审判职能作用为企业家创新创业营造良好法治环境的通知》（以下简称《通知》）近日向社会发布。</w:t>
      </w:r>
    </w:p>
    <w:p>
      <w:pPr>
        <w:pStyle w:val="TextBody"/>
      </w:pPr>
      <w:r>
        <w:t xml:space="preserve">《通知》明确以金融服务实体经济为金融审判的价值导向，提出对商业银行、典当公司、小额贷款公司等金融机构以不合理收费变相收取高息的，应参照民间借贷利率标准处理，降低企业融资成本。《通知》要求各级法院要依法打击破坏市场秩序、不正当竞争等违法行为，引导企业家在经营中遵纪守法、诚实守信、公平竞争、恪尽责任。对于诚实守信的企业家，如果政府违约毁约，法院依法支持企业家的合理诉求，保护企业家合法权益。</w:t>
      </w:r>
    </w:p>
    <w:p>
      <w:pPr>
        <w:pStyle w:val="TextBody"/>
      </w:pPr>
      <w:hyperlink r:id="rId41">
        <w:r>
          <w:rPr>
            <w:rStyle w:val="Hyperlink"/>
          </w:rPr>
          <w:t xml:space="preserve">http://china.cnr.cn/ygxw/20180102/t20180102_524084393.shtml</w:t>
        </w:r>
      </w:hyperlink>
    </w:p>
    <w:p>
      <w:pPr>
        <w:pStyle w:val="Heading3"/>
      </w:pPr>
      <w:bookmarkStart w:id="42" w:name="司法部修订发布基层法律服务所管理办法和基层法律服务工作者管理办法"/>
      <w:r>
        <w:t xml:space="preserve">司法部修订发布《基层法律服务所管理办法》和《基层法律服务工作者管理办法》</w:t>
      </w:r>
      <w:bookmarkEnd w:id="42"/>
    </w:p>
    <w:p>
      <w:pPr>
        <w:pStyle w:val="FirstParagraph"/>
      </w:pPr>
      <w:r>
        <w:t xml:space="preserve">司法部2018年1月1日公布了修订后的《基层法律服务所管理办法》和《基层法律服务工作者管理办法》，两个办法自2018年2月1日起施行。</w:t>
      </w:r>
    </w:p>
    <w:p>
      <w:pPr>
        <w:pStyle w:val="TextBody"/>
      </w:pPr>
      <w:r>
        <w:t xml:space="preserve">修订后的《基层法律服务所管理办法》对基层法律服务所设立和组织形式作出了调整，删除了基层法律服务所设立的相关规定，规定了事业体制和普通合伙制两种组织形式，并对这两种组织形式的基层法律服务所应当具备的条件作出了明确规定。修订后的《基层法律服务工作者管理办法》完善了执业核准条件、执业核准程序，并对各地制定基层法律服务队伍发展方案作出了明确规定，从以上三个方面完善了基层法律服务工作者执业核准制度。</w:t>
      </w:r>
    </w:p>
    <w:p>
      <w:pPr>
        <w:pStyle w:val="TextBody"/>
      </w:pPr>
      <w:hyperlink r:id="rId43">
        <w:r>
          <w:rPr>
            <w:rStyle w:val="Hyperlink"/>
          </w:rPr>
          <w:t xml:space="preserve">http://www.gov.cn/xinwen/2018-01/03/content_5252822.htm</w:t>
        </w:r>
      </w:hyperlink>
    </w:p>
    <w:p>
      <w:pPr>
        <w:pStyle w:val="Heading3"/>
      </w:pPr>
      <w:bookmarkStart w:id="44" w:name="国家铁路局发布公路与市政工程下穿高速铁路技术规程"/>
      <w:r>
        <w:t xml:space="preserve">国家铁路局发布《公路与市政工程下穿高速铁路技术规程》</w:t>
      </w:r>
      <w:bookmarkEnd w:id="44"/>
    </w:p>
    <w:p>
      <w:pPr>
        <w:pStyle w:val="FirstParagraph"/>
      </w:pPr>
      <w:r>
        <w:t xml:space="preserve">为满足高速铁路结构安全和运营安全的要求，规范和统一相关技术标准，近日，国家铁路局发布《公路与市政工程下穿高速铁路技术规程》（TB 10182-2017）行业标准，自2018年4月1日起实施。</w:t>
      </w:r>
    </w:p>
    <w:p>
      <w:pPr>
        <w:pStyle w:val="TextBody"/>
      </w:pPr>
      <w:r>
        <w:t xml:space="preserve">该规程总结了近年来公路与市政工程下穿高速铁路实践经验，吸纳了最新科研成果，明确下穿工程与高速铁路桥梁的安全距离及防护措施，规定受下穿工程影响的高速铁路桥梁结构变形控制标准和轨道平顺性控制要求，提出桥梁、桩板结构、U型槽和框架结构以及路基等下穿工程类型的选用原则、适用条件及下穿工程的监测报警、方法、精度、频率、成果等内容，充分体现了下穿工程的技术特点和安全要求，适用于下穿运营高速铁路桥梁的新建、改建公路与市政工程的设计、施工及监测。</w:t>
      </w:r>
    </w:p>
    <w:p>
      <w:pPr>
        <w:pStyle w:val="TextBody"/>
      </w:pPr>
      <w:hyperlink r:id="rId45">
        <w:r>
          <w:rPr>
            <w:rStyle w:val="Hyperlink"/>
          </w:rPr>
          <w:t xml:space="preserve">http://www.gov.cn/xinwen/2018-01/02/content_5252590.htm</w:t>
        </w:r>
      </w:hyperlink>
    </w:p>
    <w:p>
      <w:pPr>
        <w:pStyle w:val="Heading2"/>
      </w:pPr>
      <w:bookmarkStart w:id="46" w:name="并购"/>
      <w:r>
        <w:t xml:space="preserve">并购</w:t>
      </w:r>
      <w:bookmarkEnd w:id="46"/>
    </w:p>
    <w:p>
      <w:pPr>
        <w:pStyle w:val="Heading3"/>
      </w:pPr>
      <w:bookmarkStart w:id="47" w:name="亿纬锂能拟收购金能公司协同布局打开新增长空间"/>
      <w:r>
        <w:t xml:space="preserve">亿纬锂能拟收购金能公司，协同布局打开新增长空间</w:t>
      </w:r>
      <w:bookmarkEnd w:id="47"/>
    </w:p>
    <w:p>
      <w:pPr>
        <w:pStyle w:val="FirstParagraph"/>
      </w:pPr>
      <w:r>
        <w:t xml:space="preserve">近日，亿纬锂能发布公告，亿纬锂能拟以7,359万元向TCL集团股份有限公司（以下简称“TCL集团”）及惠州泰科立集团股份有限公司（以下简称“泰科立”）收购惠州金能电池有限公司（以下简称“金能公司”）100%股权。</w:t>
      </w:r>
    </w:p>
    <w:p>
      <w:pPr>
        <w:pStyle w:val="TextBody"/>
      </w:pPr>
      <w:r>
        <w:t xml:space="preserve">金能公司成立于1999年1月，是国内最早从事聚合物锂离子电芯研发、制造、销售的专业公司之一。亿纬锂能表示，公司从2010年开始布局锂离子电池业务，通过七年多的积累，在电子雾化器和智能穿戴市场有比较强的优势。2017年，公司抓住市场快速发展的机遇，客户结构更加合理，大客户订单快速增加，目前生产和交付能力形成业务发展瓶颈。本次收购完成，有利于公司扩大生产能力、提高交付能力，并且在研发和供应链产生较强的协同效果，整体降低公司和金能公司的运营成本，实现公司和金能公司的双赢。</w:t>
      </w:r>
    </w:p>
    <w:p>
      <w:pPr>
        <w:pStyle w:val="TextBody"/>
      </w:pPr>
      <w:hyperlink r:id="rId48">
        <w:r>
          <w:rPr>
            <w:rStyle w:val="Hyperlink"/>
          </w:rPr>
          <w:t xml:space="preserve">http://yq.stcn.com/2018/0104/13880615.shtml</w:t>
        </w:r>
      </w:hyperlink>
    </w:p>
    <w:p>
      <w:pPr>
        <w:pStyle w:val="Heading3"/>
      </w:pPr>
      <w:bookmarkStart w:id="49" w:name="优客工场全资收购洪泰创新空间"/>
      <w:r>
        <w:t xml:space="preserve">优客工场全资收购洪泰创新空间</w:t>
      </w:r>
      <w:bookmarkEnd w:id="49"/>
    </w:p>
    <w:p>
      <w:pPr>
        <w:pStyle w:val="FirstParagraph"/>
      </w:pPr>
      <w:r>
        <w:t xml:space="preserve">经过近半年时间的交接后，优客工场终于于近日完成了对洪泰创新空间的全资并购。同时，这也是共享办公领域近年来最大的全资并购案例。收购完成后，优客工场董事长为毛大庆，毛大庆、王胜江为联席CEO。</w:t>
      </w:r>
    </w:p>
    <w:p>
      <w:pPr>
        <w:pStyle w:val="TextBody"/>
      </w:pPr>
      <w:r>
        <w:t xml:space="preserve">据悉，收购完成后，优客工场管理面积将拓展到40万平方米，布局城市达35个，新增海口、合肥、济南、广州、东莞等城市，近120个场地，拥有近5000家入驻企业和超过10万名平台会员。这场并购交易之后，优客工场的整体估值达到了90亿元人民币。优客工场创始人董事长毛大庆表示，中国是世界上最大的经济体之一，是创造力阶层最为活跃的国家，相信合并后，优客工场会带着全新优质基因的注入，放大叠加效应，为中国共享办公行业的优化注入巨大动力。</w:t>
      </w:r>
    </w:p>
    <w:p>
      <w:pPr>
        <w:pStyle w:val="TextBody"/>
      </w:pPr>
      <w:hyperlink r:id="rId50">
        <w:r>
          <w:rPr>
            <w:rStyle w:val="Hyperlink"/>
          </w:rPr>
          <w:t xml:space="preserve">http://kuaixun.stcn.com/2018/0103/13879347.shtml</w:t>
        </w:r>
      </w:hyperlink>
    </w:p>
    <w:p>
      <w:pPr>
        <w:pStyle w:val="Heading3"/>
      </w:pPr>
      <w:bookmarkStart w:id="51" w:name="蚂蚁金服终止收购速汇金"/>
      <w:r>
        <w:t xml:space="preserve">蚂蚁金服终止收购速汇金</w:t>
      </w:r>
      <w:bookmarkEnd w:id="51"/>
    </w:p>
    <w:p>
      <w:pPr>
        <w:pStyle w:val="FirstParagraph"/>
      </w:pPr>
      <w:r>
        <w:t xml:space="preserve">美国当地时间2018年1月2日（北京时间1月3日凌晨），速汇金与蚂蚁金服共同宣布，相关并购事宜正式终止，双方计划在汇款和电子支付市场开展新的战略业务合作，利用双方所长，为全球客户提供响应快、成本低的转账汇款服务。</w:t>
      </w:r>
    </w:p>
    <w:p>
      <w:pPr>
        <w:pStyle w:val="TextBody"/>
      </w:pPr>
      <w:r>
        <w:t xml:space="preserve">2017年1月26日，蚂蚁金服首次宣布以13.25美元/股的价格与速汇金达成8.8亿美元（约合人民币60.5亿元）的并购协议。此后，因Euronet发出溢价收购要约，蚂蚁金服将并购价格提升至18美元一股。不过并购速汇金，诚意满满的蚂蚁金服，似乎未能满足美国外资投资委员会的预期，这家美国财政部下属的外商投资审查机构在蚂蚁金服多次提交资料后都未予批准通过。美国总统特朗普上任后，美国外资投资委员会收紧了外国在美国的投资审查，多个中国企业对美收购项目遇到阻碍。数据显示，仅仅2017年一年里，中国企业对美国项目并购的规模就骤降了八成。</w:t>
      </w:r>
    </w:p>
    <w:p>
      <w:pPr>
        <w:pStyle w:val="TextBody"/>
      </w:pPr>
      <w:hyperlink r:id="rId52">
        <w:r>
          <w:rPr>
            <w:rStyle w:val="Hyperlink"/>
          </w:rPr>
          <w:t xml:space="preserve">http://www.stcn.com/2018/0103/13877628.shtml</w:t>
        </w:r>
      </w:hyperlink>
    </w:p>
    <w:p>
      <w:pPr>
        <w:pStyle w:val="Heading3"/>
      </w:pPr>
      <w:bookmarkStart w:id="53" w:name="朗姿股份子公司拟收购陕西高一生医疗美容医院"/>
      <w:r>
        <w:t xml:space="preserve">朗姿股份子公司拟收购陕西高一生医疗美容医院</w:t>
      </w:r>
      <w:bookmarkEnd w:id="53"/>
    </w:p>
    <w:p>
      <w:pPr>
        <w:pStyle w:val="FirstParagraph"/>
      </w:pPr>
      <w:r>
        <w:t xml:space="preserve">近年着力打造医美板块的朗姿股份又有新动作。2018年1月1日晚，据朗姿股份公告，子公司朗姿医疗将通过一系列交易收购陕西高一生医疗美容医院有限公司（以下简称“高一生”）100%股权，后者为一家医疗美容医院。</w:t>
      </w:r>
    </w:p>
    <w:p>
      <w:pPr>
        <w:pStyle w:val="TextBody"/>
      </w:pPr>
      <w:r>
        <w:t xml:space="preserve">朗姿股份表示，为推进公司战略，本次引进中韩基金等产业资本，同时，在大股东的资金支持下，一方面有利于利用外部资金加快公司医美产业布局，另一方面有利于利用资本方资源助力医美产业快速发展。根据朗姿股份公告，2017年12月28日，朗姿医疗与中韩基金、时尚互联、遵义远恒、遵义运始等交易对方签订《股权转让协议》，约定相关交易方将持有的高一生股权转让给朗姿医疗。通过该交易，朗姿医疗将以自有或自筹资金约2.67亿元收购高一生100%股权。</w:t>
      </w:r>
    </w:p>
    <w:p>
      <w:pPr>
        <w:pStyle w:val="TextBody"/>
      </w:pPr>
      <w:hyperlink r:id="rId54">
        <w:r>
          <w:rPr>
            <w:rStyle w:val="Hyperlink"/>
          </w:rPr>
          <w:t xml:space="preserve">http://company.stcn.com/2018/0103/13877450.shtml</w:t>
        </w:r>
      </w:hyperlink>
    </w:p>
    <w:p>
      <w:pPr>
        <w:pStyle w:val="Heading3"/>
      </w:pPr>
      <w:bookmarkStart w:id="55" w:name="永清环保拟10.75亿收购康博固废布局危废处置"/>
      <w:r>
        <w:t xml:space="preserve">永清环保拟10.75亿收购康博固废，布局危废处置</w:t>
      </w:r>
      <w:bookmarkEnd w:id="55"/>
    </w:p>
    <w:p>
      <w:pPr>
        <w:pStyle w:val="FirstParagraph"/>
      </w:pPr>
      <w:r>
        <w:t xml:space="preserve">永清环保近日披露重组预案，拟以10.02元/股的价格，向控股股东永清集团及杭湘鸿鹄合计发行1.07亿股，作价10.75亿元购买其持有的康博固废100%股权。同时，拟向不超过5名特定对象发行股份募集不超过1.25亿元配套资金，投向标的公司在建项目及支付中介机构费用。</w:t>
      </w:r>
    </w:p>
    <w:p>
      <w:pPr>
        <w:pStyle w:val="TextBody"/>
      </w:pPr>
      <w:r>
        <w:t xml:space="preserve">由于永清集团为上市公司控股股东，所以此次收购构成关联交易。如果不考虑配套融资影响，交易完成后，永清集团所持上市公司股权比例为55.91%，实际控制人仍为刘正军，未导致上市公司实际控制人变化。永清环保表示，交易完成后，上市公司将新增危废处置业务，有利于优化公司的资产质量和业务结构，改善公司的持续盈利能力，增强上市公司的经营现金流，提升公司价值，保障公司全体股东的利益。同时，标的公司成熟稳定的运营能力有利于与上市公司的产业协同，助力环境综合服务提供商战略的实现。</w:t>
      </w:r>
    </w:p>
    <w:p>
      <w:pPr>
        <w:pStyle w:val="TextBody"/>
      </w:pPr>
      <w:hyperlink r:id="rId56">
        <w:r>
          <w:rPr>
            <w:rStyle w:val="Hyperlink"/>
          </w:rPr>
          <w:t xml:space="preserve">http://company.stcn.com/2017/1229/13869744.shtml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- 2018年1月5日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3c03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1" Type="http://schemas.openxmlformats.org/officeDocument/2006/relationships/hyperlink" Target="http://china.cnr.cn/ygxw/20180102/t20180102_524084393.shtml" TargetMode="External"/><Relationship Id="rId56" Type="http://schemas.openxmlformats.org/officeDocument/2006/relationships/hyperlink" Target="http://company.stcn.com/2017/1229/13869744.shtml" TargetMode="External"/><Relationship Id="rId54" Type="http://schemas.openxmlformats.org/officeDocument/2006/relationships/hyperlink" Target="http://company.stcn.com/2018/0103/13877450.shtml" TargetMode="External"/><Relationship Id="rId50" Type="http://schemas.openxmlformats.org/officeDocument/2006/relationships/hyperlink" Target="http://kuaixun.stcn.com/2018/0103/13879347.shtml" TargetMode="External"/><Relationship Id="rId32" Type="http://schemas.openxmlformats.org/officeDocument/2006/relationships/hyperlink" Target="http://www.chinanews.com/fortune/2018/01-03/8414953.shtml" TargetMode="External"/><Relationship Id="rId38" Type="http://schemas.openxmlformats.org/officeDocument/2006/relationships/hyperlink" Target="http://www.gov.cn/xinwen/2017-12/30/content_5251765.htm" TargetMode="External"/><Relationship Id="rId29" Type="http://schemas.openxmlformats.org/officeDocument/2006/relationships/hyperlink" Target="http://www.gov.cn/xinwen/2017-12/31/content_5251955.htm" TargetMode="External"/><Relationship Id="rId25" Type="http://schemas.openxmlformats.org/officeDocument/2006/relationships/hyperlink" Target="http://www.gov.cn/xinwen/2017-12/31/content_5252007.htm" TargetMode="External"/><Relationship Id="rId27" Type="http://schemas.openxmlformats.org/officeDocument/2006/relationships/hyperlink" Target="http://www.gov.cn/xinwen/2017-12/31/content_5252008.htm" TargetMode="External"/><Relationship Id="rId23" Type="http://schemas.openxmlformats.org/officeDocument/2006/relationships/hyperlink" Target="http://www.gov.cn/xinwen/2018-01/01/content_5252176.htm" TargetMode="External"/><Relationship Id="rId45" Type="http://schemas.openxmlformats.org/officeDocument/2006/relationships/hyperlink" Target="http://www.gov.cn/xinwen/2018-01/02/content_5252590.htm" TargetMode="External"/><Relationship Id="rId43" Type="http://schemas.openxmlformats.org/officeDocument/2006/relationships/hyperlink" Target="http://www.gov.cn/xinwen/2018-01/03/content_5252822.htm" TargetMode="External"/><Relationship Id="rId52" Type="http://schemas.openxmlformats.org/officeDocument/2006/relationships/hyperlink" Target="http://www.stcn.com/2018/0103/13877628.shtml" TargetMode="External"/><Relationship Id="rId35" Type="http://schemas.openxmlformats.org/officeDocument/2006/relationships/hyperlink" Target="http://www.xinhuanet.com/fortune/2018-01/03/c_1122201216.htm" TargetMode="External"/><Relationship Id="rId48" Type="http://schemas.openxmlformats.org/officeDocument/2006/relationships/hyperlink" Target="http://yq.stcn.com/2018/0104/13880615.shtml" TargetMode="External"/><Relationship Id="rId9" Type="http://schemas.openxmlformats.org/officeDocument/2006/relationships/hyperlink" Target="http://www.charltonslaw.com.cn/yin-jian-hui-yin-fa-jin-rong-zi-chan-guan-li-gong-si-zi-ben-guan-li-ban-fa-shi-x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1" Type="http://schemas.openxmlformats.org/officeDocument/2006/relationships/hyperlink" Target="http://china.cnr.cn/ygxw/20180102/t20180102_524084393.shtml" TargetMode="External"/><Relationship Id="rId56" Type="http://schemas.openxmlformats.org/officeDocument/2006/relationships/hyperlink" Target="http://company.stcn.com/2017/1229/13869744.shtml" TargetMode="External"/><Relationship Id="rId54" Type="http://schemas.openxmlformats.org/officeDocument/2006/relationships/hyperlink" Target="http://company.stcn.com/2018/0103/13877450.shtml" TargetMode="External"/><Relationship Id="rId50" Type="http://schemas.openxmlformats.org/officeDocument/2006/relationships/hyperlink" Target="http://kuaixun.stcn.com/2018/0103/13879347.shtml" TargetMode="External"/><Relationship Id="rId32" Type="http://schemas.openxmlformats.org/officeDocument/2006/relationships/hyperlink" Target="http://www.chinanews.com/fortune/2018/01-03/8414953.shtml" TargetMode="External"/><Relationship Id="rId38" Type="http://schemas.openxmlformats.org/officeDocument/2006/relationships/hyperlink" Target="http://www.gov.cn/xinwen/2017-12/30/content_5251765.htm" TargetMode="External"/><Relationship Id="rId29" Type="http://schemas.openxmlformats.org/officeDocument/2006/relationships/hyperlink" Target="http://www.gov.cn/xinwen/2017-12/31/content_5251955.htm" TargetMode="External"/><Relationship Id="rId25" Type="http://schemas.openxmlformats.org/officeDocument/2006/relationships/hyperlink" Target="http://www.gov.cn/xinwen/2017-12/31/content_5252007.htm" TargetMode="External"/><Relationship Id="rId27" Type="http://schemas.openxmlformats.org/officeDocument/2006/relationships/hyperlink" Target="http://www.gov.cn/xinwen/2017-12/31/content_5252008.htm" TargetMode="External"/><Relationship Id="rId23" Type="http://schemas.openxmlformats.org/officeDocument/2006/relationships/hyperlink" Target="http://www.gov.cn/xinwen/2018-01/01/content_5252176.htm" TargetMode="External"/><Relationship Id="rId45" Type="http://schemas.openxmlformats.org/officeDocument/2006/relationships/hyperlink" Target="http://www.gov.cn/xinwen/2018-01/02/content_5252590.htm" TargetMode="External"/><Relationship Id="rId43" Type="http://schemas.openxmlformats.org/officeDocument/2006/relationships/hyperlink" Target="http://www.gov.cn/xinwen/2018-01/03/content_5252822.htm" TargetMode="External"/><Relationship Id="rId52" Type="http://schemas.openxmlformats.org/officeDocument/2006/relationships/hyperlink" Target="http://www.stcn.com/2018/0103/13877628.shtml" TargetMode="External"/><Relationship Id="rId35" Type="http://schemas.openxmlformats.org/officeDocument/2006/relationships/hyperlink" Target="http://www.xinhuanet.com/fortune/2018-01/03/c_1122201216.htm" TargetMode="External"/><Relationship Id="rId48" Type="http://schemas.openxmlformats.org/officeDocument/2006/relationships/hyperlink" Target="http://yq.stcn.com/2018/0104/13880615.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2018-01-05T03:51:18Z</dcterms:created>
  <dcterms:modified xsi:type="dcterms:W3CDTF">2018-01-05T03:51:18Z</dcterms:modified>
</cp:coreProperties>
</file>