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026" w:rsidRDefault="004F101F">
      <w:pPr>
        <w:pStyle w:val="BlackStrips"/>
        <w:rPr>
          <w:lang w:eastAsia="zh-CN"/>
        </w:rPr>
      </w:pPr>
      <w:r>
        <w:rPr>
          <w:lang w:eastAsia="zh-CN"/>
        </w:rPr>
        <w:t xml:space="preserve">Charltons - </w:t>
      </w:r>
      <w:r>
        <w:rPr>
          <w:lang w:eastAsia="zh-CN"/>
        </w:rPr>
        <w:t>法讯</w:t>
      </w:r>
      <w:r>
        <w:rPr>
          <w:lang w:eastAsia="zh-CN"/>
        </w:rPr>
        <w:t xml:space="preserve"> - </w:t>
      </w:r>
      <w:r>
        <w:rPr>
          <w:lang w:eastAsia="zh-CN"/>
        </w:rPr>
        <w:t>中国</w:t>
      </w:r>
      <w:r>
        <w:rPr>
          <w:lang w:eastAsia="zh-CN"/>
        </w:rPr>
        <w:t xml:space="preserve"> - 2018</w:t>
      </w:r>
      <w:r>
        <w:rPr>
          <w:lang w:eastAsia="zh-CN"/>
        </w:rPr>
        <w:t>年</w:t>
      </w:r>
      <w:r>
        <w:rPr>
          <w:lang w:eastAsia="zh-CN"/>
        </w:rPr>
        <w:t>1</w:t>
      </w:r>
      <w:r>
        <w:rPr>
          <w:lang w:eastAsia="zh-CN"/>
        </w:rPr>
        <w:t>月</w:t>
      </w:r>
      <w:r>
        <w:rPr>
          <w:lang w:eastAsia="zh-CN"/>
        </w:rPr>
        <w:t>12</w:t>
      </w:r>
      <w:r>
        <w:rPr>
          <w:lang w:eastAsia="zh-CN"/>
        </w:rPr>
        <w:t>日</w:t>
      </w:r>
    </w:p>
    <w:p w:rsidR="00A16026" w:rsidRDefault="004F101F">
      <w:pPr>
        <w:pStyle w:val="ReadOnline"/>
        <w:rPr>
          <w:lang w:eastAsia="zh-CN"/>
        </w:rPr>
      </w:pPr>
      <w:hyperlink r:id="rId8">
        <w:r>
          <w:rPr>
            <w:lang w:eastAsia="zh-CN"/>
          </w:rPr>
          <w:t>online version</w:t>
        </w:r>
      </w:hyperlink>
    </w:p>
    <w:p w:rsidR="00A16026" w:rsidRDefault="004F101F">
      <w:pPr>
        <w:pStyle w:val="Title"/>
        <w:rPr>
          <w:lang w:eastAsia="zh-CN"/>
        </w:rPr>
      </w:pPr>
      <w:r>
        <w:rPr>
          <w:lang w:eastAsia="zh-CN"/>
        </w:rPr>
        <w:t>中国银监会发布《商业银行委托贷款管理办法》</w:t>
      </w:r>
    </w:p>
    <w:p w:rsidR="00A16026" w:rsidRDefault="004F101F">
      <w:pPr>
        <w:pStyle w:val="Heading2"/>
        <w:rPr>
          <w:lang w:eastAsia="zh-CN"/>
        </w:rPr>
      </w:pPr>
      <w:bookmarkStart w:id="0" w:name="资本市场"/>
      <w:r>
        <w:rPr>
          <w:lang w:eastAsia="zh-CN"/>
        </w:rPr>
        <w:t>资本市场</w:t>
      </w:r>
      <w:bookmarkEnd w:id="0"/>
    </w:p>
    <w:p w:rsidR="00A16026" w:rsidRDefault="004F101F">
      <w:pPr>
        <w:pStyle w:val="Heading3"/>
        <w:rPr>
          <w:lang w:eastAsia="zh-CN"/>
        </w:rPr>
      </w:pPr>
      <w:bookmarkStart w:id="1" w:name="中国银监会发布商业银行委托贷款管理办法"/>
      <w:r>
        <w:rPr>
          <w:lang w:eastAsia="zh-CN"/>
        </w:rPr>
        <w:t>中国银监会发布《商业银行委托贷款管理办法》</w:t>
      </w:r>
      <w:bookmarkEnd w:id="1"/>
    </w:p>
    <w:p w:rsidR="00A16026" w:rsidRDefault="004F101F">
      <w:pPr>
        <w:pStyle w:val="FirstParagraph"/>
        <w:rPr>
          <w:lang w:eastAsia="zh-CN"/>
        </w:rPr>
      </w:pPr>
      <w:r>
        <w:rPr>
          <w:lang w:eastAsia="zh-CN"/>
        </w:rPr>
        <w:t>为规范商业银行委托贷款业务，加强风险防范，更好地服务实体经济，中国银监会制定了《商业银行委托贷款管理办法》（以下简称《办法》），于近日正式发布。</w:t>
      </w:r>
    </w:p>
    <w:p w:rsidR="00A16026" w:rsidRDefault="004F101F">
      <w:pPr>
        <w:pStyle w:val="BodyText"/>
        <w:rPr>
          <w:lang w:eastAsia="zh-CN"/>
        </w:rPr>
      </w:pPr>
      <w:r>
        <w:rPr>
          <w:lang w:eastAsia="zh-CN"/>
        </w:rPr>
        <w:t>《办法》明确委托贷款业务是商业银行的委托代理业务，商业银行作为受托人，按照权责利匹配原则提供服务，不得代委托人确定借款人，不得参与贷款决策，不得提供各种形式担保；</w:t>
      </w:r>
      <w:r>
        <w:rPr>
          <w:lang w:eastAsia="zh-CN"/>
        </w:rPr>
        <w:t xml:space="preserve"> </w:t>
      </w:r>
      <w:r>
        <w:rPr>
          <w:lang w:eastAsia="zh-CN"/>
        </w:rPr>
        <w:t>委托人应自行确定委托贷款的借款人，对借款人资质、贷款项目等进行审查，并承担委托贷款的信用风险。《办法》对委托贷款资金来源提出合法合规性要求，商业银行不得接受受托管理的他人资金、银行的授信资金、具有特定用</w:t>
      </w:r>
      <w:r>
        <w:rPr>
          <w:lang w:eastAsia="zh-CN"/>
        </w:rPr>
        <w:t>途的各类专项基金、其他债务性资金和无法证明来源的资金等发放委托贷款。《办法》要求商业银行将委托贷款业务与自营业务严格区分，加强风险隔离和业务管理。商业银行应建立、完善委托贷款管理信息系统，确保该项业务信息的完整、连续、准确和可追溯。</w:t>
      </w:r>
    </w:p>
    <w:p w:rsidR="00A16026" w:rsidRDefault="004F101F">
      <w:pPr>
        <w:pStyle w:val="BodyText"/>
      </w:pPr>
      <w:hyperlink r:id="rId9">
        <w:r>
          <w:t>http://www.gov.cn/xinwen/2018-01/09/content_5254622.htm</w:t>
        </w:r>
      </w:hyperlink>
    </w:p>
    <w:p w:rsidR="00A16026" w:rsidRDefault="004F101F">
      <w:pPr>
        <w:pStyle w:val="Heading3"/>
        <w:rPr>
          <w:lang w:eastAsia="zh-CN"/>
        </w:rPr>
      </w:pPr>
      <w:bookmarkStart w:id="2" w:name="中国人民银行进一步完善人民币跨境业务政策促进贸易投资便利化"/>
      <w:r>
        <w:rPr>
          <w:lang w:eastAsia="zh-CN"/>
        </w:rPr>
        <w:t>中国人民银行：进</w:t>
      </w:r>
      <w:r>
        <w:rPr>
          <w:lang w:eastAsia="zh-CN"/>
        </w:rPr>
        <w:t>一步完善人民币跨境业务政策，促进贸易投资便利化</w:t>
      </w:r>
      <w:bookmarkEnd w:id="2"/>
    </w:p>
    <w:p w:rsidR="00A16026" w:rsidRDefault="004F101F">
      <w:pPr>
        <w:pStyle w:val="FirstParagraph"/>
        <w:rPr>
          <w:lang w:eastAsia="zh-CN"/>
        </w:rPr>
      </w:pPr>
      <w:r>
        <w:rPr>
          <w:lang w:eastAsia="zh-CN"/>
        </w:rPr>
        <w:t>为贯彻落实《国务院关于促进外贸增长若干措施的通知》，完善和优化人民币跨境业务政策，营造优良营商环境，服务</w:t>
      </w:r>
      <w:r>
        <w:rPr>
          <w:lang w:eastAsia="zh-CN"/>
        </w:rPr>
        <w:t>“</w:t>
      </w:r>
      <w:r>
        <w:rPr>
          <w:lang w:eastAsia="zh-CN"/>
        </w:rPr>
        <w:t>一带一路</w:t>
      </w:r>
      <w:r>
        <w:rPr>
          <w:lang w:eastAsia="zh-CN"/>
        </w:rPr>
        <w:t>”</w:t>
      </w:r>
      <w:r>
        <w:rPr>
          <w:lang w:eastAsia="zh-CN"/>
        </w:rPr>
        <w:t>建设，推动形成全面开放新格局，日前，中国人民银行发布了《关于进一步完善人民币跨境业务政策促进贸易投资便利化的通知》（以下简称《通知》）。</w:t>
      </w:r>
    </w:p>
    <w:p w:rsidR="00A16026" w:rsidRDefault="004F101F">
      <w:pPr>
        <w:pStyle w:val="BodyText"/>
        <w:rPr>
          <w:lang w:eastAsia="zh-CN"/>
        </w:rPr>
      </w:pPr>
      <w:r>
        <w:rPr>
          <w:lang w:eastAsia="zh-CN"/>
        </w:rPr>
        <w:t>《通知》坚持人民币跨境业务</w:t>
      </w:r>
      <w:r>
        <w:rPr>
          <w:lang w:eastAsia="zh-CN"/>
        </w:rPr>
        <w:t>“</w:t>
      </w:r>
      <w:r>
        <w:rPr>
          <w:lang w:eastAsia="zh-CN"/>
        </w:rPr>
        <w:t>服务实体经济、促进贸易投资便利化</w:t>
      </w:r>
      <w:r>
        <w:rPr>
          <w:lang w:eastAsia="zh-CN"/>
        </w:rPr>
        <w:t>”</w:t>
      </w:r>
      <w:r>
        <w:rPr>
          <w:lang w:eastAsia="zh-CN"/>
        </w:rPr>
        <w:t>的导向，进一步完善和优化人民币跨境业务政策，满足市场合理需求。主要内容：一是明确凡依法可使用外汇结算的跨境交易，企业都可以使用人民币结算。二是为服务</w:t>
      </w:r>
      <w:r>
        <w:rPr>
          <w:lang w:eastAsia="zh-CN"/>
        </w:rPr>
        <w:t>“</w:t>
      </w:r>
      <w:r>
        <w:rPr>
          <w:lang w:eastAsia="zh-CN"/>
        </w:rPr>
        <w:t>一带一路</w:t>
      </w:r>
      <w:r>
        <w:rPr>
          <w:lang w:eastAsia="zh-CN"/>
        </w:rPr>
        <w:t>”</w:t>
      </w:r>
      <w:r>
        <w:rPr>
          <w:lang w:eastAsia="zh-CN"/>
        </w:rPr>
        <w:t>建设，满足个人项下雇员报酬、社会福利、赡家款等人民币跨境结算需要。三是践行绿色发展理念，明确了境外投资者办理碳排放权交易人民币跨境结算业务的相关规定，支持境外投资者以人民币参与境内碳排放权交易。四是便利境外投资者以人民币进行直接投资。五是明确了境内企业境外发行债券、股票募集的人民币资金可按实际需要调回境内使用，进一步简化管理流程，便利企业日常运营。</w:t>
      </w:r>
    </w:p>
    <w:p w:rsidR="00A16026" w:rsidRDefault="004F101F">
      <w:pPr>
        <w:pStyle w:val="BodyText"/>
      </w:pPr>
      <w:hyperlink r:id="rId10">
        <w:r>
          <w:t>http://www.gov.cn/xinwen/2018-01/06/content_5253804.htm</w:t>
        </w:r>
      </w:hyperlink>
    </w:p>
    <w:p w:rsidR="00A16026" w:rsidRDefault="004F101F">
      <w:pPr>
        <w:pStyle w:val="Heading3"/>
        <w:rPr>
          <w:lang w:eastAsia="zh-CN"/>
        </w:rPr>
      </w:pPr>
      <w:bookmarkStart w:id="3" w:name="中国银监会制定商业银行大额风险暴露管理办法"/>
      <w:r>
        <w:rPr>
          <w:lang w:eastAsia="zh-CN"/>
        </w:rPr>
        <w:t>中国银监会制定《商业银行大额风险暴露管理办法》</w:t>
      </w:r>
      <w:bookmarkEnd w:id="3"/>
    </w:p>
    <w:p w:rsidR="00A16026" w:rsidRDefault="004F101F">
      <w:pPr>
        <w:pStyle w:val="FirstParagraph"/>
        <w:rPr>
          <w:lang w:eastAsia="zh-CN"/>
        </w:rPr>
      </w:pPr>
      <w:r>
        <w:rPr>
          <w:lang w:eastAsia="zh-CN"/>
        </w:rPr>
        <w:t>为推动商业银行强化大额风险暴露管理，有效防控集中度风险，中国银监会制定了《商业银行大额风险暴露管理办法》（以下简称《办法》），并于近日向社会公开征求意见。</w:t>
      </w:r>
    </w:p>
    <w:p w:rsidR="00A16026" w:rsidRDefault="004F101F">
      <w:pPr>
        <w:pStyle w:val="BodyText"/>
        <w:rPr>
          <w:lang w:eastAsia="zh-CN"/>
        </w:rPr>
      </w:pPr>
      <w:r>
        <w:rPr>
          <w:lang w:eastAsia="zh-CN"/>
        </w:rPr>
        <w:t>据了解，《办法》包括六章</w:t>
      </w:r>
      <w:r>
        <w:rPr>
          <w:lang w:eastAsia="zh-CN"/>
        </w:rPr>
        <w:t>45</w:t>
      </w:r>
      <w:r>
        <w:rPr>
          <w:lang w:eastAsia="zh-CN"/>
        </w:rPr>
        <w:t>条以及六个附件，明确了商业银行大额风险暴露监管要求，规定了风险暴露计算范围和方法，从组织架构、管理制度、内部限额、信息系统等方面对商业银行强化大额风险管控提出具体要求</w:t>
      </w:r>
      <w:r>
        <w:rPr>
          <w:lang w:eastAsia="zh-CN"/>
        </w:rPr>
        <w:t>，明确了监管部门可以采取的监管措施。国内外银行业实践表明，授信集中度风险是银行面临的最主要风险之一。大额风险暴露监管是审慎监管的重要组成部分。借鉴国际监管标准，结合国内银行业实践，制订统一、规范的大额风险暴露监管规则势在必行。值得注意的是，《办法》对于防范系统性金融风险、加强对实体经济金融支持具有重要作用。</w:t>
      </w:r>
    </w:p>
    <w:p w:rsidR="00A16026" w:rsidRDefault="004F101F">
      <w:pPr>
        <w:pStyle w:val="BodyText"/>
      </w:pPr>
      <w:hyperlink r:id="rId11">
        <w:r>
          <w:t>http://www.chi</w:t>
        </w:r>
        <w:r>
          <w:t>naforex.com.cn/index.php/cms/item-view-id-46080.shtml</w:t>
        </w:r>
      </w:hyperlink>
    </w:p>
    <w:p w:rsidR="00A16026" w:rsidRDefault="004F101F">
      <w:pPr>
        <w:pStyle w:val="Heading3"/>
        <w:rPr>
          <w:lang w:eastAsia="zh-CN"/>
        </w:rPr>
      </w:pPr>
      <w:bookmarkStart w:id="4" w:name="深圳证券交易所与中国铁路总公司签订战略合作协议"/>
      <w:r>
        <w:rPr>
          <w:lang w:eastAsia="zh-CN"/>
        </w:rPr>
        <w:t>深圳证券交易所与中国铁路总公司签订战略合作协议</w:t>
      </w:r>
      <w:bookmarkEnd w:id="4"/>
    </w:p>
    <w:p w:rsidR="00A16026" w:rsidRDefault="004F101F">
      <w:pPr>
        <w:pStyle w:val="FirstParagraph"/>
        <w:rPr>
          <w:lang w:eastAsia="zh-CN"/>
        </w:rPr>
      </w:pPr>
      <w:r>
        <w:rPr>
          <w:lang w:eastAsia="zh-CN"/>
        </w:rPr>
        <w:t>2018</w:t>
      </w:r>
      <w:r>
        <w:rPr>
          <w:lang w:eastAsia="zh-CN"/>
        </w:rPr>
        <w:t>年</w:t>
      </w:r>
      <w:r>
        <w:rPr>
          <w:lang w:eastAsia="zh-CN"/>
        </w:rPr>
        <w:t>1</w:t>
      </w:r>
      <w:r>
        <w:rPr>
          <w:lang w:eastAsia="zh-CN"/>
        </w:rPr>
        <w:t>月</w:t>
      </w:r>
      <w:r>
        <w:rPr>
          <w:lang w:eastAsia="zh-CN"/>
        </w:rPr>
        <w:t>8</w:t>
      </w:r>
      <w:r>
        <w:rPr>
          <w:lang w:eastAsia="zh-CN"/>
        </w:rPr>
        <w:t>日，深圳证券交易所（以下简称</w:t>
      </w:r>
      <w:r>
        <w:rPr>
          <w:lang w:eastAsia="zh-CN"/>
        </w:rPr>
        <w:t>“</w:t>
      </w:r>
      <w:r>
        <w:rPr>
          <w:lang w:eastAsia="zh-CN"/>
        </w:rPr>
        <w:t>深交所</w:t>
      </w:r>
      <w:r>
        <w:rPr>
          <w:lang w:eastAsia="zh-CN"/>
        </w:rPr>
        <w:t>”</w:t>
      </w:r>
      <w:r>
        <w:rPr>
          <w:lang w:eastAsia="zh-CN"/>
        </w:rPr>
        <w:t>）与中国铁路总公司（以下简称</w:t>
      </w:r>
      <w:r>
        <w:rPr>
          <w:lang w:eastAsia="zh-CN"/>
        </w:rPr>
        <w:t>“</w:t>
      </w:r>
      <w:r>
        <w:rPr>
          <w:lang w:eastAsia="zh-CN"/>
        </w:rPr>
        <w:t>中国铁路</w:t>
      </w:r>
      <w:r>
        <w:rPr>
          <w:lang w:eastAsia="zh-CN"/>
        </w:rPr>
        <w:t>”</w:t>
      </w:r>
      <w:r>
        <w:rPr>
          <w:lang w:eastAsia="zh-CN"/>
        </w:rPr>
        <w:t>）在北京举行高层会议并签署战略合作协议。这是深交所多层次资本市场服务实体经济、助力国资国企改革发展的又一重要进展。</w:t>
      </w:r>
    </w:p>
    <w:p w:rsidR="00A16026" w:rsidRDefault="004F101F">
      <w:pPr>
        <w:pStyle w:val="BodyText"/>
        <w:rPr>
          <w:lang w:eastAsia="zh-CN"/>
        </w:rPr>
      </w:pPr>
      <w:r>
        <w:rPr>
          <w:lang w:eastAsia="zh-CN"/>
        </w:rPr>
        <w:t>根据协议，双方将通过优势互补、资源共享，围绕拓展债券与资产证券化融资、培育后备上市企业、对接服务平台促进产融结合、引导企业规范发展、协同做好风险防</w:t>
      </w:r>
      <w:r>
        <w:rPr>
          <w:lang w:eastAsia="zh-CN"/>
        </w:rPr>
        <w:t>控和研究探索跨境业务等</w:t>
      </w:r>
      <w:r>
        <w:rPr>
          <w:lang w:eastAsia="zh-CN"/>
        </w:rPr>
        <w:t>6</w:t>
      </w:r>
      <w:r>
        <w:rPr>
          <w:lang w:eastAsia="zh-CN"/>
        </w:rPr>
        <w:t>大领域开展深入合作，建立长期、稳定、高效的合作交流机制，共同实现高质量发展目标。深交所金融服务领域与中国铁路的未来发展方向吻合度较高，合作空间广阔。中国铁路正在加快构建公司制运行机制，积极推进投融资体制改革，推进资产资本化经营，研究利用既有上市平台开展资本运作和培育优质股份公司上市的实施方案，切实加强铁路规划建设，着力推动应用型技术创新，强化铁路对</w:t>
      </w:r>
      <w:r>
        <w:rPr>
          <w:lang w:eastAsia="zh-CN"/>
        </w:rPr>
        <w:t>“</w:t>
      </w:r>
      <w:r>
        <w:rPr>
          <w:lang w:eastAsia="zh-CN"/>
        </w:rPr>
        <w:t>一带一路</w:t>
      </w:r>
      <w:r>
        <w:rPr>
          <w:lang w:eastAsia="zh-CN"/>
        </w:rPr>
        <w:t>”</w:t>
      </w:r>
      <w:r>
        <w:rPr>
          <w:lang w:eastAsia="zh-CN"/>
        </w:rPr>
        <w:t>建设的服务支撑作用。</w:t>
      </w:r>
    </w:p>
    <w:p w:rsidR="00A16026" w:rsidRDefault="004F101F">
      <w:pPr>
        <w:pStyle w:val="BodyText"/>
      </w:pPr>
      <w:hyperlink r:id="rId12">
        <w:r>
          <w:t>http://www.szse.cn/main/aboutus/bsyw/39776577.shtml</w:t>
        </w:r>
      </w:hyperlink>
    </w:p>
    <w:p w:rsidR="00A16026" w:rsidRDefault="004F101F">
      <w:pPr>
        <w:pStyle w:val="Heading2"/>
        <w:rPr>
          <w:lang w:eastAsia="zh-CN"/>
        </w:rPr>
      </w:pPr>
      <w:bookmarkStart w:id="5" w:name="保险"/>
      <w:r>
        <w:rPr>
          <w:lang w:eastAsia="zh-CN"/>
        </w:rPr>
        <w:t>保险</w:t>
      </w:r>
      <w:bookmarkEnd w:id="5"/>
    </w:p>
    <w:p w:rsidR="00A16026" w:rsidRDefault="004F101F">
      <w:pPr>
        <w:pStyle w:val="Heading3"/>
        <w:rPr>
          <w:lang w:eastAsia="zh-CN"/>
        </w:rPr>
      </w:pPr>
      <w:bookmarkStart w:id="6" w:name="中国保监会发布保险资金设立股权投资计划有关事项的通知"/>
      <w:r>
        <w:rPr>
          <w:lang w:eastAsia="zh-CN"/>
        </w:rPr>
        <w:t>中国保监会发布保险资金设立股权投资计划有关事项的通知</w:t>
      </w:r>
      <w:bookmarkEnd w:id="6"/>
    </w:p>
    <w:p w:rsidR="00A16026" w:rsidRDefault="004F101F">
      <w:pPr>
        <w:pStyle w:val="FirstParagraph"/>
        <w:rPr>
          <w:lang w:eastAsia="zh-CN"/>
        </w:rPr>
      </w:pPr>
      <w:r>
        <w:rPr>
          <w:lang w:eastAsia="zh-CN"/>
        </w:rPr>
        <w:t>为贯彻落实全国金融工作会议精神，更好发挥保险资金服务实体经济的作用，切实防范保险资金以通道、嵌套、名股实债等方式开展股权投资计划业务，遏制地方政府隐性债务增量，中国保监会近日印发《关于保险资金设立股权投资计划有关事项的通知》（以下简称《通知》）。</w:t>
      </w:r>
    </w:p>
    <w:p w:rsidR="00A16026" w:rsidRDefault="004F101F">
      <w:pPr>
        <w:pStyle w:val="BodyText"/>
        <w:rPr>
          <w:lang w:eastAsia="zh-CN"/>
        </w:rPr>
      </w:pPr>
      <w:r>
        <w:rPr>
          <w:lang w:eastAsia="zh-CN"/>
        </w:rPr>
        <w:t>《通知》重在对保险资产管理机构设立股权投资计划业务进行规范。一</w:t>
      </w:r>
      <w:r>
        <w:rPr>
          <w:lang w:eastAsia="zh-CN"/>
        </w:rPr>
        <w:t>是要求股权投资计划的投资收益应当与投资标的经营业绩或收益挂钩，严防以</w:t>
      </w:r>
      <w:r>
        <w:rPr>
          <w:lang w:eastAsia="zh-CN"/>
        </w:rPr>
        <w:t>“</w:t>
      </w:r>
      <w:r>
        <w:rPr>
          <w:lang w:eastAsia="zh-CN"/>
        </w:rPr>
        <w:t>名股实债</w:t>
      </w:r>
      <w:r>
        <w:rPr>
          <w:lang w:eastAsia="zh-CN"/>
        </w:rPr>
        <w:t>”</w:t>
      </w:r>
      <w:r>
        <w:rPr>
          <w:lang w:eastAsia="zh-CN"/>
        </w:rPr>
        <w:t>方式，变相抬高实体企业融资成本。二是要求保险资产管理机构设立投资计划应当承担主动管理职责，不得直接或变相开展通道业务，不得开展嵌套投资。三是建立优先注册机制，切实引导保险资金发挥自身特色，更好服务实体经济发展。《通知》规定，对切实服务国家重大发展战略、重大改革举措、重点领域、重大建设工程，以及投资于实体经济项目的股权投资计划，中国保监会指定注册机构予以优先注册。</w:t>
      </w:r>
    </w:p>
    <w:p w:rsidR="00A16026" w:rsidRDefault="004F101F">
      <w:pPr>
        <w:pStyle w:val="BodyText"/>
      </w:pPr>
      <w:hyperlink r:id="rId13">
        <w:r>
          <w:t>http://www.gov.cn/xinwen/2018-01/06/content_5253801.htm</w:t>
        </w:r>
      </w:hyperlink>
    </w:p>
    <w:p w:rsidR="00A16026" w:rsidRDefault="004F101F">
      <w:pPr>
        <w:pStyle w:val="Heading2"/>
        <w:rPr>
          <w:lang w:eastAsia="zh-CN"/>
        </w:rPr>
      </w:pPr>
      <w:bookmarkStart w:id="7" w:name="税收"/>
      <w:r>
        <w:rPr>
          <w:lang w:eastAsia="zh-CN"/>
        </w:rPr>
        <w:t>税收</w:t>
      </w:r>
      <w:bookmarkEnd w:id="7"/>
    </w:p>
    <w:p w:rsidR="00A16026" w:rsidRDefault="004F101F">
      <w:pPr>
        <w:pStyle w:val="Heading3"/>
        <w:rPr>
          <w:lang w:eastAsia="zh-CN"/>
        </w:rPr>
      </w:pPr>
      <w:bookmarkStart w:id="8" w:name="六部门调整重大技术装备进口税收政策有关目录"/>
      <w:r>
        <w:rPr>
          <w:lang w:eastAsia="zh-CN"/>
        </w:rPr>
        <w:t>六部门调整重大技术装备进口税收政策有关目录</w:t>
      </w:r>
      <w:bookmarkEnd w:id="8"/>
    </w:p>
    <w:p w:rsidR="00A16026" w:rsidRDefault="004F101F">
      <w:pPr>
        <w:pStyle w:val="FirstParagraph"/>
        <w:rPr>
          <w:lang w:eastAsia="zh-CN"/>
        </w:rPr>
      </w:pPr>
      <w:r>
        <w:rPr>
          <w:lang w:eastAsia="zh-CN"/>
        </w:rPr>
        <w:t>日前，财政部会同国家发展改革委、工业和信息化部、海关总署、税务总局、能源局，共同印发了《关于调整重大技术装备进口税收政策有关目录的通知》，对该政策的</w:t>
      </w:r>
      <w:r>
        <w:rPr>
          <w:lang w:eastAsia="zh-CN"/>
        </w:rPr>
        <w:t>3</w:t>
      </w:r>
      <w:r>
        <w:rPr>
          <w:lang w:eastAsia="zh-CN"/>
        </w:rPr>
        <w:t>份目录进行了调整。</w:t>
      </w:r>
    </w:p>
    <w:p w:rsidR="00A16026" w:rsidRPr="004F101F" w:rsidRDefault="004F101F">
      <w:pPr>
        <w:pStyle w:val="BodyText"/>
        <w:rPr>
          <w:rFonts w:eastAsiaTheme="minorEastAsia" w:hint="eastAsia"/>
          <w:lang w:eastAsia="zh-CN"/>
        </w:rPr>
      </w:pPr>
      <w:r>
        <w:rPr>
          <w:lang w:eastAsia="zh-CN"/>
        </w:rPr>
        <w:t>此次调整，主要是根据国内重大技术装备产业发展以及配套零部件、原材料生产制造能力变化等情况，结合《中国制造</w:t>
      </w:r>
      <w:r>
        <w:rPr>
          <w:lang w:eastAsia="zh-CN"/>
        </w:rPr>
        <w:t>2025</w:t>
      </w:r>
      <w:r>
        <w:rPr>
          <w:lang w:eastAsia="zh-CN"/>
        </w:rPr>
        <w:t>》规划，在《国家支持发展的重大技术装备和产品目录》中增列了国内处于起步期或成长期的部分技术装备，删减了目前国内产业发展较好、上下游配套较齐全的部分技术装备，进一步明确政策支持方向；对已具有较强竞争优势的部分技术装备，在《进口不予免税的重大技术装备和产品目录》中明确其进口不予免税；根据《国家支持发展的重大技术装备和产品目录》调整情况，相应调整《重大技术装备进口关键零部件、原材料商品目录》，对确有必要</w:t>
      </w:r>
      <w:r>
        <w:rPr>
          <w:lang w:eastAsia="zh-CN"/>
        </w:rPr>
        <w:t>进口的零部件、原材料予以免税</w:t>
      </w:r>
      <w:r>
        <w:rPr>
          <w:rFonts w:eastAsiaTheme="minorEastAsia" w:hint="eastAsia"/>
          <w:lang w:eastAsia="zh-CN"/>
        </w:rPr>
        <w:t>。</w:t>
      </w:r>
      <w:bookmarkStart w:id="9" w:name="_GoBack"/>
      <w:bookmarkEnd w:id="9"/>
    </w:p>
    <w:p w:rsidR="00A16026" w:rsidRDefault="004F101F">
      <w:pPr>
        <w:pStyle w:val="BodyText"/>
      </w:pPr>
      <w:hyperlink r:id="rId14">
        <w:r>
          <w:t>http://www.chinalawinfo.com/News/NewsFullText.aspx?NewsId=89261&amp;NewsType=1</w:t>
        </w:r>
      </w:hyperlink>
    </w:p>
    <w:p w:rsidR="00A16026" w:rsidRDefault="004F101F">
      <w:pPr>
        <w:pStyle w:val="Heading3"/>
        <w:rPr>
          <w:lang w:eastAsia="zh-CN"/>
        </w:rPr>
      </w:pPr>
      <w:bookmarkStart w:id="10" w:name="两部门联合发布海洋工程环境保护税申报征收办法"/>
      <w:r>
        <w:rPr>
          <w:lang w:eastAsia="zh-CN"/>
        </w:rPr>
        <w:lastRenderedPageBreak/>
        <w:t>两部门联合发布《海洋工程环境保护税申报征收办法》</w:t>
      </w:r>
      <w:bookmarkEnd w:id="10"/>
    </w:p>
    <w:p w:rsidR="00A16026" w:rsidRDefault="004F101F">
      <w:pPr>
        <w:pStyle w:val="FirstParagraph"/>
        <w:rPr>
          <w:lang w:eastAsia="zh-CN"/>
        </w:rPr>
      </w:pPr>
      <w:r>
        <w:rPr>
          <w:lang w:eastAsia="zh-CN"/>
        </w:rPr>
        <w:t>2018</w:t>
      </w:r>
      <w:r>
        <w:rPr>
          <w:lang w:eastAsia="zh-CN"/>
        </w:rPr>
        <w:t>年</w:t>
      </w:r>
      <w:r>
        <w:rPr>
          <w:lang w:eastAsia="zh-CN"/>
        </w:rPr>
        <w:t>1</w:t>
      </w:r>
      <w:r>
        <w:rPr>
          <w:lang w:eastAsia="zh-CN"/>
        </w:rPr>
        <w:t>月</w:t>
      </w:r>
      <w:r>
        <w:rPr>
          <w:lang w:eastAsia="zh-CN"/>
        </w:rPr>
        <w:t>1</w:t>
      </w:r>
      <w:r>
        <w:rPr>
          <w:lang w:eastAsia="zh-CN"/>
        </w:rPr>
        <w:t>日起，由国家税务总局、国家海洋局联合发布的《海洋工程环境保护税申报征收办法》正</w:t>
      </w:r>
      <w:r>
        <w:rPr>
          <w:lang w:eastAsia="zh-CN"/>
        </w:rPr>
        <w:t>式施行。办法明确，海洋工程环境保护税实行按月计算，按季申报缴纳。纳税人应当自季度终了之日起</w:t>
      </w:r>
      <w:r>
        <w:rPr>
          <w:lang w:eastAsia="zh-CN"/>
        </w:rPr>
        <w:t>15</w:t>
      </w:r>
      <w:r>
        <w:rPr>
          <w:lang w:eastAsia="zh-CN"/>
        </w:rPr>
        <w:t>日内，向税务机关办理纳税申报并缴纳税款。</w:t>
      </w:r>
    </w:p>
    <w:p w:rsidR="00A16026" w:rsidRDefault="004F101F">
      <w:pPr>
        <w:pStyle w:val="BodyText"/>
        <w:rPr>
          <w:lang w:eastAsia="zh-CN"/>
        </w:rPr>
      </w:pPr>
      <w:r>
        <w:rPr>
          <w:lang w:eastAsia="zh-CN"/>
        </w:rPr>
        <w:t>办法指出，从事海洋石油勘探开发生产的纳税人，应当按规定检测生产污水和机舱污水的含油量，并使用化学需氧量自动检测仪检测生活污水的化学需氧量。其检测值作为计算应税污染物排放量的依据。纳税人应当留取钻井泥浆和钻屑的排放样品，按规定定期进行污染物含量检测，其检测值作为计算应税污染物排放量的依据。纳税人运回陆域处理的海洋工程应税污染物，应当按照《环境保护税法》及其相关规定，向污染物排</w:t>
      </w:r>
      <w:r>
        <w:rPr>
          <w:lang w:eastAsia="zh-CN"/>
        </w:rPr>
        <w:t>放地税务机关申报缴纳环境保护税。</w:t>
      </w:r>
    </w:p>
    <w:p w:rsidR="00A16026" w:rsidRDefault="004F101F">
      <w:pPr>
        <w:pStyle w:val="BodyText"/>
      </w:pPr>
      <w:hyperlink r:id="rId15">
        <w:r>
          <w:t>http://www.gov.cn/xinwen/2018-01/09/content_5254687.htm</w:t>
        </w:r>
      </w:hyperlink>
    </w:p>
    <w:p w:rsidR="00A16026" w:rsidRDefault="004F101F">
      <w:pPr>
        <w:pStyle w:val="Heading2"/>
        <w:rPr>
          <w:lang w:eastAsia="zh-CN"/>
        </w:rPr>
      </w:pPr>
      <w:bookmarkStart w:id="11" w:name="知识产权"/>
      <w:r>
        <w:rPr>
          <w:lang w:eastAsia="zh-CN"/>
        </w:rPr>
        <w:t>知识产权</w:t>
      </w:r>
      <w:bookmarkEnd w:id="11"/>
    </w:p>
    <w:p w:rsidR="00A16026" w:rsidRDefault="004F101F">
      <w:pPr>
        <w:pStyle w:val="Heading3"/>
        <w:rPr>
          <w:lang w:eastAsia="zh-CN"/>
        </w:rPr>
      </w:pPr>
      <w:bookmarkStart w:id="12" w:name="两部门印发高校知识产权信息服务中心建设实施办法"/>
      <w:r>
        <w:rPr>
          <w:lang w:eastAsia="zh-CN"/>
        </w:rPr>
        <w:t>两部门印发《高校知识产权信息服务中心建设实施办法》</w:t>
      </w:r>
      <w:bookmarkEnd w:id="12"/>
    </w:p>
    <w:p w:rsidR="00A16026" w:rsidRDefault="004F101F">
      <w:pPr>
        <w:pStyle w:val="FirstParagraph"/>
        <w:rPr>
          <w:lang w:eastAsia="zh-CN"/>
        </w:rPr>
      </w:pPr>
      <w:r>
        <w:rPr>
          <w:lang w:eastAsia="zh-CN"/>
        </w:rPr>
        <w:t>近日，国家知识产权局办公室与教育部办公厅联合印发《高校知识产权信息服务中心建设实施办法》（以下简称《办法》）。</w:t>
      </w:r>
    </w:p>
    <w:p w:rsidR="00A16026" w:rsidRDefault="004F101F">
      <w:pPr>
        <w:pStyle w:val="BodyText"/>
        <w:rPr>
          <w:lang w:eastAsia="zh-CN"/>
        </w:rPr>
      </w:pPr>
      <w:r>
        <w:rPr>
          <w:lang w:eastAsia="zh-CN"/>
        </w:rPr>
        <w:t>《办法》确定，由国家知识产权局、教育部指导知识产权信息服务中心的建设和运行，对工作突出的知识产权信息服务中心，经遴选和确认后认定为高校国家知识产权信息服务中心，并给予重点支持。据介绍，高校知识产权信息服务中心是由高校设立并开展知识产权信息服务和人才培养等工作的机构。知识产权信息服务中心为高校知识产权的创造、运用、保护和管理提供全流程的服务，支撑高校协同创新和优势学科建设，促进高校科技成果转化。高校知识产权信息服务中心建设按照</w:t>
      </w:r>
      <w:r>
        <w:rPr>
          <w:lang w:eastAsia="zh-CN"/>
        </w:rPr>
        <w:t>“</w:t>
      </w:r>
      <w:r>
        <w:rPr>
          <w:lang w:eastAsia="zh-CN"/>
        </w:rPr>
        <w:t>自主设立、择优遴选、重点支持</w:t>
      </w:r>
      <w:r>
        <w:rPr>
          <w:lang w:eastAsia="zh-CN"/>
        </w:rPr>
        <w:t>”</w:t>
      </w:r>
      <w:r>
        <w:rPr>
          <w:lang w:eastAsia="zh-CN"/>
        </w:rPr>
        <w:t>的原则进行。</w:t>
      </w:r>
    </w:p>
    <w:p w:rsidR="00A16026" w:rsidRDefault="004F101F">
      <w:pPr>
        <w:pStyle w:val="BodyText"/>
      </w:pPr>
      <w:hyperlink r:id="rId16">
        <w:r>
          <w:t>http://www.gov.cn/xinwen/2018-01/10/content_5255127.htm</w:t>
        </w:r>
      </w:hyperlink>
    </w:p>
    <w:p w:rsidR="00A16026" w:rsidRDefault="004F101F">
      <w:pPr>
        <w:pStyle w:val="Heading2"/>
        <w:rPr>
          <w:lang w:eastAsia="zh-CN"/>
        </w:rPr>
      </w:pPr>
      <w:bookmarkStart w:id="13" w:name="行业"/>
      <w:r>
        <w:rPr>
          <w:lang w:eastAsia="zh-CN"/>
        </w:rPr>
        <w:t>行业</w:t>
      </w:r>
      <w:bookmarkEnd w:id="13"/>
    </w:p>
    <w:p w:rsidR="00A16026" w:rsidRDefault="004F101F">
      <w:pPr>
        <w:pStyle w:val="Heading3"/>
        <w:rPr>
          <w:lang w:eastAsia="zh-CN"/>
        </w:rPr>
      </w:pPr>
      <w:bookmarkStart w:id="14" w:name="工信部正式发布钢铁行业产能置换实施办法"/>
      <w:r>
        <w:rPr>
          <w:lang w:eastAsia="zh-CN"/>
        </w:rPr>
        <w:t>工信部正式发布《钢铁行业产能置换实施办法》</w:t>
      </w:r>
      <w:bookmarkEnd w:id="14"/>
    </w:p>
    <w:p w:rsidR="00A16026" w:rsidRDefault="004F101F">
      <w:pPr>
        <w:pStyle w:val="FirstParagraph"/>
        <w:rPr>
          <w:lang w:eastAsia="zh-CN"/>
        </w:rPr>
      </w:pPr>
      <w:r>
        <w:rPr>
          <w:lang w:eastAsia="zh-CN"/>
        </w:rPr>
        <w:t>为巩固前期去产能成效，严禁钢铁、水泥和平板玻璃行业新增产能，</w:t>
      </w:r>
      <w:r>
        <w:rPr>
          <w:lang w:eastAsia="zh-CN"/>
        </w:rPr>
        <w:t>2018</w:t>
      </w:r>
      <w:r>
        <w:rPr>
          <w:lang w:eastAsia="zh-CN"/>
        </w:rPr>
        <w:t>年</w:t>
      </w:r>
      <w:r>
        <w:rPr>
          <w:lang w:eastAsia="zh-CN"/>
        </w:rPr>
        <w:t>1</w:t>
      </w:r>
      <w:r>
        <w:rPr>
          <w:lang w:eastAsia="zh-CN"/>
        </w:rPr>
        <w:t>月</w:t>
      </w:r>
      <w:r>
        <w:rPr>
          <w:lang w:eastAsia="zh-CN"/>
        </w:rPr>
        <w:t>8</w:t>
      </w:r>
      <w:r>
        <w:rPr>
          <w:lang w:eastAsia="zh-CN"/>
        </w:rPr>
        <w:t>日，工业和信息化部印发了《钢铁行业产能置换实施办法》（以下简称《办法》）、《水泥玻璃行业产能置换实施办法》，并自</w:t>
      </w:r>
      <w:r>
        <w:rPr>
          <w:lang w:eastAsia="zh-CN"/>
        </w:rPr>
        <w:t>2018</w:t>
      </w:r>
      <w:r>
        <w:rPr>
          <w:lang w:eastAsia="zh-CN"/>
        </w:rPr>
        <w:t>年</w:t>
      </w:r>
      <w:r>
        <w:rPr>
          <w:lang w:eastAsia="zh-CN"/>
        </w:rPr>
        <w:t>1</w:t>
      </w:r>
      <w:r>
        <w:rPr>
          <w:lang w:eastAsia="zh-CN"/>
        </w:rPr>
        <w:t>月</w:t>
      </w:r>
      <w:r>
        <w:rPr>
          <w:lang w:eastAsia="zh-CN"/>
        </w:rPr>
        <w:t>1</w:t>
      </w:r>
      <w:r>
        <w:rPr>
          <w:lang w:eastAsia="zh-CN"/>
        </w:rPr>
        <w:t>日起实施。</w:t>
      </w:r>
    </w:p>
    <w:p w:rsidR="00A16026" w:rsidRDefault="004F101F">
      <w:pPr>
        <w:pStyle w:val="BodyText"/>
        <w:rPr>
          <w:lang w:eastAsia="zh-CN"/>
        </w:rPr>
      </w:pPr>
      <w:r>
        <w:rPr>
          <w:lang w:eastAsia="zh-CN"/>
        </w:rPr>
        <w:t>《办法》要求，无论建设</w:t>
      </w:r>
      <w:r>
        <w:rPr>
          <w:lang w:eastAsia="zh-CN"/>
        </w:rPr>
        <w:t>项目属新建、改建、扩建还是</w:t>
      </w:r>
      <w:r>
        <w:rPr>
          <w:lang w:eastAsia="zh-CN"/>
        </w:rPr>
        <w:t>“</w:t>
      </w:r>
      <w:r>
        <w:rPr>
          <w:lang w:eastAsia="zh-CN"/>
        </w:rPr>
        <w:t>异地大修</w:t>
      </w:r>
      <w:r>
        <w:rPr>
          <w:lang w:eastAsia="zh-CN"/>
        </w:rPr>
        <w:t>”</w:t>
      </w:r>
      <w:r>
        <w:rPr>
          <w:lang w:eastAsia="zh-CN"/>
        </w:rPr>
        <w:t>等何种性质，只要涉及建设炼铁、炼钢冶炼设备，就须实施产能置换。简言之就是</w:t>
      </w:r>
      <w:r>
        <w:rPr>
          <w:lang w:eastAsia="zh-CN"/>
        </w:rPr>
        <w:t>“</w:t>
      </w:r>
      <w:r>
        <w:rPr>
          <w:lang w:eastAsia="zh-CN"/>
        </w:rPr>
        <w:t>只要建炉子、就要置换</w:t>
      </w:r>
      <w:r>
        <w:rPr>
          <w:lang w:eastAsia="zh-CN"/>
        </w:rPr>
        <w:t>”</w:t>
      </w:r>
      <w:r>
        <w:rPr>
          <w:lang w:eastAsia="zh-CN"/>
        </w:rPr>
        <w:t>。对于置换比例，此次《办法》也进一步收严。例如，京津冀、长三角、珠三角等环境敏感区域置换比例要继续执行不低于</w:t>
      </w:r>
      <w:r>
        <w:rPr>
          <w:lang w:eastAsia="zh-CN"/>
        </w:rPr>
        <w:t>1.25</w:t>
      </w:r>
      <w:r>
        <w:rPr>
          <w:lang w:eastAsia="zh-CN"/>
        </w:rPr>
        <w:t>：</w:t>
      </w:r>
      <w:r>
        <w:rPr>
          <w:lang w:eastAsia="zh-CN"/>
        </w:rPr>
        <w:t>1</w:t>
      </w:r>
      <w:r>
        <w:rPr>
          <w:lang w:eastAsia="zh-CN"/>
        </w:rPr>
        <w:t>的要求，其他地区则由等量调整为减量置换。同时鼓励各地结合实际执行更严的置换比例，推进钢铁工业结构调整。值得注意的还有，《办法》不仅对置换比例进行了收严调整，还强调</w:t>
      </w:r>
      <w:r>
        <w:rPr>
          <w:lang w:eastAsia="zh-CN"/>
        </w:rPr>
        <w:t>“</w:t>
      </w:r>
      <w:r>
        <w:rPr>
          <w:lang w:eastAsia="zh-CN"/>
        </w:rPr>
        <w:t>未完成钢铁总量控制目标的省（区、市），不得接受其他地区出让的产能。</w:t>
      </w:r>
      <w:r>
        <w:rPr>
          <w:lang w:eastAsia="zh-CN"/>
        </w:rPr>
        <w:t>”</w:t>
      </w:r>
    </w:p>
    <w:p w:rsidR="00A16026" w:rsidRDefault="004F101F">
      <w:pPr>
        <w:pStyle w:val="BodyText"/>
        <w:rPr>
          <w:lang w:eastAsia="zh-CN"/>
        </w:rPr>
      </w:pPr>
      <w:hyperlink r:id="rId17">
        <w:r>
          <w:rPr>
            <w:lang w:eastAsia="zh-CN"/>
          </w:rPr>
          <w:t>http://finance.ifeng.com/a/20180110/15918317_0.shtml</w:t>
        </w:r>
      </w:hyperlink>
    </w:p>
    <w:p w:rsidR="00A16026" w:rsidRDefault="004F101F">
      <w:pPr>
        <w:pStyle w:val="Heading3"/>
        <w:rPr>
          <w:lang w:eastAsia="zh-CN"/>
        </w:rPr>
      </w:pPr>
      <w:bookmarkStart w:id="15" w:name="国务院在自贸区暂时调整船舶登记条例等行政法规"/>
      <w:r>
        <w:rPr>
          <w:lang w:eastAsia="zh-CN"/>
        </w:rPr>
        <w:t>国务院：在自贸区暂时调整船舶登记条例等行政法规</w:t>
      </w:r>
      <w:bookmarkEnd w:id="15"/>
    </w:p>
    <w:p w:rsidR="00A16026" w:rsidRDefault="004F101F">
      <w:pPr>
        <w:pStyle w:val="FirstParagraph"/>
        <w:rPr>
          <w:lang w:eastAsia="zh-CN"/>
        </w:rPr>
      </w:pPr>
      <w:r>
        <w:rPr>
          <w:lang w:eastAsia="zh-CN"/>
        </w:rPr>
        <w:t>经李克强总理签批，国务院日前印发《关于在自由贸易试验区暂时调整有关行政法规、国务院文件和经国务院批准的部门规章规定的决定》（以下简称《决定》），自印发之日起施行。</w:t>
      </w:r>
    </w:p>
    <w:p w:rsidR="00A16026" w:rsidRDefault="004F101F">
      <w:pPr>
        <w:pStyle w:val="BodyText"/>
        <w:rPr>
          <w:lang w:eastAsia="zh-CN"/>
        </w:rPr>
      </w:pPr>
      <w:r>
        <w:rPr>
          <w:lang w:eastAsia="zh-CN"/>
        </w:rPr>
        <w:lastRenderedPageBreak/>
        <w:t>《决定》明确，为保障自由贸易试验区有关改革开放措施依法顺利实施，在自由贸易</w:t>
      </w:r>
      <w:r>
        <w:rPr>
          <w:lang w:eastAsia="zh-CN"/>
        </w:rPr>
        <w:t>试验区暂时调整《中华人民共和国船舶登记条例》等</w:t>
      </w:r>
      <w:r>
        <w:rPr>
          <w:lang w:eastAsia="zh-CN"/>
        </w:rPr>
        <w:t>11</w:t>
      </w:r>
      <w:r>
        <w:rPr>
          <w:lang w:eastAsia="zh-CN"/>
        </w:rPr>
        <w:t>部行政法规，《国务院办公厅转发国家计委关于城市轨道交通设备国产化实施意见的通知》、《国务院办公厅关于加强城市快速轨道交通建设管理的通知》</w:t>
      </w:r>
      <w:r>
        <w:rPr>
          <w:lang w:eastAsia="zh-CN"/>
        </w:rPr>
        <w:t>2</w:t>
      </w:r>
      <w:r>
        <w:rPr>
          <w:lang w:eastAsia="zh-CN"/>
        </w:rPr>
        <w:t>件国务院文件以及《外商投资产业指导目录（</w:t>
      </w:r>
      <w:r>
        <w:rPr>
          <w:lang w:eastAsia="zh-CN"/>
        </w:rPr>
        <w:t>2017</w:t>
      </w:r>
      <w:r>
        <w:rPr>
          <w:lang w:eastAsia="zh-CN"/>
        </w:rPr>
        <w:t>年修订）》、《外商投资民用航空业规定》</w:t>
      </w:r>
      <w:r>
        <w:rPr>
          <w:lang w:eastAsia="zh-CN"/>
        </w:rPr>
        <w:t>2</w:t>
      </w:r>
      <w:r>
        <w:rPr>
          <w:lang w:eastAsia="zh-CN"/>
        </w:rPr>
        <w:t>件经国务院批准的部门规章的有关规定。</w:t>
      </w:r>
    </w:p>
    <w:p w:rsidR="00A16026" w:rsidRDefault="004F101F">
      <w:pPr>
        <w:pStyle w:val="BodyText"/>
      </w:pPr>
      <w:hyperlink r:id="rId18">
        <w:r>
          <w:t>http://fina</w:t>
        </w:r>
        <w:r>
          <w:t>nce.sina.com.cn/roll/2018-01-09/doc-ifyqinzt1117378.shtml</w:t>
        </w:r>
      </w:hyperlink>
    </w:p>
    <w:p w:rsidR="00A16026" w:rsidRDefault="004F101F">
      <w:pPr>
        <w:pStyle w:val="Heading3"/>
        <w:rPr>
          <w:lang w:eastAsia="zh-CN"/>
        </w:rPr>
      </w:pPr>
      <w:bookmarkStart w:id="16" w:name="国家工商总局在全国范围内开展消费投诉公示试点"/>
      <w:r>
        <w:rPr>
          <w:lang w:eastAsia="zh-CN"/>
        </w:rPr>
        <w:t>国家工商总局在全国范围内开展消费投诉公示试点</w:t>
      </w:r>
      <w:bookmarkEnd w:id="16"/>
    </w:p>
    <w:p w:rsidR="00A16026" w:rsidRDefault="004F101F">
      <w:pPr>
        <w:pStyle w:val="FirstParagraph"/>
        <w:rPr>
          <w:lang w:eastAsia="zh-CN"/>
        </w:rPr>
      </w:pPr>
      <w:r>
        <w:rPr>
          <w:lang w:eastAsia="zh-CN"/>
        </w:rPr>
        <w:t>据国家工商总局网站消息，国家工商总局近日印发关于全面开展消费投诉公示试点的通知。通知指出，为进一步探索消费投诉公示制度，工商总局决定在全国范围内全面开展消费投诉公示试点。</w:t>
      </w:r>
    </w:p>
    <w:p w:rsidR="00A16026" w:rsidRDefault="004F101F">
      <w:pPr>
        <w:pStyle w:val="BodyText"/>
        <w:rPr>
          <w:lang w:eastAsia="zh-CN"/>
        </w:rPr>
      </w:pPr>
      <w:r>
        <w:rPr>
          <w:lang w:eastAsia="zh-CN"/>
        </w:rPr>
        <w:t>通知明确，工作目标是通过全面开展消费投诉公示试点，打通消费维权的事后救济和事先预防环节，加强企业信用监管，助推信用体系建设，保障消费者的知情权和选择权，强化社会组织、舆论和公众的</w:t>
      </w:r>
      <w:r>
        <w:rPr>
          <w:lang w:eastAsia="zh-CN"/>
        </w:rPr>
        <w:t>监督作用，促使经营者落实消费维权主体责任，提高诚信守法经营意识，推动消费纠纷的源头治理，进一步构建消费维权的社会共治格局，努力营造安全放心舒心的消费环境。通知提到，消费投诉公示是在企业信用信息公示和消费提示警示工作基础上，强化社会舆论监督、推进消费维权社会共治的新探索。</w:t>
      </w:r>
    </w:p>
    <w:p w:rsidR="00A16026" w:rsidRDefault="004F101F">
      <w:pPr>
        <w:pStyle w:val="BodyText"/>
      </w:pPr>
      <w:hyperlink r:id="rId19">
        <w:r>
          <w:t>http://news.sina.com.cn/sf/</w:t>
        </w:r>
        <w:r>
          <w:t>news/flfg/2018-01-03/doc-ifyqefvx5466145.shtml</w:t>
        </w:r>
      </w:hyperlink>
    </w:p>
    <w:p w:rsidR="00A16026" w:rsidRDefault="004F101F">
      <w:pPr>
        <w:pStyle w:val="Heading3"/>
        <w:rPr>
          <w:lang w:eastAsia="zh-CN"/>
        </w:rPr>
      </w:pPr>
      <w:bookmarkStart w:id="17" w:name="医疗器械网售出新规线上线下需一致"/>
      <w:r>
        <w:rPr>
          <w:lang w:eastAsia="zh-CN"/>
        </w:rPr>
        <w:t>医疗器械网售出新规：线上线下需一致</w:t>
      </w:r>
      <w:bookmarkEnd w:id="17"/>
    </w:p>
    <w:p w:rsidR="00A16026" w:rsidRDefault="004F101F">
      <w:pPr>
        <w:pStyle w:val="FirstParagraph"/>
        <w:rPr>
          <w:lang w:eastAsia="zh-CN"/>
        </w:rPr>
      </w:pPr>
      <w:r>
        <w:rPr>
          <w:lang w:eastAsia="zh-CN"/>
        </w:rPr>
        <w:t>国家食品药品监督管理总局日前发布了《医疗器械网络销售监督管理办法》（以下简称《办法》），食药监总局医疗器械监管司副司长王树才近日在北京指出，《办法》强调</w:t>
      </w:r>
      <w:r>
        <w:rPr>
          <w:lang w:eastAsia="zh-CN"/>
        </w:rPr>
        <w:t>“</w:t>
      </w:r>
      <w:r>
        <w:rPr>
          <w:lang w:eastAsia="zh-CN"/>
        </w:rPr>
        <w:t>线上线下一致</w:t>
      </w:r>
      <w:r>
        <w:rPr>
          <w:lang w:eastAsia="zh-CN"/>
        </w:rPr>
        <w:t>”</w:t>
      </w:r>
      <w:r>
        <w:rPr>
          <w:lang w:eastAsia="zh-CN"/>
        </w:rPr>
        <w:t>原则，要求从事医疗器械网络销售的企业，其申请主体应当是依法取得医疗器械生产许可、经营许可或者办理备案的实体医疗器械生产经营企业以及销售条件符合《医疗器械监督管理条例》和《办法》要求的医疗器械上市许可持有人。</w:t>
      </w:r>
    </w:p>
    <w:p w:rsidR="00A16026" w:rsidRDefault="004F101F">
      <w:pPr>
        <w:pStyle w:val="BodyText"/>
        <w:rPr>
          <w:lang w:eastAsia="zh-CN"/>
        </w:rPr>
      </w:pPr>
      <w:r>
        <w:rPr>
          <w:lang w:eastAsia="zh-CN"/>
        </w:rPr>
        <w:t>《办法</w:t>
      </w:r>
      <w:r>
        <w:rPr>
          <w:lang w:eastAsia="zh-CN"/>
        </w:rPr>
        <w:t>》指出，要组织建立国家医疗器械网络交易监测平台，开展全国医疗器械网络销售和网络交易监测与处置工作。王树才指出，由于网络销售具有虚拟性、隐匿性、跨地域、易转移等特点，也造成了监管管辖职责不清、监管手段滞后、调查取证困难等难题。《办法》从制度层面进一步明确医疗器械网络销售主体责任和监管责任，对强化医疗器械网络销售监管手段和措施、不断规范经营行为、严厉打击网络医疗器械销售违法违规行为具有重大意义。</w:t>
      </w:r>
    </w:p>
    <w:p w:rsidR="00A16026" w:rsidRDefault="004F101F">
      <w:pPr>
        <w:pStyle w:val="BodyText"/>
      </w:pPr>
      <w:hyperlink r:id="rId20">
        <w:r>
          <w:t>http://www.chinanews.com/gn/2018/01-10/8421095.shtml</w:t>
        </w:r>
      </w:hyperlink>
    </w:p>
    <w:p w:rsidR="00A16026" w:rsidRDefault="004F101F">
      <w:pPr>
        <w:pStyle w:val="Heading2"/>
        <w:rPr>
          <w:lang w:eastAsia="zh-CN"/>
        </w:rPr>
      </w:pPr>
      <w:bookmarkStart w:id="18" w:name="并购"/>
      <w:r>
        <w:rPr>
          <w:lang w:eastAsia="zh-CN"/>
        </w:rPr>
        <w:t>并购</w:t>
      </w:r>
      <w:bookmarkEnd w:id="18"/>
    </w:p>
    <w:p w:rsidR="00A16026" w:rsidRDefault="004F101F">
      <w:pPr>
        <w:pStyle w:val="Heading3"/>
        <w:rPr>
          <w:lang w:eastAsia="zh-CN"/>
        </w:rPr>
      </w:pPr>
      <w:bookmarkStart w:id="19" w:name="宇顺电子拟200亿收购成都润运100股权"/>
      <w:r>
        <w:rPr>
          <w:lang w:eastAsia="zh-CN"/>
        </w:rPr>
        <w:t>宇顺电子拟</w:t>
      </w:r>
      <w:r>
        <w:rPr>
          <w:lang w:eastAsia="zh-CN"/>
        </w:rPr>
        <w:t>200</w:t>
      </w:r>
      <w:r>
        <w:rPr>
          <w:lang w:eastAsia="zh-CN"/>
        </w:rPr>
        <w:t>亿收购成都润运</w:t>
      </w:r>
      <w:r>
        <w:rPr>
          <w:lang w:eastAsia="zh-CN"/>
        </w:rPr>
        <w:t>100%</w:t>
      </w:r>
      <w:r>
        <w:rPr>
          <w:lang w:eastAsia="zh-CN"/>
        </w:rPr>
        <w:t>股权</w:t>
      </w:r>
      <w:bookmarkEnd w:id="19"/>
    </w:p>
    <w:p w:rsidR="00A16026" w:rsidRDefault="004F101F">
      <w:pPr>
        <w:pStyle w:val="FirstParagraph"/>
        <w:rPr>
          <w:lang w:eastAsia="zh-CN"/>
        </w:rPr>
      </w:pPr>
      <w:r>
        <w:rPr>
          <w:lang w:eastAsia="zh-CN"/>
        </w:rPr>
        <w:t>停牌近半年，宇顺电子近日公告复牌并将继续推进重大资产重组事项，该重组事项为：公司拟</w:t>
      </w:r>
      <w:r>
        <w:rPr>
          <w:lang w:eastAsia="zh-CN"/>
        </w:rPr>
        <w:t>200</w:t>
      </w:r>
      <w:r>
        <w:rPr>
          <w:lang w:eastAsia="zh-CN"/>
        </w:rPr>
        <w:t>亿元收购成都润运</w:t>
      </w:r>
      <w:r>
        <w:rPr>
          <w:lang w:eastAsia="zh-CN"/>
        </w:rPr>
        <w:t>100%</w:t>
      </w:r>
      <w:r>
        <w:rPr>
          <w:lang w:eastAsia="zh-CN"/>
        </w:rPr>
        <w:t>股权，转型为影院运营，公司控股股东将变更为星美圣典或星美国际，实际控制人将变更为覃辉。</w:t>
      </w:r>
    </w:p>
    <w:p w:rsidR="00A16026" w:rsidRDefault="004F101F">
      <w:pPr>
        <w:pStyle w:val="BodyText"/>
        <w:rPr>
          <w:lang w:eastAsia="zh-CN"/>
        </w:rPr>
      </w:pPr>
      <w:r>
        <w:rPr>
          <w:lang w:eastAsia="zh-CN"/>
        </w:rPr>
        <w:t>公司表示，根据目前的初步方案，本次交易完成后，公司的控股股东将变更为星美圣典或星美国际，实际控制人将变更为覃辉。随着中国电影行业的发展，以及公司在影院投资、非票业务等方面的持续有效运作，标的公司的盈利能力和资产规模有望进一步提升，从而促进上市公司盈利水平及可持续发展能力，充分保护全体股东特别是中小股东的利益。公司近日披露，本次重大资产重组涉及的交易对手暂定为星美圣典、星美国际、创泰融元、汇恒嬴、汇荣晟等。其中，创泰融</w:t>
      </w:r>
      <w:r>
        <w:rPr>
          <w:lang w:eastAsia="zh-CN"/>
        </w:rPr>
        <w:lastRenderedPageBreak/>
        <w:t>元、汇恒赢、汇荣晟的实际控制人解茹桐与公司实际控制人解直锟系直系亲属关系，本次交易构成关联交</w:t>
      </w:r>
      <w:r>
        <w:rPr>
          <w:lang w:eastAsia="zh-CN"/>
        </w:rPr>
        <w:t>易。</w:t>
      </w:r>
    </w:p>
    <w:p w:rsidR="00A16026" w:rsidRDefault="004F101F">
      <w:pPr>
        <w:pStyle w:val="BodyText"/>
      </w:pPr>
      <w:hyperlink r:id="rId21">
        <w:r>
          <w:t>http://company.stcn.com/2018/0111/13895192.shtml</w:t>
        </w:r>
      </w:hyperlink>
    </w:p>
    <w:p w:rsidR="00A16026" w:rsidRDefault="004F101F">
      <w:pPr>
        <w:pStyle w:val="Heading3"/>
      </w:pPr>
      <w:bookmarkStart w:id="20" w:name="康美药业拟1600万收购迈圣医疗延伸医疗器械业务"/>
      <w:r>
        <w:t>康美药业拟</w:t>
      </w:r>
      <w:r>
        <w:t>1600</w:t>
      </w:r>
      <w:r>
        <w:t>万收购迈圣医疗，延伸医疗器械业务</w:t>
      </w:r>
      <w:bookmarkEnd w:id="20"/>
    </w:p>
    <w:p w:rsidR="00A16026" w:rsidRDefault="004F101F">
      <w:pPr>
        <w:pStyle w:val="FirstParagraph"/>
        <w:rPr>
          <w:lang w:eastAsia="zh-CN"/>
        </w:rPr>
      </w:pPr>
      <w:r>
        <w:rPr>
          <w:lang w:eastAsia="zh-CN"/>
        </w:rPr>
        <w:t>康美药业</w:t>
      </w:r>
      <w:r>
        <w:rPr>
          <w:lang w:eastAsia="zh-CN"/>
        </w:rPr>
        <w:t>2018</w:t>
      </w:r>
      <w:r>
        <w:rPr>
          <w:lang w:eastAsia="zh-CN"/>
        </w:rPr>
        <w:t>年</w:t>
      </w:r>
      <w:r>
        <w:rPr>
          <w:lang w:eastAsia="zh-CN"/>
        </w:rPr>
        <w:t>1</w:t>
      </w:r>
      <w:r>
        <w:rPr>
          <w:lang w:eastAsia="zh-CN"/>
        </w:rPr>
        <w:t>月</w:t>
      </w:r>
      <w:r>
        <w:rPr>
          <w:lang w:eastAsia="zh-CN"/>
        </w:rPr>
        <w:t>9</w:t>
      </w:r>
      <w:r>
        <w:rPr>
          <w:lang w:eastAsia="zh-CN"/>
        </w:rPr>
        <w:t>日晚间公告，全资子公司上海康美药业有限公司拟以现金方式收购山东迈圣医疗器械有限公司（以下简称</w:t>
      </w:r>
      <w:r>
        <w:rPr>
          <w:lang w:eastAsia="zh-CN"/>
        </w:rPr>
        <w:t>“</w:t>
      </w:r>
      <w:r>
        <w:rPr>
          <w:lang w:eastAsia="zh-CN"/>
        </w:rPr>
        <w:t>迈圣医疗</w:t>
      </w:r>
      <w:r>
        <w:rPr>
          <w:lang w:eastAsia="zh-CN"/>
        </w:rPr>
        <w:t>”</w:t>
      </w:r>
      <w:r>
        <w:rPr>
          <w:lang w:eastAsia="zh-CN"/>
        </w:rPr>
        <w:t>）</w:t>
      </w:r>
      <w:r>
        <w:rPr>
          <w:lang w:eastAsia="zh-CN"/>
        </w:rPr>
        <w:t>80%</w:t>
      </w:r>
      <w:r>
        <w:rPr>
          <w:lang w:eastAsia="zh-CN"/>
        </w:rPr>
        <w:t>股权，标的资产作价</w:t>
      </w:r>
      <w:r>
        <w:rPr>
          <w:lang w:eastAsia="zh-CN"/>
        </w:rPr>
        <w:t>1600.99</w:t>
      </w:r>
      <w:r>
        <w:rPr>
          <w:lang w:eastAsia="zh-CN"/>
        </w:rPr>
        <w:t>万元。</w:t>
      </w:r>
    </w:p>
    <w:p w:rsidR="00A16026" w:rsidRDefault="004F101F">
      <w:pPr>
        <w:pStyle w:val="BodyText"/>
        <w:rPr>
          <w:lang w:eastAsia="zh-CN"/>
        </w:rPr>
      </w:pPr>
      <w:r>
        <w:rPr>
          <w:lang w:eastAsia="zh-CN"/>
        </w:rPr>
        <w:t>康美药业表示，全资子公司上海康美已与迈圣医疗</w:t>
      </w:r>
      <w:r>
        <w:rPr>
          <w:lang w:eastAsia="zh-CN"/>
        </w:rPr>
        <w:t>股东蒲爱莲、马炳麟签订了相关股权转让协议，以总价</w:t>
      </w:r>
      <w:r>
        <w:rPr>
          <w:lang w:eastAsia="zh-CN"/>
        </w:rPr>
        <w:t>1600.99</w:t>
      </w:r>
      <w:r>
        <w:rPr>
          <w:lang w:eastAsia="zh-CN"/>
        </w:rPr>
        <w:t>万元收购迈圣医疗</w:t>
      </w:r>
      <w:r>
        <w:rPr>
          <w:lang w:eastAsia="zh-CN"/>
        </w:rPr>
        <w:t>80%</w:t>
      </w:r>
      <w:r>
        <w:rPr>
          <w:lang w:eastAsia="zh-CN"/>
        </w:rPr>
        <w:t>股权，收购完成后将达成对迈圣医疗控股。据康美药业介绍，迈圣医疗主要从事一、二、三类医疗器械耗材的批发和零售业务，在山东省拥有高值耗材的配送服务团队。收购完成后，将有利于康美药业整合迈圣医疗的医疗器械渠道资源，增加在山东省医疗器械的市场份额。康美药业同时提示，收购完成后，公司对迈圣医疗业务、财务和人力资源等方面的整合效果能否达到预期存在一定的不确定性。对此，康美药业将完善迈圣医疗法人治理结构，加强内部协作机制的建立和运行，积极</w:t>
      </w:r>
      <w:r>
        <w:rPr>
          <w:lang w:eastAsia="zh-CN"/>
        </w:rPr>
        <w:t>防范风险。</w:t>
      </w:r>
    </w:p>
    <w:p w:rsidR="00A16026" w:rsidRDefault="004F101F">
      <w:pPr>
        <w:pStyle w:val="BodyText"/>
      </w:pPr>
      <w:hyperlink r:id="rId22">
        <w:r>
          <w:t>http://company.stcn.com/2018/0111/13895217.shtml</w:t>
        </w:r>
      </w:hyperlink>
    </w:p>
    <w:p w:rsidR="00A16026" w:rsidRDefault="004F101F">
      <w:pPr>
        <w:pStyle w:val="Heading3"/>
      </w:pPr>
      <w:bookmarkStart w:id="21" w:name="金一文化拟收购两家珠宝公司完善零售渠道"/>
      <w:r>
        <w:t>金一文化拟收购两家珠宝公司，完善零售渠道</w:t>
      </w:r>
      <w:bookmarkEnd w:id="21"/>
    </w:p>
    <w:p w:rsidR="00A16026" w:rsidRDefault="004F101F">
      <w:pPr>
        <w:pStyle w:val="FirstParagraph"/>
        <w:rPr>
          <w:lang w:eastAsia="zh-CN"/>
        </w:rPr>
      </w:pPr>
      <w:r>
        <w:rPr>
          <w:lang w:eastAsia="zh-CN"/>
        </w:rPr>
        <w:t>金一文化</w:t>
      </w:r>
      <w:r>
        <w:rPr>
          <w:lang w:eastAsia="zh-CN"/>
        </w:rPr>
        <w:t>2018</w:t>
      </w:r>
      <w:r>
        <w:rPr>
          <w:lang w:eastAsia="zh-CN"/>
        </w:rPr>
        <w:t>年</w:t>
      </w:r>
      <w:r>
        <w:rPr>
          <w:lang w:eastAsia="zh-CN"/>
        </w:rPr>
        <w:t>1</w:t>
      </w:r>
      <w:r>
        <w:rPr>
          <w:lang w:eastAsia="zh-CN"/>
        </w:rPr>
        <w:t>月</w:t>
      </w:r>
      <w:r>
        <w:rPr>
          <w:lang w:eastAsia="zh-CN"/>
        </w:rPr>
        <w:t>9</w:t>
      </w:r>
      <w:r>
        <w:rPr>
          <w:lang w:eastAsia="zh-CN"/>
        </w:rPr>
        <w:t>日晚间公告，公司拟分别以自有资金</w:t>
      </w:r>
      <w:r>
        <w:rPr>
          <w:lang w:eastAsia="zh-CN"/>
        </w:rPr>
        <w:t>4.49</w:t>
      </w:r>
      <w:r>
        <w:rPr>
          <w:lang w:eastAsia="zh-CN"/>
        </w:rPr>
        <w:t>亿元及</w:t>
      </w:r>
      <w:r>
        <w:rPr>
          <w:lang w:eastAsia="zh-CN"/>
        </w:rPr>
        <w:t>5.8</w:t>
      </w:r>
      <w:r>
        <w:rPr>
          <w:lang w:eastAsia="zh-CN"/>
        </w:rPr>
        <w:t>亿元收购湖南张万福珠宝</w:t>
      </w:r>
      <w:r>
        <w:rPr>
          <w:lang w:eastAsia="zh-CN"/>
        </w:rPr>
        <w:t>51%</w:t>
      </w:r>
      <w:r>
        <w:rPr>
          <w:lang w:eastAsia="zh-CN"/>
        </w:rPr>
        <w:t>的股权、江苏珠宝</w:t>
      </w:r>
      <w:r>
        <w:rPr>
          <w:lang w:eastAsia="zh-CN"/>
        </w:rPr>
        <w:t>49%</w:t>
      </w:r>
      <w:r>
        <w:rPr>
          <w:lang w:eastAsia="zh-CN"/>
        </w:rPr>
        <w:t>股权。此次交易完成后，张万福珠宝将成为公司控股子公司，此前控股</w:t>
      </w:r>
      <w:r>
        <w:rPr>
          <w:lang w:eastAsia="zh-CN"/>
        </w:rPr>
        <w:t>51%</w:t>
      </w:r>
      <w:r>
        <w:rPr>
          <w:lang w:eastAsia="zh-CN"/>
        </w:rPr>
        <w:t>的江苏珠宝将成为公司全资子公司</w:t>
      </w:r>
      <w:r>
        <w:rPr>
          <w:lang w:eastAsia="zh-CN"/>
        </w:rPr>
        <w:t>。</w:t>
      </w:r>
    </w:p>
    <w:p w:rsidR="00A16026" w:rsidRDefault="004F101F">
      <w:pPr>
        <w:pStyle w:val="BodyText"/>
        <w:rPr>
          <w:lang w:eastAsia="zh-CN"/>
        </w:rPr>
      </w:pPr>
      <w:r>
        <w:rPr>
          <w:lang w:eastAsia="zh-CN"/>
        </w:rPr>
        <w:t>金一文化表示，公司此前通过横向扩张，外延并购整合了多个区域龙头珠宝品牌，如越王珠宝、江苏珠宝、捷夫珠宝。此次再将张万福珠宝并入公司，且全资控股江苏金一珠宝，进一步稳固在区域终端渠道、供应链、客户资源等方面的优势。除了在终端零售进行横向扩张外，金一文化还向黄金珠宝首饰产业链上游进行纵向延伸，完善从上游到终端零售的布局。近年来，公司收购多家企业，涉及的业务领域包括金融服务、裸钻和黄金的交易，珠宝首饰的研发、加工、批发等方面，如卡尼小贷、金艺珠宝、臻宝通、贵天钻石等。</w:t>
      </w:r>
    </w:p>
    <w:p w:rsidR="00A16026" w:rsidRDefault="004F101F">
      <w:pPr>
        <w:pStyle w:val="BodyText"/>
      </w:pPr>
      <w:hyperlink r:id="rId23">
        <w:r>
          <w:t>http://company.stcn.com/2018/0110/13894933.shtml</w:t>
        </w:r>
      </w:hyperlink>
    </w:p>
    <w:p w:rsidR="00A16026" w:rsidRDefault="004F101F">
      <w:pPr>
        <w:pStyle w:val="DisclaimerBold"/>
      </w:pPr>
      <w:r>
        <w:t>此法讯仅为提供相关资料信息之用，其内容并</w:t>
      </w:r>
    </w:p>
    <w:p w:rsidR="00A16026" w:rsidRDefault="004F101F">
      <w:pPr>
        <w:pStyle w:val="Disclaimer"/>
        <w:rPr>
          <w:lang w:eastAsia="zh-CN"/>
        </w:rPr>
      </w:pPr>
      <w:r>
        <w:rPr>
          <w:lang w:eastAsia="zh-CN"/>
        </w:rPr>
        <w:t>不构成法律建议及个案的法律分析。</w:t>
      </w:r>
    </w:p>
    <w:p w:rsidR="00A16026" w:rsidRDefault="004F101F">
      <w:pPr>
        <w:pStyle w:val="Disclaimer"/>
        <w:rPr>
          <w:lang w:eastAsia="zh-CN"/>
        </w:rPr>
      </w:pPr>
      <w:r>
        <w:rPr>
          <w:lang w:eastAsia="zh-CN"/>
        </w:rPr>
        <w:t>此法讯的发送并不是为了在易周律师行与用户或浏览者之间建立一种律师与客户之关系。</w:t>
      </w:r>
    </w:p>
    <w:p w:rsidR="00A16026" w:rsidRDefault="004F101F">
      <w:pPr>
        <w:pStyle w:val="Disclaimer"/>
        <w:rPr>
          <w:lang w:eastAsia="zh-CN"/>
        </w:rPr>
      </w:pPr>
      <w:r>
        <w:rPr>
          <w:lang w:eastAsia="zh-CN"/>
        </w:rPr>
        <w:t>易周律师行并不对可从互联网获得的任何第三方内容负责。</w:t>
      </w:r>
    </w:p>
    <w:p w:rsidR="00A16026" w:rsidRDefault="004F101F">
      <w:pPr>
        <w:pStyle w:val="Disclaimer"/>
        <w:rPr>
          <w:lang w:eastAsia="zh-CN"/>
        </w:rPr>
      </w:pPr>
      <w:r>
        <w:rPr>
          <w:lang w:eastAsia="zh-CN"/>
        </w:rPr>
        <w:t>如果您不希望收到该法讯，请电邮</w:t>
      </w:r>
      <w:r>
        <w:rPr>
          <w:lang w:eastAsia="zh-CN"/>
        </w:rPr>
        <w:t xml:space="preserve">  </w:t>
      </w:r>
      <w:hyperlink r:id="rId24">
        <w:r>
          <w:rPr>
            <w:lang w:eastAsia="zh-CN"/>
          </w:rPr>
          <w:t>unsubscribe@charltonslaw.com</w:t>
        </w:r>
      </w:hyperlink>
    </w:p>
    <w:p w:rsidR="00A16026" w:rsidRDefault="004F101F">
      <w:pPr>
        <w:pStyle w:val="BlackStrips"/>
      </w:pPr>
      <w:r>
        <w:t xml:space="preserve">Charltons - </w:t>
      </w:r>
      <w:r>
        <w:t>法讯</w:t>
      </w:r>
      <w:r>
        <w:t xml:space="preserve"> - </w:t>
      </w:r>
      <w:r>
        <w:t>中国</w:t>
      </w:r>
      <w:r>
        <w:t xml:space="preserve"> - 2018</w:t>
      </w:r>
      <w:r>
        <w:t>年</w:t>
      </w:r>
      <w:r>
        <w:t>1</w:t>
      </w:r>
      <w:r>
        <w:t>月</w:t>
      </w:r>
      <w:r>
        <w:t>12</w:t>
      </w:r>
      <w:r>
        <w:t>日</w:t>
      </w:r>
    </w:p>
    <w:sectPr w:rsidR="00A16026">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F101F">
      <w:pPr>
        <w:spacing w:after="0"/>
      </w:pPr>
      <w:r>
        <w:separator/>
      </w:r>
    </w:p>
  </w:endnote>
  <w:endnote w:type="continuationSeparator" w:id="0">
    <w:p w:rsidR="00000000" w:rsidRDefault="004F101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nsolas">
    <w:panose1 w:val="020B0609020204030204"/>
    <w:charset w:val="00"/>
    <w:family w:val="modern"/>
    <w:pitch w:val="fixed"/>
    <w:sig w:usb0="E10002FF" w:usb1="4000FCFF" w:usb2="00000009"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6026" w:rsidRDefault="004F101F">
      <w:r>
        <w:separator/>
      </w:r>
    </w:p>
  </w:footnote>
  <w:footnote w:type="continuationSeparator" w:id="0">
    <w:p w:rsidR="00A16026" w:rsidRDefault="004F101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FA8B91"/>
    <w:multiLevelType w:val="multilevel"/>
    <w:tmpl w:val="A2AADF24"/>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590D07"/>
    <w:rsid w:val="00011C8B"/>
    <w:rsid w:val="004E29B3"/>
    <w:rsid w:val="004F101F"/>
    <w:rsid w:val="00590D07"/>
    <w:rsid w:val="00784D58"/>
    <w:rsid w:val="008D6863"/>
    <w:rsid w:val="00A16026"/>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Cs w:val="24"/>
        <w:lang w:val="en-US" w:eastAsia="en-US" w:bidi="ar-SA"/>
      </w:rPr>
    </w:rPrDefault>
    <w:pPrDefault/>
  </w:docDefaults>
  <w:latentStyles w:defLockedState="0" w:defUIPriority="0" w:defSemiHidden="0" w:defUnhideWhenUsed="0" w:defQFormat="0" w:count="267"/>
  <w:style w:type="paragraph" w:default="1" w:styleId="Normal">
    <w:name w:val="Normal"/>
    <w:qFormat/>
    <w:pPr>
      <w:spacing w:after="200"/>
    </w:pPr>
    <w:rPr>
      <w:rFonts w:eastAsiaTheme="minorHAnsi"/>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rFonts w:eastAsiaTheme="minorHAnsi"/>
      <w:color w:val="00000A"/>
      <w:sz w:val="24"/>
    </w:rPr>
  </w:style>
  <w:style w:type="paragraph" w:styleId="Date">
    <w:name w:val="Date"/>
    <w:qFormat/>
    <w:pPr>
      <w:keepNext/>
      <w:keepLines/>
      <w:jc w:val="center"/>
    </w:pPr>
    <w:rPr>
      <w:rFonts w:eastAsiaTheme="minorHAnsi"/>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arltonslaw.com.cn/zhong-guo-yin-jian-hui-fa-bu-shang-ye-yin-hang-wei-tuo-dai-kuan-guan-li-ban-fa" TargetMode="External"/><Relationship Id="rId13" Type="http://schemas.openxmlformats.org/officeDocument/2006/relationships/hyperlink" Target="http://www.gov.cn/xinwen/2018-01/06/content_5253801.htm" TargetMode="External"/><Relationship Id="rId18" Type="http://schemas.openxmlformats.org/officeDocument/2006/relationships/hyperlink" Target="http://finance.sina.com.cn/roll/2018-01-09/doc-ifyqinzt1117378.s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company.stcn.com/2018/0111/13895192.shtml" TargetMode="External"/><Relationship Id="rId7" Type="http://schemas.openxmlformats.org/officeDocument/2006/relationships/endnotes" Target="endnotes.xml"/><Relationship Id="rId12" Type="http://schemas.openxmlformats.org/officeDocument/2006/relationships/hyperlink" Target="http://www.szse.cn/main/aboutus/bsyw/39776577.shtml" TargetMode="External"/><Relationship Id="rId17" Type="http://schemas.openxmlformats.org/officeDocument/2006/relationships/hyperlink" Target="http://finance.ifeng.com/a/20180110/15918317_0.s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gov.cn/xinwen/2018-01/10/content_5255127.htm" TargetMode="External"/><Relationship Id="rId20" Type="http://schemas.openxmlformats.org/officeDocument/2006/relationships/hyperlink" Target="http://www.chinanews.com/gn/2018/01-10/8421095.s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inaforex.com.cn/index.php/cms/item-view-id-46080.shtml" TargetMode="External"/><Relationship Id="rId24" Type="http://schemas.openxmlformats.org/officeDocument/2006/relationships/hyperlink" Target="mailto:unsubscribe@charltonslaw.com?subject=unsubscribe%20-Hong%20Kong%20Law-" TargetMode="External"/><Relationship Id="rId5" Type="http://schemas.openxmlformats.org/officeDocument/2006/relationships/webSettings" Target="webSettings.xml"/><Relationship Id="rId15" Type="http://schemas.openxmlformats.org/officeDocument/2006/relationships/hyperlink" Target="http://www.gov.cn/xinwen/2018-01/09/content_5254687.htm" TargetMode="External"/><Relationship Id="rId23" Type="http://schemas.openxmlformats.org/officeDocument/2006/relationships/hyperlink" Target="http://company.stcn.com/2018/0110/13894933.shtml" TargetMode="External"/><Relationship Id="rId10" Type="http://schemas.openxmlformats.org/officeDocument/2006/relationships/hyperlink" Target="http://www.gov.cn/xinwen/2018-01/06/content_5253804.htm" TargetMode="External"/><Relationship Id="rId19" Type="http://schemas.openxmlformats.org/officeDocument/2006/relationships/hyperlink" Target="http://news.sina.com.cn/sf/news/flfg/2018-01-03/doc-ifyqefvx5466145.shtml" TargetMode="External"/><Relationship Id="rId4" Type="http://schemas.openxmlformats.org/officeDocument/2006/relationships/settings" Target="settings.xml"/><Relationship Id="rId9" Type="http://schemas.openxmlformats.org/officeDocument/2006/relationships/hyperlink" Target="http://www.gov.cn/xinwen/2018-01/09/content_5254622.htm" TargetMode="External"/><Relationship Id="rId14" Type="http://schemas.openxmlformats.org/officeDocument/2006/relationships/hyperlink" Target="http://www.chinalawinfo.com/News/NewsFullText.aspx?NewsId=89261&amp;NewsType=1" TargetMode="External"/><Relationship Id="rId22" Type="http://schemas.openxmlformats.org/officeDocument/2006/relationships/hyperlink" Target="http://company.stcn.com/2018/0111/13895217.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1215</Words>
  <Characters>6931</Characters>
  <Application>Microsoft Office Word</Application>
  <DocSecurity>0</DocSecurity>
  <Lines>57</Lines>
  <Paragraphs>16</Paragraphs>
  <ScaleCrop>false</ScaleCrop>
  <Company>C</Company>
  <LinksUpToDate>false</LinksUpToDate>
  <CharactersWithSpaces>8130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2018-01-12T04:16:00Z</dcterms:created>
  <dcterms:modified xsi:type="dcterms:W3CDTF">2018-01-12T07:13:00Z</dcterms:modified>
</cp:coreProperties>
</file>