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865" w:rsidRDefault="00582974">
      <w:pPr>
        <w:pStyle w:val="BlackStrips"/>
        <w:rPr>
          <w:lang w:eastAsia="zh-CN"/>
        </w:rPr>
      </w:pPr>
      <w:r>
        <w:rPr>
          <w:lang w:eastAsia="zh-CN"/>
        </w:rPr>
        <w:t xml:space="preserve">Charltons - </w:t>
      </w:r>
      <w:r>
        <w:rPr>
          <w:lang w:eastAsia="zh-CN"/>
        </w:rPr>
        <w:t>法讯</w:t>
      </w:r>
      <w:r>
        <w:rPr>
          <w:lang w:eastAsia="zh-CN"/>
        </w:rPr>
        <w:t xml:space="preserve"> - </w:t>
      </w:r>
      <w:r>
        <w:rPr>
          <w:lang w:eastAsia="zh-CN"/>
        </w:rPr>
        <w:t>中国</w:t>
      </w:r>
      <w:r>
        <w:rPr>
          <w:lang w:eastAsia="zh-CN"/>
        </w:rPr>
        <w:t xml:space="preserve"> - 2018</w:t>
      </w:r>
      <w:r>
        <w:rPr>
          <w:lang w:eastAsia="zh-CN"/>
        </w:rPr>
        <w:t>年</w:t>
      </w:r>
      <w:r>
        <w:rPr>
          <w:lang w:eastAsia="zh-CN"/>
        </w:rPr>
        <w:t>1</w:t>
      </w:r>
      <w:r>
        <w:rPr>
          <w:lang w:eastAsia="zh-CN"/>
        </w:rPr>
        <w:t>月</w:t>
      </w:r>
      <w:r>
        <w:rPr>
          <w:lang w:eastAsia="zh-CN"/>
        </w:rPr>
        <w:t>19</w:t>
      </w:r>
      <w:r>
        <w:rPr>
          <w:lang w:eastAsia="zh-CN"/>
        </w:rPr>
        <w:t>日</w:t>
      </w:r>
    </w:p>
    <w:p w:rsidR="00CC2865" w:rsidRDefault="00582974">
      <w:pPr>
        <w:pStyle w:val="ReadOnline"/>
        <w:rPr>
          <w:lang w:eastAsia="zh-CN"/>
        </w:rPr>
      </w:pPr>
      <w:hyperlink r:id="rId8">
        <w:proofErr w:type="gramStart"/>
        <w:r>
          <w:rPr>
            <w:lang w:eastAsia="zh-CN"/>
          </w:rPr>
          <w:t>online</w:t>
        </w:r>
        <w:proofErr w:type="gramEnd"/>
        <w:r>
          <w:rPr>
            <w:lang w:eastAsia="zh-CN"/>
          </w:rPr>
          <w:t xml:space="preserve"> version</w:t>
        </w:r>
      </w:hyperlink>
    </w:p>
    <w:p w:rsidR="00CC2865" w:rsidRDefault="00582974">
      <w:pPr>
        <w:pStyle w:val="Title"/>
        <w:rPr>
          <w:lang w:eastAsia="zh-CN"/>
        </w:rPr>
      </w:pPr>
      <w:r>
        <w:rPr>
          <w:lang w:eastAsia="zh-CN"/>
        </w:rPr>
        <w:t>中国银监会发布《关于印发</w:t>
      </w:r>
      <w:r>
        <w:rPr>
          <w:lang w:eastAsia="zh-CN"/>
        </w:rPr>
        <w:t>&lt;</w:t>
      </w:r>
      <w:r>
        <w:rPr>
          <w:lang w:eastAsia="zh-CN"/>
        </w:rPr>
        <w:t>衍生工具交易对手违约风险资产计量规则</w:t>
      </w:r>
      <w:r>
        <w:rPr>
          <w:lang w:eastAsia="zh-CN"/>
        </w:rPr>
        <w:t>&gt;</w:t>
      </w:r>
      <w:r>
        <w:rPr>
          <w:lang w:eastAsia="zh-CN"/>
        </w:rPr>
        <w:t>的通知》</w:t>
      </w:r>
    </w:p>
    <w:p w:rsidR="00CC2865" w:rsidRDefault="00582974">
      <w:pPr>
        <w:pStyle w:val="Heading2"/>
        <w:rPr>
          <w:lang w:eastAsia="zh-CN"/>
        </w:rPr>
      </w:pPr>
      <w:bookmarkStart w:id="0" w:name="资本市场"/>
      <w:r>
        <w:rPr>
          <w:lang w:eastAsia="zh-CN"/>
        </w:rPr>
        <w:t>资本市场</w:t>
      </w:r>
      <w:bookmarkEnd w:id="0"/>
    </w:p>
    <w:p w:rsidR="00582974" w:rsidRDefault="00582974" w:rsidP="00582974">
      <w:pPr>
        <w:pStyle w:val="Heading3"/>
        <w:rPr>
          <w:rFonts w:hint="eastAsia"/>
          <w:lang w:eastAsia="zh-CN"/>
        </w:rPr>
      </w:pPr>
      <w:bookmarkStart w:id="1" w:name="中国银监会发布关于印发衍生工具交易对手违约风险资产计量规则的通知"/>
      <w:r>
        <w:rPr>
          <w:lang w:eastAsia="zh-CN"/>
        </w:rPr>
        <w:t>中国银监会发布《关于印发</w:t>
      </w:r>
      <w:r>
        <w:rPr>
          <w:lang w:eastAsia="zh-CN"/>
        </w:rPr>
        <w:t>&lt;</w:t>
      </w:r>
      <w:r>
        <w:rPr>
          <w:lang w:eastAsia="zh-CN"/>
        </w:rPr>
        <w:t>衍生工具交易对手违约风险资产计量规则</w:t>
      </w:r>
      <w:r>
        <w:rPr>
          <w:lang w:eastAsia="zh-CN"/>
        </w:rPr>
        <w:t>&gt;</w:t>
      </w:r>
      <w:r>
        <w:rPr>
          <w:lang w:eastAsia="zh-CN"/>
        </w:rPr>
        <w:t>的通知》</w:t>
      </w:r>
      <w:bookmarkEnd w:id="1"/>
    </w:p>
    <w:p w:rsidR="00582974" w:rsidRPr="00582974" w:rsidRDefault="00582974" w:rsidP="00582974">
      <w:pPr>
        <w:pStyle w:val="Heading3"/>
        <w:rPr>
          <w:rFonts w:asciiTheme="minorHAnsi" w:eastAsiaTheme="minorHAnsi" w:hAnsiTheme="minorHAnsi" w:cstheme="minorBidi" w:hint="eastAsia"/>
          <w:b w:val="0"/>
          <w:bCs w:val="0"/>
          <w:color w:val="00000A"/>
          <w:sz w:val="24"/>
          <w:szCs w:val="24"/>
          <w:lang w:eastAsia="zh-CN"/>
        </w:rPr>
      </w:pPr>
    </w:p>
    <w:p w:rsidR="00582974" w:rsidRPr="00582974" w:rsidRDefault="00582974" w:rsidP="00582974">
      <w:pPr>
        <w:rPr>
          <w:lang w:eastAsia="zh-CN"/>
        </w:rPr>
      </w:pPr>
      <w:r w:rsidRPr="00582974">
        <w:rPr>
          <w:rFonts w:hint="eastAsia"/>
          <w:lang w:eastAsia="zh-CN"/>
        </w:rPr>
        <w:t>近日，为强化商业银行衍生工具风险管理和计量能力，适应国际监管标准变化和衍生工具业务发展趋势，</w:t>
      </w:r>
      <w:r w:rsidRPr="00582974">
        <w:rPr>
          <w:lang w:eastAsia="zh-CN"/>
        </w:rPr>
        <w:t>中国</w:t>
      </w:r>
      <w:r w:rsidRPr="00582974">
        <w:rPr>
          <w:rFonts w:hint="eastAsia"/>
          <w:lang w:eastAsia="zh-CN"/>
        </w:rPr>
        <w:t>银监会发布《关于印发&lt;衍生工具交易对手违约风险资产计量规则&gt;的通知》（以下简称《通知》）。</w:t>
      </w:r>
    </w:p>
    <w:p w:rsidR="00CC2865" w:rsidRDefault="00582974">
      <w:pPr>
        <w:pStyle w:val="FirstParagraph"/>
        <w:rPr>
          <w:lang w:eastAsia="zh-CN"/>
        </w:rPr>
      </w:pPr>
      <w:r>
        <w:rPr>
          <w:lang w:eastAsia="zh-CN"/>
        </w:rPr>
        <w:t>《通知》借鉴巴塞尔委员会发布的衍生工具资本计量国际标准，大幅提高了衍生工具资本计量的风险敏感性。</w:t>
      </w:r>
      <w:r>
        <w:rPr>
          <w:lang w:eastAsia="zh-CN"/>
        </w:rPr>
        <w:t xml:space="preserve"> </w:t>
      </w:r>
      <w:r>
        <w:rPr>
          <w:lang w:eastAsia="zh-CN"/>
        </w:rPr>
        <w:t>《通知》重新梳理了衍生</w:t>
      </w:r>
      <w:bookmarkStart w:id="2" w:name="_GoBack"/>
      <w:bookmarkEnd w:id="2"/>
      <w:r>
        <w:rPr>
          <w:lang w:eastAsia="zh-CN"/>
        </w:rPr>
        <w:t>工具资本计量的基础定义和计算步骤，明确了净额结算组合、资产类别和抵消组合的确定方法，考虑净额结算与保证金协议的作用，并分别规定了重置成本与潜在风险暴露的计算步骤和公式。</w:t>
      </w:r>
      <w:r>
        <w:rPr>
          <w:lang w:eastAsia="zh-CN"/>
        </w:rPr>
        <w:t>《通知》分正文和附件两部分。</w:t>
      </w:r>
      <w:r>
        <w:rPr>
          <w:lang w:eastAsia="zh-CN"/>
        </w:rPr>
        <w:t xml:space="preserve"> </w:t>
      </w:r>
      <w:r>
        <w:rPr>
          <w:lang w:eastAsia="zh-CN"/>
        </w:rPr>
        <w:t>正文共</w:t>
      </w:r>
      <w:r>
        <w:rPr>
          <w:lang w:eastAsia="zh-CN"/>
        </w:rPr>
        <w:t>12</w:t>
      </w:r>
      <w:r>
        <w:rPr>
          <w:lang w:eastAsia="zh-CN"/>
        </w:rPr>
        <w:t>条，要求商业银行将交易对手信用风险管理纳入全面风险</w:t>
      </w:r>
      <w:r>
        <w:rPr>
          <w:lang w:eastAsia="zh-CN"/>
        </w:rPr>
        <w:t>管理框架，建立健全衍生产品风险治理的政策流程，强化信息系统和基础设施，提高数据收集和存储能力，确保衍生工具估值和资本计量的审慎性。附件规定了重置成本和潜在风险暴露及其组成部分的计算步骤和方法，并规定了计算风险暴露的整体公式。</w:t>
      </w:r>
    </w:p>
    <w:p w:rsidR="00CC2865" w:rsidRDefault="00582974">
      <w:pPr>
        <w:pStyle w:val="BodyText"/>
      </w:pPr>
      <w:hyperlink r:id="rId9">
        <w:r>
          <w:t>http://www.gov.cn/xinwen/2018-01/17/content_5257396.htm</w:t>
        </w:r>
      </w:hyperlink>
    </w:p>
    <w:p w:rsidR="00CC2865" w:rsidRDefault="00582974">
      <w:pPr>
        <w:pStyle w:val="Heading3"/>
        <w:rPr>
          <w:lang w:eastAsia="zh-CN"/>
        </w:rPr>
      </w:pPr>
      <w:bookmarkStart w:id="3" w:name="深圳证券交易所中国结算修订股票质押式回购交易业务规则"/>
      <w:r>
        <w:rPr>
          <w:lang w:eastAsia="zh-CN"/>
        </w:rPr>
        <w:t>深圳证券交易所、中国结算</w:t>
      </w:r>
      <w:r>
        <w:rPr>
          <w:lang w:eastAsia="zh-CN"/>
        </w:rPr>
        <w:t>修订股票质押式回购交易业务规则</w:t>
      </w:r>
      <w:bookmarkEnd w:id="3"/>
    </w:p>
    <w:p w:rsidR="00CC2865" w:rsidRDefault="00582974">
      <w:pPr>
        <w:pStyle w:val="FirstParagraph"/>
        <w:rPr>
          <w:lang w:eastAsia="zh-CN"/>
        </w:rPr>
      </w:pPr>
      <w:r>
        <w:rPr>
          <w:lang w:eastAsia="zh-CN"/>
        </w:rPr>
        <w:t>经中国证监会批准，深圳证券交易所（以下简称</w:t>
      </w:r>
      <w:r>
        <w:rPr>
          <w:lang w:eastAsia="zh-CN"/>
        </w:rPr>
        <w:t>“</w:t>
      </w:r>
      <w:r>
        <w:rPr>
          <w:lang w:eastAsia="zh-CN"/>
        </w:rPr>
        <w:t>深交所</w:t>
      </w:r>
      <w:r>
        <w:rPr>
          <w:lang w:eastAsia="zh-CN"/>
        </w:rPr>
        <w:t>”</w:t>
      </w:r>
      <w:r>
        <w:rPr>
          <w:lang w:eastAsia="zh-CN"/>
        </w:rPr>
        <w:t>）与中国证券登记结算有限责任公司（以下简称</w:t>
      </w:r>
      <w:r>
        <w:rPr>
          <w:lang w:eastAsia="zh-CN"/>
        </w:rPr>
        <w:t>“</w:t>
      </w:r>
      <w:r>
        <w:rPr>
          <w:lang w:eastAsia="zh-CN"/>
        </w:rPr>
        <w:t>中国结算</w:t>
      </w:r>
      <w:r>
        <w:rPr>
          <w:lang w:eastAsia="zh-CN"/>
        </w:rPr>
        <w:t>”</w:t>
      </w:r>
      <w:r>
        <w:rPr>
          <w:lang w:eastAsia="zh-CN"/>
        </w:rPr>
        <w:t>），</w:t>
      </w:r>
      <w:r>
        <w:rPr>
          <w:lang w:eastAsia="zh-CN"/>
        </w:rPr>
        <w:t xml:space="preserve"> </w:t>
      </w:r>
      <w:r>
        <w:rPr>
          <w:lang w:eastAsia="zh-CN"/>
        </w:rPr>
        <w:t>对《股票质押式回购交易及登记结算业务办法（试行）（</w:t>
      </w:r>
      <w:r>
        <w:rPr>
          <w:lang w:eastAsia="zh-CN"/>
        </w:rPr>
        <w:t>2017</w:t>
      </w:r>
      <w:r>
        <w:rPr>
          <w:lang w:eastAsia="zh-CN"/>
        </w:rPr>
        <w:t>年修订）》（以下简称原《办法》）进行了修订，于</w:t>
      </w:r>
      <w:r>
        <w:rPr>
          <w:lang w:eastAsia="zh-CN"/>
        </w:rPr>
        <w:t>2018</w:t>
      </w:r>
      <w:r>
        <w:rPr>
          <w:lang w:eastAsia="zh-CN"/>
        </w:rPr>
        <w:t>年</w:t>
      </w:r>
      <w:r>
        <w:rPr>
          <w:lang w:eastAsia="zh-CN"/>
        </w:rPr>
        <w:t>1</w:t>
      </w:r>
      <w:r>
        <w:rPr>
          <w:lang w:eastAsia="zh-CN"/>
        </w:rPr>
        <w:t>月</w:t>
      </w:r>
      <w:r>
        <w:rPr>
          <w:lang w:eastAsia="zh-CN"/>
        </w:rPr>
        <w:t>12</w:t>
      </w:r>
      <w:r>
        <w:rPr>
          <w:lang w:eastAsia="zh-CN"/>
        </w:rPr>
        <w:t>日发布了《股票质押式回购交易及登记结算业务办法（</w:t>
      </w:r>
      <w:r>
        <w:rPr>
          <w:lang w:eastAsia="zh-CN"/>
        </w:rPr>
        <w:t>2018</w:t>
      </w:r>
      <w:r>
        <w:rPr>
          <w:lang w:eastAsia="zh-CN"/>
        </w:rPr>
        <w:t>年修订）》（以下简称新《办法》），并自</w:t>
      </w:r>
      <w:r>
        <w:rPr>
          <w:lang w:eastAsia="zh-CN"/>
        </w:rPr>
        <w:t>2018</w:t>
      </w:r>
      <w:r>
        <w:rPr>
          <w:lang w:eastAsia="zh-CN"/>
        </w:rPr>
        <w:t>年</w:t>
      </w:r>
      <w:r>
        <w:rPr>
          <w:lang w:eastAsia="zh-CN"/>
        </w:rPr>
        <w:t>3</w:t>
      </w:r>
      <w:r>
        <w:rPr>
          <w:lang w:eastAsia="zh-CN"/>
        </w:rPr>
        <w:t>月</w:t>
      </w:r>
      <w:r>
        <w:rPr>
          <w:lang w:eastAsia="zh-CN"/>
        </w:rPr>
        <w:t>12</w:t>
      </w:r>
      <w:r>
        <w:rPr>
          <w:lang w:eastAsia="zh-CN"/>
        </w:rPr>
        <w:t>日起正式实施。</w:t>
      </w:r>
    </w:p>
    <w:p w:rsidR="00CC2865" w:rsidRDefault="00582974">
      <w:pPr>
        <w:pStyle w:val="BodyText"/>
        <w:rPr>
          <w:lang w:eastAsia="zh-CN"/>
        </w:rPr>
      </w:pPr>
      <w:r>
        <w:rPr>
          <w:lang w:eastAsia="zh-CN"/>
        </w:rPr>
        <w:t>与原《办法》相比，新《办法》修订内容主要包括三个方面：一是进一步聚焦服务实体经济定位。明确融入方不得为金融机构或其发行</w:t>
      </w:r>
      <w:r>
        <w:rPr>
          <w:lang w:eastAsia="zh-CN"/>
        </w:rPr>
        <w:t>的产品，融入资金应当用于实体经济生产经营并专户管理，融入方首笔初始交易金额不得低于</w:t>
      </w:r>
      <w:r>
        <w:rPr>
          <w:lang w:eastAsia="zh-CN"/>
        </w:rPr>
        <w:t>500</w:t>
      </w:r>
      <w:r>
        <w:rPr>
          <w:lang w:eastAsia="zh-CN"/>
        </w:rPr>
        <w:t>万元，后续每笔不得低于</w:t>
      </w:r>
      <w:r>
        <w:rPr>
          <w:lang w:eastAsia="zh-CN"/>
        </w:rPr>
        <w:t>50</w:t>
      </w:r>
      <w:r>
        <w:rPr>
          <w:lang w:eastAsia="zh-CN"/>
        </w:rPr>
        <w:t>万元，不再认可基金、债券作为初始质押标的。二是进一步强化风险管理。明确股票质押率上限不得超过</w:t>
      </w:r>
      <w:r>
        <w:rPr>
          <w:lang w:eastAsia="zh-CN"/>
        </w:rPr>
        <w:t>60%</w:t>
      </w:r>
      <w:r>
        <w:rPr>
          <w:lang w:eastAsia="zh-CN"/>
        </w:rPr>
        <w:t>，单一证券公司、单一资管产品作为融出方接受单只</w:t>
      </w:r>
      <w:r>
        <w:rPr>
          <w:lang w:eastAsia="zh-CN"/>
        </w:rPr>
        <w:t>A</w:t>
      </w:r>
      <w:r>
        <w:rPr>
          <w:lang w:eastAsia="zh-CN"/>
        </w:rPr>
        <w:t>股股票质押比例分别不得超过</w:t>
      </w:r>
      <w:r>
        <w:rPr>
          <w:lang w:eastAsia="zh-CN"/>
        </w:rPr>
        <w:t>30%</w:t>
      </w:r>
      <w:r>
        <w:rPr>
          <w:lang w:eastAsia="zh-CN"/>
        </w:rPr>
        <w:t>、</w:t>
      </w:r>
      <w:r>
        <w:rPr>
          <w:lang w:eastAsia="zh-CN"/>
        </w:rPr>
        <w:t>15%</w:t>
      </w:r>
      <w:r>
        <w:rPr>
          <w:lang w:eastAsia="zh-CN"/>
        </w:rPr>
        <w:t>，单只</w:t>
      </w:r>
      <w:r>
        <w:rPr>
          <w:lang w:eastAsia="zh-CN"/>
        </w:rPr>
        <w:t>A</w:t>
      </w:r>
      <w:r>
        <w:rPr>
          <w:lang w:eastAsia="zh-CN"/>
        </w:rPr>
        <w:t>股股票市场整体质押比例不超过</w:t>
      </w:r>
      <w:r>
        <w:rPr>
          <w:lang w:eastAsia="zh-CN"/>
        </w:rPr>
        <w:t>50%</w:t>
      </w:r>
      <w:r>
        <w:rPr>
          <w:lang w:eastAsia="zh-CN"/>
        </w:rPr>
        <w:t>。三是进一步规范业务运作。明确证券公司开展业务的资质条件，要求证券公司建立融入方信用风险持续管理及资金用途跟踪管理机制。</w:t>
      </w:r>
    </w:p>
    <w:p w:rsidR="00CC2865" w:rsidRDefault="00582974">
      <w:pPr>
        <w:pStyle w:val="BodyText"/>
      </w:pPr>
      <w:hyperlink r:id="rId10">
        <w:r>
          <w:t>http://www.szse.cn/main/aboutus/bsyw/39776643.shtml</w:t>
        </w:r>
      </w:hyperlink>
    </w:p>
    <w:p w:rsidR="00CC2865" w:rsidRDefault="00582974">
      <w:pPr>
        <w:pStyle w:val="Heading3"/>
        <w:rPr>
          <w:lang w:eastAsia="zh-CN"/>
        </w:rPr>
      </w:pPr>
      <w:bookmarkStart w:id="4" w:name="中国互联网金融协会发布防范变相ico活动风险提示"/>
      <w:r>
        <w:rPr>
          <w:lang w:eastAsia="zh-CN"/>
        </w:rPr>
        <w:t>中国互联网金融协会发布防范变相</w:t>
      </w:r>
      <w:r>
        <w:rPr>
          <w:lang w:eastAsia="zh-CN"/>
        </w:rPr>
        <w:t>ICO</w:t>
      </w:r>
      <w:r>
        <w:rPr>
          <w:lang w:eastAsia="zh-CN"/>
        </w:rPr>
        <w:t>活动风险提示</w:t>
      </w:r>
      <w:bookmarkEnd w:id="4"/>
    </w:p>
    <w:p w:rsidR="00CC2865" w:rsidRDefault="00582974">
      <w:pPr>
        <w:pStyle w:val="FirstParagraph"/>
        <w:rPr>
          <w:lang w:eastAsia="zh-CN"/>
        </w:rPr>
      </w:pPr>
      <w:r>
        <w:rPr>
          <w:lang w:eastAsia="zh-CN"/>
        </w:rPr>
        <w:t>中国互联网金融协会近日发布风险提示称，随着各地</w:t>
      </w:r>
      <w:r>
        <w:rPr>
          <w:lang w:eastAsia="zh-CN"/>
        </w:rPr>
        <w:t>ICO</w:t>
      </w:r>
      <w:r>
        <w:rPr>
          <w:lang w:eastAsia="zh-CN"/>
        </w:rPr>
        <w:t>项目逐步完成清退，以发行迅雷</w:t>
      </w:r>
      <w:r>
        <w:rPr>
          <w:lang w:eastAsia="zh-CN"/>
        </w:rPr>
        <w:t>“</w:t>
      </w:r>
      <w:r>
        <w:rPr>
          <w:lang w:eastAsia="zh-CN"/>
        </w:rPr>
        <w:t>链克</w:t>
      </w:r>
      <w:r>
        <w:rPr>
          <w:lang w:eastAsia="zh-CN"/>
        </w:rPr>
        <w:t>”</w:t>
      </w:r>
      <w:r>
        <w:rPr>
          <w:lang w:eastAsia="zh-CN"/>
        </w:rPr>
        <w:t>（原名</w:t>
      </w:r>
      <w:r>
        <w:rPr>
          <w:lang w:eastAsia="zh-CN"/>
        </w:rPr>
        <w:t>“</w:t>
      </w:r>
      <w:r>
        <w:rPr>
          <w:lang w:eastAsia="zh-CN"/>
        </w:rPr>
        <w:t>玩客币</w:t>
      </w:r>
      <w:r>
        <w:rPr>
          <w:lang w:eastAsia="zh-CN"/>
        </w:rPr>
        <w:t>”</w:t>
      </w:r>
      <w:r>
        <w:rPr>
          <w:lang w:eastAsia="zh-CN"/>
        </w:rPr>
        <w:t>）为代表，一种名为</w:t>
      </w:r>
      <w:r>
        <w:rPr>
          <w:lang w:eastAsia="zh-CN"/>
        </w:rPr>
        <w:t>“</w:t>
      </w:r>
      <w:r>
        <w:rPr>
          <w:lang w:eastAsia="zh-CN"/>
        </w:rPr>
        <w:t>以矿机为核心发行虚拟数字资产</w:t>
      </w:r>
      <w:r>
        <w:rPr>
          <w:lang w:eastAsia="zh-CN"/>
        </w:rPr>
        <w:t>”</w:t>
      </w:r>
      <w:r>
        <w:rPr>
          <w:lang w:eastAsia="zh-CN"/>
        </w:rPr>
        <w:t>（</w:t>
      </w:r>
      <w:r>
        <w:rPr>
          <w:lang w:eastAsia="zh-CN"/>
        </w:rPr>
        <w:t>IMO</w:t>
      </w:r>
      <w:r>
        <w:rPr>
          <w:lang w:eastAsia="zh-CN"/>
        </w:rPr>
        <w:t>）的模式值得警惕，存在风险隐患。</w:t>
      </w:r>
    </w:p>
    <w:p w:rsidR="00CC2865" w:rsidRDefault="00582974">
      <w:pPr>
        <w:pStyle w:val="BodyText"/>
        <w:rPr>
          <w:lang w:eastAsia="zh-CN"/>
        </w:rPr>
      </w:pPr>
      <w:r>
        <w:rPr>
          <w:lang w:eastAsia="zh-CN"/>
        </w:rPr>
        <w:lastRenderedPageBreak/>
        <w:t>中国互联网金融协会称，迅雷</w:t>
      </w:r>
      <w:r>
        <w:rPr>
          <w:lang w:eastAsia="zh-CN"/>
        </w:rPr>
        <w:t>“</w:t>
      </w:r>
      <w:r>
        <w:rPr>
          <w:lang w:eastAsia="zh-CN"/>
        </w:rPr>
        <w:t>链克</w:t>
      </w:r>
      <w:r>
        <w:rPr>
          <w:lang w:eastAsia="zh-CN"/>
        </w:rPr>
        <w:t>”</w:t>
      </w:r>
      <w:r>
        <w:rPr>
          <w:lang w:eastAsia="zh-CN"/>
        </w:rPr>
        <w:t>案例中，发行企业实际上是用</w:t>
      </w:r>
      <w:r>
        <w:rPr>
          <w:lang w:eastAsia="zh-CN"/>
        </w:rPr>
        <w:t>“</w:t>
      </w:r>
      <w:r>
        <w:rPr>
          <w:lang w:eastAsia="zh-CN"/>
        </w:rPr>
        <w:t>链克</w:t>
      </w:r>
      <w:r>
        <w:rPr>
          <w:lang w:eastAsia="zh-CN"/>
        </w:rPr>
        <w:t>”</w:t>
      </w:r>
      <w:r>
        <w:rPr>
          <w:lang w:eastAsia="zh-CN"/>
        </w:rPr>
        <w:t>代替了对参与者所贡献服务的法币付款义务，本质上是一种融资行为，是变相</w:t>
      </w:r>
      <w:r>
        <w:rPr>
          <w:lang w:eastAsia="zh-CN"/>
        </w:rPr>
        <w:t>ICO</w:t>
      </w:r>
      <w:r>
        <w:rPr>
          <w:lang w:eastAsia="zh-CN"/>
        </w:rPr>
        <w:t>。</w:t>
      </w:r>
      <w:r>
        <w:rPr>
          <w:lang w:eastAsia="zh-CN"/>
        </w:rPr>
        <w:t xml:space="preserve"> </w:t>
      </w:r>
      <w:r>
        <w:rPr>
          <w:lang w:eastAsia="zh-CN"/>
        </w:rPr>
        <w:t>以</w:t>
      </w:r>
      <w:r>
        <w:rPr>
          <w:lang w:eastAsia="zh-CN"/>
        </w:rPr>
        <w:t>IMO</w:t>
      </w:r>
      <w:r>
        <w:rPr>
          <w:lang w:eastAsia="zh-CN"/>
        </w:rPr>
        <w:t>模式发行的</w:t>
      </w:r>
      <w:r>
        <w:rPr>
          <w:lang w:eastAsia="zh-CN"/>
        </w:rPr>
        <w:t>“</w:t>
      </w:r>
      <w:r>
        <w:rPr>
          <w:lang w:eastAsia="zh-CN"/>
        </w:rPr>
        <w:t>虚拟数字资产</w:t>
      </w:r>
      <w:r>
        <w:rPr>
          <w:lang w:eastAsia="zh-CN"/>
        </w:rPr>
        <w:t>”</w:t>
      </w:r>
      <w:r>
        <w:rPr>
          <w:lang w:eastAsia="zh-CN"/>
        </w:rPr>
        <w:t>，还包括流量币、</w:t>
      </w:r>
      <w:r>
        <w:rPr>
          <w:lang w:eastAsia="zh-CN"/>
        </w:rPr>
        <w:t>BFC</w:t>
      </w:r>
      <w:r>
        <w:rPr>
          <w:lang w:eastAsia="zh-CN"/>
        </w:rPr>
        <w:t>积分等。中国互联网金融协会呼吁，广大消费者和投资者应认清相关模式的本质，增强风险防范意识，理性投资，不要盲目跟风炒作。对于</w:t>
      </w:r>
      <w:r>
        <w:rPr>
          <w:lang w:eastAsia="zh-CN"/>
        </w:rPr>
        <w:t>IMO</w:t>
      </w:r>
      <w:r>
        <w:rPr>
          <w:lang w:eastAsia="zh-CN"/>
        </w:rPr>
        <w:t>模式以及各类通过部署境外服务器继续面向境内居民开办</w:t>
      </w:r>
      <w:r>
        <w:rPr>
          <w:lang w:eastAsia="zh-CN"/>
        </w:rPr>
        <w:t>ICO</w:t>
      </w:r>
      <w:r>
        <w:rPr>
          <w:lang w:eastAsia="zh-CN"/>
        </w:rPr>
        <w:t>及</w:t>
      </w:r>
      <w:r>
        <w:rPr>
          <w:lang w:eastAsia="zh-CN"/>
        </w:rPr>
        <w:t>“</w:t>
      </w:r>
      <w:r>
        <w:rPr>
          <w:lang w:eastAsia="zh-CN"/>
        </w:rPr>
        <w:t>虚拟货币</w:t>
      </w:r>
      <w:r>
        <w:rPr>
          <w:lang w:eastAsia="zh-CN"/>
        </w:rPr>
        <w:t>”</w:t>
      </w:r>
      <w:r>
        <w:rPr>
          <w:lang w:eastAsia="zh-CN"/>
        </w:rPr>
        <w:t>交易场所服务，发现涉及非法金融活动的，可向有关监管部门或中国互联网金融协会举报，对其中涉嫌违法犯罪的，可向公安机关报案。中国互联网金融协会会员应加强自律，抵制非法金融活动，不参与任</w:t>
      </w:r>
      <w:r>
        <w:rPr>
          <w:lang w:eastAsia="zh-CN"/>
        </w:rPr>
        <w:t>何涉及</w:t>
      </w:r>
      <w:r>
        <w:rPr>
          <w:lang w:eastAsia="zh-CN"/>
        </w:rPr>
        <w:t>ICO</w:t>
      </w:r>
      <w:r>
        <w:rPr>
          <w:lang w:eastAsia="zh-CN"/>
        </w:rPr>
        <w:t>或炒作</w:t>
      </w:r>
      <w:r>
        <w:rPr>
          <w:lang w:eastAsia="zh-CN"/>
        </w:rPr>
        <w:t>“</w:t>
      </w:r>
      <w:r>
        <w:rPr>
          <w:lang w:eastAsia="zh-CN"/>
        </w:rPr>
        <w:t>虚拟货币</w:t>
      </w:r>
      <w:r>
        <w:rPr>
          <w:lang w:eastAsia="zh-CN"/>
        </w:rPr>
        <w:t>”</w:t>
      </w:r>
      <w:r>
        <w:rPr>
          <w:lang w:eastAsia="zh-CN"/>
        </w:rPr>
        <w:t>的行为。</w:t>
      </w:r>
    </w:p>
    <w:p w:rsidR="00CC2865" w:rsidRDefault="00582974">
      <w:pPr>
        <w:pStyle w:val="BodyText"/>
      </w:pPr>
      <w:hyperlink r:id="rId11">
        <w:r>
          <w:t>http://www.xinhuanet.com/fortune/2018-01/12/c_1122252748.htm</w:t>
        </w:r>
      </w:hyperlink>
    </w:p>
    <w:p w:rsidR="00CC2865" w:rsidRDefault="00582974">
      <w:pPr>
        <w:pStyle w:val="Heading3"/>
        <w:rPr>
          <w:lang w:eastAsia="zh-CN"/>
        </w:rPr>
      </w:pPr>
      <w:bookmarkStart w:id="5" w:name="中央结算公司加快推动落实自贸区债券市场建设方案"/>
      <w:r>
        <w:rPr>
          <w:lang w:eastAsia="zh-CN"/>
        </w:rPr>
        <w:t>中央结算公司：加快推动落实自贸区债券市场建设方案</w:t>
      </w:r>
      <w:bookmarkEnd w:id="5"/>
    </w:p>
    <w:p w:rsidR="00CC2865" w:rsidRDefault="00582974">
      <w:pPr>
        <w:pStyle w:val="FirstParagraph"/>
        <w:rPr>
          <w:lang w:eastAsia="zh-CN"/>
        </w:rPr>
      </w:pPr>
      <w:r>
        <w:rPr>
          <w:lang w:eastAsia="zh-CN"/>
        </w:rPr>
        <w:t>2018</w:t>
      </w:r>
      <w:r>
        <w:rPr>
          <w:lang w:eastAsia="zh-CN"/>
        </w:rPr>
        <w:t>年</w:t>
      </w:r>
      <w:r>
        <w:rPr>
          <w:lang w:eastAsia="zh-CN"/>
        </w:rPr>
        <w:t>1</w:t>
      </w:r>
      <w:r>
        <w:rPr>
          <w:lang w:eastAsia="zh-CN"/>
        </w:rPr>
        <w:t>月</w:t>
      </w:r>
      <w:r>
        <w:rPr>
          <w:lang w:eastAsia="zh-CN"/>
        </w:rPr>
        <w:t>18</w:t>
      </w:r>
      <w:r>
        <w:rPr>
          <w:lang w:eastAsia="zh-CN"/>
        </w:rPr>
        <w:t>日，</w:t>
      </w:r>
      <w:r>
        <w:rPr>
          <w:lang w:eastAsia="zh-CN"/>
        </w:rPr>
        <w:t>2018</w:t>
      </w:r>
      <w:r>
        <w:rPr>
          <w:lang w:eastAsia="zh-CN"/>
        </w:rPr>
        <w:t>年债券市场投资策略论坛在北京召开。中央结算公司（以下简称</w:t>
      </w:r>
      <w:r>
        <w:rPr>
          <w:lang w:eastAsia="zh-CN"/>
        </w:rPr>
        <w:t>“</w:t>
      </w:r>
      <w:r>
        <w:rPr>
          <w:lang w:eastAsia="zh-CN"/>
        </w:rPr>
        <w:t>公司</w:t>
      </w:r>
      <w:r>
        <w:rPr>
          <w:lang w:eastAsia="zh-CN"/>
        </w:rPr>
        <w:t>”</w:t>
      </w:r>
      <w:r>
        <w:rPr>
          <w:lang w:eastAsia="zh-CN"/>
        </w:rPr>
        <w:t>）总经理陈刚明表示，当前，债券市场已成为直接融</w:t>
      </w:r>
      <w:r>
        <w:rPr>
          <w:lang w:eastAsia="zh-CN"/>
        </w:rPr>
        <w:t>资的主体市场，公司作为支持市场高效运行的中枢，是提高直接融资比重、服务实体经济的关键环节。</w:t>
      </w:r>
    </w:p>
    <w:p w:rsidR="00CC2865" w:rsidRDefault="00582974">
      <w:pPr>
        <w:pStyle w:val="BodyText"/>
        <w:rPr>
          <w:lang w:eastAsia="zh-CN"/>
        </w:rPr>
      </w:pPr>
      <w:r>
        <w:rPr>
          <w:lang w:eastAsia="zh-CN"/>
        </w:rPr>
        <w:t>防范系统性风险是今后金融工作的主线之一，公司将在做好内部风险管理的同时，完善市场风险监测指标体系，持续提升担保品管理服务水平，增强数据信息服务功能，推出并完善流动性管理工具，强化中债统计监测、担保品及信息服务等风险管理。另外，在防风险的同时也会继续深化创新。陈刚明称，下一步公司将丰富支持</w:t>
      </w:r>
      <w:r>
        <w:rPr>
          <w:lang w:eastAsia="zh-CN"/>
        </w:rPr>
        <w:t>“</w:t>
      </w:r>
      <w:r>
        <w:rPr>
          <w:lang w:eastAsia="zh-CN"/>
        </w:rPr>
        <w:t>一带一路</w:t>
      </w:r>
      <w:r>
        <w:rPr>
          <w:lang w:eastAsia="zh-CN"/>
        </w:rPr>
        <w:t>”</w:t>
      </w:r>
      <w:r>
        <w:rPr>
          <w:lang w:eastAsia="zh-CN"/>
        </w:rPr>
        <w:t>、上海国际金融中心建设等战略的服务体系，加快推动落实自贸区债券市场建设方案，推动跨境发行、结算、担保品及估值等核心功能落</w:t>
      </w:r>
      <w:r>
        <w:rPr>
          <w:lang w:eastAsia="zh-CN"/>
        </w:rPr>
        <w:t>地，紧跟政策方向，争取拓展与境外基础设施机构直联。</w:t>
      </w:r>
    </w:p>
    <w:p w:rsidR="00CC2865" w:rsidRDefault="00582974">
      <w:pPr>
        <w:pStyle w:val="BodyText"/>
      </w:pPr>
      <w:hyperlink r:id="rId12">
        <w:r>
          <w:t>http://kuaixun.stcn.com/2018/0118/13911373.shtml</w:t>
        </w:r>
      </w:hyperlink>
    </w:p>
    <w:p w:rsidR="00CC2865" w:rsidRDefault="00582974">
      <w:pPr>
        <w:pStyle w:val="Heading2"/>
      </w:pPr>
      <w:bookmarkStart w:id="6" w:name="保险"/>
      <w:r>
        <w:t>保险</w:t>
      </w:r>
      <w:bookmarkEnd w:id="6"/>
    </w:p>
    <w:p w:rsidR="00CC2865" w:rsidRDefault="00582974">
      <w:pPr>
        <w:pStyle w:val="Heading3"/>
        <w:rPr>
          <w:lang w:eastAsia="zh-CN"/>
        </w:rPr>
      </w:pPr>
      <w:bookmarkStart w:id="7" w:name="中国保监会印发打赢保险业防范化解重大风险攻坚战的总体方案"/>
      <w:r>
        <w:rPr>
          <w:lang w:eastAsia="zh-CN"/>
        </w:rPr>
        <w:t>中国保监会印发《打赢保险业防范化解重大风险攻坚战的总体方案》</w:t>
      </w:r>
      <w:bookmarkEnd w:id="7"/>
    </w:p>
    <w:p w:rsidR="00CC2865" w:rsidRDefault="00582974">
      <w:pPr>
        <w:pStyle w:val="FirstParagraph"/>
        <w:rPr>
          <w:lang w:eastAsia="zh-CN"/>
        </w:rPr>
      </w:pPr>
      <w:r>
        <w:rPr>
          <w:lang w:eastAsia="zh-CN"/>
        </w:rPr>
        <w:t>中国保监会近日印发《打赢保险业防范化解重大风险攻坚战的总体方案》（以下简称《方案》），《方案》提出，将用</w:t>
      </w:r>
      <w:r>
        <w:rPr>
          <w:lang w:eastAsia="zh-CN"/>
        </w:rPr>
        <w:t>3</w:t>
      </w:r>
      <w:r>
        <w:rPr>
          <w:lang w:eastAsia="zh-CN"/>
        </w:rPr>
        <w:t>年时间，做好保险业重点领域风险防范化解处置，坚决打击</w:t>
      </w:r>
      <w:r>
        <w:rPr>
          <w:lang w:eastAsia="zh-CN"/>
        </w:rPr>
        <w:t>违法违规行为，加强薄弱环节监管制度建设，进一步加强保险业风险防控，提升风险防范能力和水平，严守不发生系统性金融风险底线，推动行业高质量发展，切实打赢保险业防范化解重大风险攻坚战。</w:t>
      </w:r>
    </w:p>
    <w:p w:rsidR="00CC2865" w:rsidRDefault="00582974">
      <w:pPr>
        <w:pStyle w:val="BodyText"/>
        <w:rPr>
          <w:lang w:eastAsia="zh-CN"/>
        </w:rPr>
      </w:pPr>
      <w:r>
        <w:rPr>
          <w:lang w:eastAsia="zh-CN"/>
        </w:rPr>
        <w:t>《方案》指出，要围绕</w:t>
      </w:r>
      <w:r>
        <w:rPr>
          <w:lang w:eastAsia="zh-CN"/>
        </w:rPr>
        <w:t>“</w:t>
      </w:r>
      <w:r>
        <w:rPr>
          <w:lang w:eastAsia="zh-CN"/>
        </w:rPr>
        <w:t>强监管、防风险、治乱象、补短板、服务实体经济</w:t>
      </w:r>
      <w:r>
        <w:rPr>
          <w:lang w:eastAsia="zh-CN"/>
        </w:rPr>
        <w:t>”</w:t>
      </w:r>
      <w:r>
        <w:rPr>
          <w:lang w:eastAsia="zh-CN"/>
        </w:rPr>
        <w:t>，制定实施</w:t>
      </w:r>
      <w:r>
        <w:rPr>
          <w:lang w:eastAsia="zh-CN"/>
        </w:rPr>
        <w:t>“1+4”</w:t>
      </w:r>
      <w:r>
        <w:rPr>
          <w:lang w:eastAsia="zh-CN"/>
        </w:rPr>
        <w:t>系列文件，维护保险业稳定健康发展。积极化解存量风险，稳妥处置重点领域和重点公司风险，严控增量风险，对各类风险苗头和隐患采取有效监管措施，妥善应对来自行业内外的各种风险挑战。引导行业回归本源，推动业务结构转型，服务实体经济水平和能力得到有效提升。</w:t>
      </w:r>
      <w:r>
        <w:rPr>
          <w:lang w:eastAsia="zh-CN"/>
        </w:rPr>
        <w:t>加强监管队伍正风肃纪，彻底肃清项俊波流毒，重塑从严从实监管氛围。通过保监会系统和全行业共同努力，保险业风险防控工作取得了阶段性成效，行业总体风险可控，全行业防范和化解重大风险的能力和水平不断提升，守住了不发生系统性金融风险的底线。</w:t>
      </w:r>
    </w:p>
    <w:p w:rsidR="00CC2865" w:rsidRDefault="00582974">
      <w:pPr>
        <w:pStyle w:val="BodyText"/>
      </w:pPr>
      <w:hyperlink r:id="rId13">
        <w:r>
          <w:t>http://xw.sinoins.com/2018-01/17/content_252824.htm</w:t>
        </w:r>
      </w:hyperlink>
    </w:p>
    <w:p w:rsidR="00CC2865" w:rsidRDefault="00582974">
      <w:pPr>
        <w:pStyle w:val="Heading2"/>
        <w:rPr>
          <w:lang w:eastAsia="zh-CN"/>
        </w:rPr>
      </w:pPr>
      <w:bookmarkStart w:id="8" w:name="税收"/>
      <w:r>
        <w:rPr>
          <w:lang w:eastAsia="zh-CN"/>
        </w:rPr>
        <w:t>税收</w:t>
      </w:r>
      <w:bookmarkEnd w:id="8"/>
    </w:p>
    <w:p w:rsidR="00CC2865" w:rsidRDefault="00582974">
      <w:pPr>
        <w:pStyle w:val="Heading3"/>
        <w:rPr>
          <w:lang w:eastAsia="zh-CN"/>
        </w:rPr>
      </w:pPr>
      <w:bookmarkStart w:id="9" w:name="国家税务总局将微观模拟个税改革为税改方案制定提供量化依据"/>
      <w:r>
        <w:rPr>
          <w:lang w:eastAsia="zh-CN"/>
        </w:rPr>
        <w:t>国家税务总局将微观模拟个税改</w:t>
      </w:r>
      <w:r>
        <w:rPr>
          <w:lang w:eastAsia="zh-CN"/>
        </w:rPr>
        <w:t>革，为税改方案制定提供量化依据</w:t>
      </w:r>
      <w:bookmarkEnd w:id="9"/>
    </w:p>
    <w:p w:rsidR="00CC2865" w:rsidRDefault="00582974">
      <w:pPr>
        <w:pStyle w:val="FirstParagraph"/>
        <w:rPr>
          <w:lang w:eastAsia="zh-CN"/>
        </w:rPr>
      </w:pPr>
      <w:r>
        <w:rPr>
          <w:lang w:eastAsia="zh-CN"/>
        </w:rPr>
        <w:t>国家税务总局日前公布的《个人所得税微观模拟模型项目中标公告》（以下简称《中标公告》）指出，随着</w:t>
      </w:r>
      <w:r>
        <w:rPr>
          <w:lang w:eastAsia="zh-CN"/>
        </w:rPr>
        <w:t>“</w:t>
      </w:r>
      <w:r>
        <w:rPr>
          <w:lang w:eastAsia="zh-CN"/>
        </w:rPr>
        <w:t>十三五</w:t>
      </w:r>
      <w:r>
        <w:rPr>
          <w:lang w:eastAsia="zh-CN"/>
        </w:rPr>
        <w:t>”</w:t>
      </w:r>
      <w:r>
        <w:rPr>
          <w:lang w:eastAsia="zh-CN"/>
        </w:rPr>
        <w:t>规划进程的不断推进，财税和金融改革将成为</w:t>
      </w:r>
      <w:r>
        <w:rPr>
          <w:lang w:eastAsia="zh-CN"/>
        </w:rPr>
        <w:t>“</w:t>
      </w:r>
      <w:r>
        <w:rPr>
          <w:lang w:eastAsia="zh-CN"/>
        </w:rPr>
        <w:t>十三五</w:t>
      </w:r>
      <w:r>
        <w:rPr>
          <w:lang w:eastAsia="zh-CN"/>
        </w:rPr>
        <w:t>”</w:t>
      </w:r>
      <w:r>
        <w:rPr>
          <w:lang w:eastAsia="zh-CN"/>
        </w:rPr>
        <w:t>的重要改革领域，个</w:t>
      </w:r>
      <w:r>
        <w:rPr>
          <w:lang w:eastAsia="zh-CN"/>
        </w:rPr>
        <w:lastRenderedPageBreak/>
        <w:t>人所得税税制改革方案正是其中的关键环节。本项目构建的个人所得税微观模拟分析应用，将为改革方案的制定及实施提供科学、可靠的量化依据。</w:t>
      </w:r>
    </w:p>
    <w:p w:rsidR="00CC2865" w:rsidRDefault="00582974">
      <w:pPr>
        <w:pStyle w:val="BodyText"/>
        <w:rPr>
          <w:lang w:eastAsia="zh-CN"/>
        </w:rPr>
      </w:pPr>
      <w:r>
        <w:rPr>
          <w:lang w:eastAsia="zh-CN"/>
        </w:rPr>
        <w:t>《中标公告》显示，能够实现模拟的税改方案应包括：税率调整、免征额和累进级距的调整、扣除标准的调整、分类征收改为分类与综合相结合征收的调整。国家税务总局收入规划核算司有关负责人指</w:t>
      </w:r>
      <w:r>
        <w:rPr>
          <w:lang w:eastAsia="zh-CN"/>
        </w:rPr>
        <w:t>出，目前中国的个税政策不仅与国际上主要国家地区的政策有明显的差距，而且与中国经济发展水平和人民生活实际情况相比有一定的脱节，因此，需对个税的政策进行分析和研究。据介绍，</w:t>
      </w:r>
      <w:r>
        <w:rPr>
          <w:lang w:eastAsia="zh-CN"/>
        </w:rPr>
        <w:t>2017</w:t>
      </w:r>
      <w:r>
        <w:rPr>
          <w:lang w:eastAsia="zh-CN"/>
        </w:rPr>
        <w:t>年，根据税制改革的总体精神，国家税务总局收入规划核算司提出了个税微观模拟分析的需求，在现行税法计算器基础上，将关键的政策参数设置开放式端口，通过修改相应参数就能模拟出不同的个税政策改革方案。</w:t>
      </w:r>
    </w:p>
    <w:p w:rsidR="00CC2865" w:rsidRDefault="00582974">
      <w:pPr>
        <w:pStyle w:val="BodyText"/>
      </w:pPr>
      <w:hyperlink r:id="rId14">
        <w:r>
          <w:t>http://www.cfen.com.cn/cjxw/ss/201801/t20180104_2792454.html</w:t>
        </w:r>
      </w:hyperlink>
    </w:p>
    <w:p w:rsidR="00CC2865" w:rsidRDefault="00582974">
      <w:pPr>
        <w:pStyle w:val="Heading2"/>
        <w:rPr>
          <w:lang w:eastAsia="zh-CN"/>
        </w:rPr>
      </w:pPr>
      <w:bookmarkStart w:id="10" w:name="行业"/>
      <w:r>
        <w:rPr>
          <w:lang w:eastAsia="zh-CN"/>
        </w:rPr>
        <w:t>行业</w:t>
      </w:r>
      <w:bookmarkEnd w:id="10"/>
    </w:p>
    <w:p w:rsidR="00CC2865" w:rsidRDefault="00582974">
      <w:pPr>
        <w:pStyle w:val="Heading3"/>
        <w:rPr>
          <w:lang w:eastAsia="zh-CN"/>
        </w:rPr>
      </w:pPr>
      <w:bookmarkStart w:id="11" w:name="财政部发布政府采购代理机构管理暂行办法"/>
      <w:r>
        <w:rPr>
          <w:lang w:eastAsia="zh-CN"/>
        </w:rPr>
        <w:t>财政部发布《政府采购代理机构管理暂行办法》</w:t>
      </w:r>
      <w:bookmarkEnd w:id="11"/>
    </w:p>
    <w:p w:rsidR="00CC2865" w:rsidRDefault="00582974">
      <w:pPr>
        <w:pStyle w:val="FirstParagraph"/>
        <w:rPr>
          <w:lang w:eastAsia="zh-CN"/>
        </w:rPr>
      </w:pPr>
      <w:r>
        <w:rPr>
          <w:lang w:eastAsia="zh-CN"/>
        </w:rPr>
        <w:t>近日，财政部印发《政府采购代理机构管理暂行办法》（以下简称《办法》），从名录登记、</w:t>
      </w:r>
      <w:r>
        <w:rPr>
          <w:lang w:eastAsia="zh-CN"/>
        </w:rPr>
        <w:t xml:space="preserve"> </w:t>
      </w:r>
      <w:r>
        <w:rPr>
          <w:lang w:eastAsia="zh-CN"/>
        </w:rPr>
        <w:t>从业管理、信用评价及监督检查等方面，加强政府采购代理机构监督管理，促进政府采购代理机构规范发展。《办</w:t>
      </w:r>
      <w:r>
        <w:rPr>
          <w:lang w:eastAsia="zh-CN"/>
        </w:rPr>
        <w:t>法》自</w:t>
      </w:r>
      <w:r>
        <w:rPr>
          <w:lang w:eastAsia="zh-CN"/>
        </w:rPr>
        <w:t>2018</w:t>
      </w:r>
      <w:r>
        <w:rPr>
          <w:lang w:eastAsia="zh-CN"/>
        </w:rPr>
        <w:t>年</w:t>
      </w:r>
      <w:r>
        <w:rPr>
          <w:lang w:eastAsia="zh-CN"/>
        </w:rPr>
        <w:t>3</w:t>
      </w:r>
      <w:r>
        <w:rPr>
          <w:lang w:eastAsia="zh-CN"/>
        </w:rPr>
        <w:t>月</w:t>
      </w:r>
      <w:r>
        <w:rPr>
          <w:lang w:eastAsia="zh-CN"/>
        </w:rPr>
        <w:t>1</w:t>
      </w:r>
      <w:r>
        <w:rPr>
          <w:lang w:eastAsia="zh-CN"/>
        </w:rPr>
        <w:t>日施行。</w:t>
      </w:r>
    </w:p>
    <w:p w:rsidR="00CC2865" w:rsidRDefault="00582974">
      <w:pPr>
        <w:pStyle w:val="BodyText"/>
        <w:rPr>
          <w:lang w:eastAsia="zh-CN"/>
        </w:rPr>
      </w:pPr>
      <w:r>
        <w:rPr>
          <w:lang w:eastAsia="zh-CN"/>
        </w:rPr>
        <w:t>《办法》规定，代理机构代理政府采购业务应当具备以下条件：具有独立承担民事责任的能力；建立完善的政府采购内部监督管理制度；拥有不少于</w:t>
      </w:r>
      <w:r>
        <w:rPr>
          <w:lang w:eastAsia="zh-CN"/>
        </w:rPr>
        <w:t>5</w:t>
      </w:r>
      <w:r>
        <w:rPr>
          <w:lang w:eastAsia="zh-CN"/>
        </w:rPr>
        <w:t>名熟悉政府采购法律法规、具备编制采购文件和组织采购活动等相应能力的专职从业人员；具备独立办公场所和代理政府采购业务所必需的办公条件；在自有场所组织评审工作的，应当具备必要的评审场地和录音录像等监控设备设施并符合省级人民政府规定的标准。根据《办法》，代理机构实行名录登记管理。省级财政部门依托中国政府采购网省级分网建立政府采购代理机构名录。名录信息全</w:t>
      </w:r>
      <w:r>
        <w:rPr>
          <w:lang w:eastAsia="zh-CN"/>
        </w:rPr>
        <w:t>国共享并向社会公开。</w:t>
      </w:r>
    </w:p>
    <w:p w:rsidR="00CC2865" w:rsidRDefault="00582974">
      <w:pPr>
        <w:pStyle w:val="BodyText"/>
        <w:rPr>
          <w:lang w:eastAsia="zh-CN"/>
        </w:rPr>
      </w:pPr>
      <w:hyperlink r:id="rId15">
        <w:r>
          <w:rPr>
            <w:lang w:eastAsia="zh-CN"/>
          </w:rPr>
          <w:t>http://www.sohu.com/a/216288184_118392</w:t>
        </w:r>
      </w:hyperlink>
    </w:p>
    <w:p w:rsidR="00CC2865" w:rsidRDefault="00582974">
      <w:pPr>
        <w:pStyle w:val="Heading3"/>
        <w:rPr>
          <w:lang w:eastAsia="zh-CN"/>
        </w:rPr>
      </w:pPr>
      <w:bookmarkStart w:id="12" w:name="北京市商务委等九部门联合印发关于进一步促进展览业创新发展的实施意见"/>
      <w:r>
        <w:rPr>
          <w:lang w:eastAsia="zh-CN"/>
        </w:rPr>
        <w:t>北京市商务委等九部门联合印发《关于进一步促进展览业创新发展的实施意见》</w:t>
      </w:r>
      <w:bookmarkEnd w:id="12"/>
    </w:p>
    <w:p w:rsidR="00CC2865" w:rsidRDefault="00582974">
      <w:pPr>
        <w:pStyle w:val="FirstParagraph"/>
        <w:rPr>
          <w:lang w:eastAsia="zh-CN"/>
        </w:rPr>
      </w:pPr>
      <w:r>
        <w:rPr>
          <w:lang w:eastAsia="zh-CN"/>
        </w:rPr>
        <w:t>经市政府同意，市商务委联合市发展改革委、市公安局、市财政局、市规划国土委、市旅游委、市统计局、市知识产权局、市贸促会共同印发《关于促进展览业创新发展的实施意见》（以下简称《实施意见》）。</w:t>
      </w:r>
    </w:p>
    <w:p w:rsidR="00CC2865" w:rsidRDefault="00582974">
      <w:pPr>
        <w:pStyle w:val="BodyText"/>
        <w:rPr>
          <w:lang w:eastAsia="zh-CN"/>
        </w:rPr>
      </w:pPr>
      <w:r>
        <w:rPr>
          <w:lang w:eastAsia="zh-CN"/>
        </w:rPr>
        <w:t>《实施意见》首次提出展览业是服务北京</w:t>
      </w:r>
      <w:r>
        <w:rPr>
          <w:lang w:eastAsia="zh-CN"/>
        </w:rPr>
        <w:t>“</w:t>
      </w:r>
      <w:r>
        <w:rPr>
          <w:lang w:eastAsia="zh-CN"/>
        </w:rPr>
        <w:t>四个中心</w:t>
      </w:r>
      <w:r>
        <w:rPr>
          <w:lang w:eastAsia="zh-CN"/>
        </w:rPr>
        <w:t>”</w:t>
      </w:r>
      <w:r>
        <w:rPr>
          <w:lang w:eastAsia="zh-CN"/>
        </w:rPr>
        <w:t>建设的重要载体之一，已经成为构建现代市场体系和开放型经济体系的重要平台，具有服务经济、绿色经济、总部经济的产业特点，对社会和经济发展起到了引领、聚集、辐射的作用。并明确展览业发展要坚持服从服务于</w:t>
      </w:r>
      <w:r>
        <w:rPr>
          <w:lang w:eastAsia="zh-CN"/>
        </w:rPr>
        <w:t>“</w:t>
      </w:r>
      <w:r>
        <w:rPr>
          <w:lang w:eastAsia="zh-CN"/>
        </w:rPr>
        <w:t>四个中心</w:t>
      </w:r>
      <w:r>
        <w:rPr>
          <w:lang w:eastAsia="zh-CN"/>
        </w:rPr>
        <w:t>”</w:t>
      </w:r>
      <w:r>
        <w:rPr>
          <w:lang w:eastAsia="zh-CN"/>
        </w:rPr>
        <w:t>建设、坚持国际化发展方向、坚持市场导向、坚持区域协同发展等四条基本原则。《实施意见》结合我市展览业发展的现状和趋势，突出展览业创新发展和转型升级，明确了北京展览业发展的总体思路、基本原则、发展目标、重点任务和保障措施。</w:t>
      </w:r>
    </w:p>
    <w:p w:rsidR="00CC2865" w:rsidRDefault="00582974">
      <w:pPr>
        <w:pStyle w:val="BodyText"/>
      </w:pPr>
      <w:hyperlink r:id="rId16">
        <w:r>
          <w:t>http://www.gov.cn/xinwen/2018-01/16/content_5257113.htm</w:t>
        </w:r>
      </w:hyperlink>
    </w:p>
    <w:p w:rsidR="00CC2865" w:rsidRDefault="00582974">
      <w:pPr>
        <w:pStyle w:val="Heading3"/>
        <w:rPr>
          <w:lang w:eastAsia="zh-CN"/>
        </w:rPr>
      </w:pPr>
      <w:bookmarkStart w:id="13" w:name="国务院批复同意撤销深圳经济特区管理线"/>
      <w:r>
        <w:rPr>
          <w:lang w:eastAsia="zh-CN"/>
        </w:rPr>
        <w:t>国务院批复：同意撤销深圳经济特区管理线</w:t>
      </w:r>
      <w:bookmarkEnd w:id="13"/>
    </w:p>
    <w:p w:rsidR="00CC2865" w:rsidRDefault="00582974">
      <w:pPr>
        <w:pStyle w:val="FirstParagraph"/>
        <w:rPr>
          <w:lang w:eastAsia="zh-CN"/>
        </w:rPr>
      </w:pPr>
      <w:r>
        <w:rPr>
          <w:lang w:eastAsia="zh-CN"/>
        </w:rPr>
        <w:t>国务院近日发布关于同意撤销深圳经济特区管理线的批复。批复提到，为促进深圳经济特区一体化发展，结合特区建设发展面临的新形势新使命新任务，同意撤销深圳经济特区管理线。</w:t>
      </w:r>
    </w:p>
    <w:p w:rsidR="00CC2865" w:rsidRDefault="00582974">
      <w:pPr>
        <w:pStyle w:val="BodyText"/>
        <w:rPr>
          <w:lang w:eastAsia="zh-CN"/>
        </w:rPr>
      </w:pPr>
      <w:r>
        <w:rPr>
          <w:lang w:eastAsia="zh-CN"/>
        </w:rPr>
        <w:t>批复强调，深圳经济特区管理线撤销后，要进一步加强粤</w:t>
      </w:r>
      <w:r>
        <w:rPr>
          <w:lang w:eastAsia="zh-CN"/>
        </w:rPr>
        <w:t>港边界一线管控，强化基础设施建设，确保粤港边界持续稳定。批复指出，广东省和深圳市要认真做好经济特区管理线撤销相关工作，并以此为契机，实施深圳全市域统一的城乡规划建设管理，进一步优化城市功能布局，完善交通</w:t>
      </w:r>
      <w:r>
        <w:rPr>
          <w:lang w:eastAsia="zh-CN"/>
        </w:rPr>
        <w:lastRenderedPageBreak/>
        <w:t>基础设施，推进节约集约用地，强化环境保护和生态建设，有序提升公共产品和服务供给水平，实现更高质量的城市化，为新时期超大城市规划建设管理运营积累经验、当好示范。</w:t>
      </w:r>
    </w:p>
    <w:p w:rsidR="00CC2865" w:rsidRDefault="00582974">
      <w:pPr>
        <w:pStyle w:val="BodyText"/>
      </w:pPr>
      <w:hyperlink r:id="rId17">
        <w:r>
          <w:t>http://district.ce.cn/newarea/roll/201801/16/t20180116_27746822.shtml</w:t>
        </w:r>
      </w:hyperlink>
    </w:p>
    <w:p w:rsidR="00CC2865" w:rsidRDefault="00582974">
      <w:pPr>
        <w:pStyle w:val="Heading3"/>
        <w:rPr>
          <w:lang w:eastAsia="zh-CN"/>
        </w:rPr>
      </w:pPr>
      <w:bookmarkStart w:id="14" w:name="国土资源部发布国土资源部野外科学观测研究基地管理办法"/>
      <w:r>
        <w:rPr>
          <w:lang w:eastAsia="zh-CN"/>
        </w:rPr>
        <w:t>国土资源部发布《国土资源部野外科学观测研究基地管理办法》</w:t>
      </w:r>
      <w:bookmarkEnd w:id="14"/>
    </w:p>
    <w:p w:rsidR="00CC2865" w:rsidRDefault="00582974">
      <w:pPr>
        <w:pStyle w:val="FirstParagraph"/>
        <w:rPr>
          <w:lang w:eastAsia="zh-CN"/>
        </w:rPr>
      </w:pPr>
      <w:r>
        <w:rPr>
          <w:lang w:eastAsia="zh-CN"/>
        </w:rPr>
        <w:t>日前，国土资源部发布《国土资源部野外科学观测研究基地管理办法》（以下简称《管理办法》）。《管理办法》对国土资源部野外科学观测研究基地的建设、运行、管理、监督和评估等作出明确规定。</w:t>
      </w:r>
    </w:p>
    <w:p w:rsidR="00CC2865" w:rsidRDefault="00582974">
      <w:pPr>
        <w:pStyle w:val="BodyText"/>
        <w:rPr>
          <w:lang w:eastAsia="zh-CN"/>
        </w:rPr>
      </w:pPr>
      <w:r>
        <w:rPr>
          <w:lang w:eastAsia="zh-CN"/>
        </w:rPr>
        <w:t>《管理办法》明确，建设野外基地需具备明确的科学目标，长期持续开展观测、实验的仪器设备和配套设施以及中青年科</w:t>
      </w:r>
      <w:r>
        <w:rPr>
          <w:lang w:eastAsia="zh-CN"/>
        </w:rPr>
        <w:t>技人才队伍等条件。本《管理办法》颁布前，建设期</w:t>
      </w:r>
      <w:r>
        <w:rPr>
          <w:lang w:eastAsia="zh-CN"/>
        </w:rPr>
        <w:t>3</w:t>
      </w:r>
      <w:r>
        <w:rPr>
          <w:lang w:eastAsia="zh-CN"/>
        </w:rPr>
        <w:t>年以上且符合条件的野外基地可直接进入验收程序，通过验收后，纳入野外基地运行管理序列。国土资源部按照有关规划和实施方案，统筹部署新建野外基地计划。野外基地建设期限一般不超过</w:t>
      </w:r>
      <w:r>
        <w:rPr>
          <w:lang w:eastAsia="zh-CN"/>
        </w:rPr>
        <w:t>3</w:t>
      </w:r>
      <w:r>
        <w:rPr>
          <w:lang w:eastAsia="zh-CN"/>
        </w:rPr>
        <w:t>年。按期完成建设任务的野外基地，由所在地区主管单位负责组织验收，并将验收结果报国土资源部审核。通过验收的野外基地，纳入国土资源部野外科学观测研究基地运行名单，公开发布。</w:t>
      </w:r>
    </w:p>
    <w:p w:rsidR="00CC2865" w:rsidRDefault="00582974">
      <w:pPr>
        <w:pStyle w:val="BodyText"/>
      </w:pPr>
      <w:hyperlink r:id="rId18">
        <w:r>
          <w:t>http://www.gov.cn/xinwen/2018-01/14/content_5256458.htm</w:t>
        </w:r>
      </w:hyperlink>
    </w:p>
    <w:p w:rsidR="00CC2865" w:rsidRDefault="00582974">
      <w:pPr>
        <w:pStyle w:val="Heading2"/>
        <w:rPr>
          <w:lang w:eastAsia="zh-CN"/>
        </w:rPr>
      </w:pPr>
      <w:bookmarkStart w:id="15" w:name="并购"/>
      <w:r>
        <w:rPr>
          <w:lang w:eastAsia="zh-CN"/>
        </w:rPr>
        <w:t>并购</w:t>
      </w:r>
      <w:bookmarkEnd w:id="15"/>
    </w:p>
    <w:p w:rsidR="00CC2865" w:rsidRDefault="00582974">
      <w:pPr>
        <w:pStyle w:val="Heading3"/>
        <w:rPr>
          <w:lang w:eastAsia="zh-CN"/>
        </w:rPr>
      </w:pPr>
      <w:bookmarkStart w:id="16" w:name="银河生物拟携手远程心界介入医疗服务行业"/>
      <w:r>
        <w:rPr>
          <w:lang w:eastAsia="zh-CN"/>
        </w:rPr>
        <w:t>银河生物拟携手远程心界，介入医疗服务行业</w:t>
      </w:r>
      <w:bookmarkEnd w:id="16"/>
    </w:p>
    <w:p w:rsidR="00CC2865" w:rsidRDefault="00582974">
      <w:pPr>
        <w:pStyle w:val="FirstParagraph"/>
        <w:rPr>
          <w:lang w:eastAsia="zh-CN"/>
        </w:rPr>
      </w:pPr>
      <w:r>
        <w:rPr>
          <w:lang w:eastAsia="zh-CN"/>
        </w:rPr>
        <w:t>2018</w:t>
      </w:r>
      <w:r>
        <w:rPr>
          <w:lang w:eastAsia="zh-CN"/>
        </w:rPr>
        <w:t>年</w:t>
      </w:r>
      <w:r>
        <w:rPr>
          <w:lang w:eastAsia="zh-CN"/>
        </w:rPr>
        <w:t>1</w:t>
      </w:r>
      <w:r>
        <w:rPr>
          <w:lang w:eastAsia="zh-CN"/>
        </w:rPr>
        <w:t>月</w:t>
      </w:r>
      <w:r>
        <w:rPr>
          <w:lang w:eastAsia="zh-CN"/>
        </w:rPr>
        <w:t>16</w:t>
      </w:r>
      <w:r>
        <w:rPr>
          <w:lang w:eastAsia="zh-CN"/>
        </w:rPr>
        <w:t>日晚，银河生物发布了正式申请复牌的公告，同时也披露了重大资产重组的相关进展，称其将继续推动对远程心界的重组事项，公司拟收购北京远程心界医院管理有限公司不低于</w:t>
      </w:r>
      <w:r>
        <w:rPr>
          <w:lang w:eastAsia="zh-CN"/>
        </w:rPr>
        <w:t>66.776%</w:t>
      </w:r>
      <w:r>
        <w:rPr>
          <w:lang w:eastAsia="zh-CN"/>
        </w:rPr>
        <w:t>的股权。</w:t>
      </w:r>
    </w:p>
    <w:p w:rsidR="00CC2865" w:rsidRDefault="00582974">
      <w:pPr>
        <w:pStyle w:val="BodyText"/>
        <w:rPr>
          <w:lang w:eastAsia="zh-CN"/>
        </w:rPr>
      </w:pPr>
      <w:r>
        <w:rPr>
          <w:lang w:eastAsia="zh-CN"/>
        </w:rPr>
        <w:t>根据银河生物同日披露的《关于进一步落实公司发展战略规划暨重点推进</w:t>
      </w:r>
      <w:r>
        <w:rPr>
          <w:lang w:eastAsia="zh-CN"/>
        </w:rPr>
        <w:t>CAR-T</w:t>
      </w:r>
      <w:r>
        <w:rPr>
          <w:lang w:eastAsia="zh-CN"/>
        </w:rPr>
        <w:t>等生物药品临床及上市工作的意见》，未落实公司发展规划</w:t>
      </w:r>
      <w:r>
        <w:rPr>
          <w:lang w:eastAsia="zh-CN"/>
        </w:rPr>
        <w:t>，公司将重点关注具备较好市场前景和业绩预期的成熟型、成长型企业，特别是医药医疗企业的并购机会。根据相关资料显示，远程心界近年业务增长迅速，业务规模不断扩大，符合银河生物对并购标的的要求。本次交易完成后，将有利于尽快提升上市公司的业绩水平。截至目前，银河生物已经向远程视界集团支付合作订金</w:t>
      </w:r>
      <w:r>
        <w:rPr>
          <w:lang w:eastAsia="zh-CN"/>
        </w:rPr>
        <w:t>30,000</w:t>
      </w:r>
      <w:r>
        <w:rPr>
          <w:lang w:eastAsia="zh-CN"/>
        </w:rPr>
        <w:t>万元，并完成远程视界集团持有远程心界</w:t>
      </w:r>
      <w:r>
        <w:rPr>
          <w:lang w:eastAsia="zh-CN"/>
        </w:rPr>
        <w:t>15%</w:t>
      </w:r>
      <w:r>
        <w:rPr>
          <w:lang w:eastAsia="zh-CN"/>
        </w:rPr>
        <w:t>的股权的质押登记。同时，银河生物已与并购贷款的资金方达成合作意向，在重组方案获批后提供并购资金。</w:t>
      </w:r>
    </w:p>
    <w:p w:rsidR="00CC2865" w:rsidRDefault="00582974">
      <w:pPr>
        <w:pStyle w:val="BodyText"/>
      </w:pPr>
      <w:hyperlink r:id="rId19">
        <w:r>
          <w:t>http://company.stcn.com/2018/0115/13904225.shtml</w:t>
        </w:r>
      </w:hyperlink>
    </w:p>
    <w:p w:rsidR="00CC2865" w:rsidRDefault="00582974">
      <w:pPr>
        <w:pStyle w:val="Heading3"/>
      </w:pPr>
      <w:bookmarkStart w:id="17" w:name="日出东方拟收购帅康电器15股权两次收购后持股达90"/>
      <w:r>
        <w:t>日出东方拟收购帅康电器</w:t>
      </w:r>
      <w:r>
        <w:t>15%</w:t>
      </w:r>
      <w:r>
        <w:t>股权，两次收购后持股达</w:t>
      </w:r>
      <w:r>
        <w:t>90%</w:t>
      </w:r>
      <w:bookmarkEnd w:id="17"/>
    </w:p>
    <w:p w:rsidR="00CC2865" w:rsidRDefault="00582974">
      <w:pPr>
        <w:pStyle w:val="FirstParagraph"/>
        <w:rPr>
          <w:lang w:eastAsia="zh-CN"/>
        </w:rPr>
      </w:pPr>
      <w:r>
        <w:rPr>
          <w:lang w:eastAsia="zh-CN"/>
        </w:rPr>
        <w:t>2018</w:t>
      </w:r>
      <w:r>
        <w:rPr>
          <w:lang w:eastAsia="zh-CN"/>
        </w:rPr>
        <w:t>年</w:t>
      </w:r>
      <w:r>
        <w:rPr>
          <w:lang w:eastAsia="zh-CN"/>
        </w:rPr>
        <w:t>1</w:t>
      </w:r>
      <w:r>
        <w:rPr>
          <w:lang w:eastAsia="zh-CN"/>
        </w:rPr>
        <w:t>月</w:t>
      </w:r>
      <w:r>
        <w:rPr>
          <w:lang w:eastAsia="zh-CN"/>
        </w:rPr>
        <w:t>13</w:t>
      </w:r>
      <w:r>
        <w:rPr>
          <w:lang w:eastAsia="zh-CN"/>
        </w:rPr>
        <w:t>日，日出东方发布公告称，公司拟通过支付现金人民币</w:t>
      </w:r>
      <w:r>
        <w:rPr>
          <w:lang w:eastAsia="zh-CN"/>
        </w:rPr>
        <w:t>1.62</w:t>
      </w:r>
      <w:r>
        <w:rPr>
          <w:lang w:eastAsia="zh-CN"/>
        </w:rPr>
        <w:t>亿元收购浙江帅康电气股份有限公司（以下简称</w:t>
      </w:r>
      <w:r>
        <w:rPr>
          <w:lang w:eastAsia="zh-CN"/>
        </w:rPr>
        <w:t>“</w:t>
      </w:r>
      <w:r>
        <w:rPr>
          <w:lang w:eastAsia="zh-CN"/>
        </w:rPr>
        <w:t>帅康电器</w:t>
      </w:r>
      <w:r>
        <w:rPr>
          <w:lang w:eastAsia="zh-CN"/>
        </w:rPr>
        <w:t>”</w:t>
      </w:r>
      <w:r>
        <w:rPr>
          <w:lang w:eastAsia="zh-CN"/>
        </w:rPr>
        <w:t>）</w:t>
      </w:r>
      <w:r>
        <w:rPr>
          <w:lang w:eastAsia="zh-CN"/>
        </w:rPr>
        <w:t>15%</w:t>
      </w:r>
      <w:r>
        <w:rPr>
          <w:lang w:eastAsia="zh-CN"/>
        </w:rPr>
        <w:t>的股权。本次交易完成后，公司将持有帅康电气</w:t>
      </w:r>
      <w:r>
        <w:rPr>
          <w:lang w:eastAsia="zh-CN"/>
        </w:rPr>
        <w:t>90%</w:t>
      </w:r>
      <w:r>
        <w:rPr>
          <w:lang w:eastAsia="zh-CN"/>
        </w:rPr>
        <w:t>股份。</w:t>
      </w:r>
    </w:p>
    <w:p w:rsidR="00CC2865" w:rsidRDefault="00582974">
      <w:pPr>
        <w:pStyle w:val="BodyText"/>
        <w:rPr>
          <w:lang w:eastAsia="zh-CN"/>
        </w:rPr>
      </w:pPr>
      <w:r>
        <w:rPr>
          <w:lang w:eastAsia="zh-CN"/>
        </w:rPr>
        <w:t>对于此次收购，日出东方表示，帅康电气为日出东方原有控股子公司，股权收购完成后，更有利于公司对控股公司经</w:t>
      </w:r>
      <w:r>
        <w:rPr>
          <w:lang w:eastAsia="zh-CN"/>
        </w:rPr>
        <w:t>营管理的规范，推动公司厨电产业的进一步发展。事实上，近年来，厨电产业竞争尤为激烈，包括方太、老板、万和、华帝等品牌强势崛起，使得帅康电器在竞争中掉队，坠入了厨电产业第二阵营。而被日出东方收购后，帅康电器能否借助上市公司的资金实力和渠道资源，加大其在行业中的竞争力，有待市场进一步检验。</w:t>
      </w:r>
    </w:p>
    <w:p w:rsidR="00CC2865" w:rsidRDefault="00582974">
      <w:pPr>
        <w:pStyle w:val="BodyText"/>
      </w:pPr>
      <w:hyperlink r:id="rId20">
        <w:r>
          <w:t>http://company.stcn.com/2018/0115/13901825.sh</w:t>
        </w:r>
        <w:r>
          <w:t>tml</w:t>
        </w:r>
      </w:hyperlink>
    </w:p>
    <w:p w:rsidR="00CC2865" w:rsidRDefault="00582974">
      <w:pPr>
        <w:pStyle w:val="Heading3"/>
      </w:pPr>
      <w:bookmarkStart w:id="18" w:name="永清环保10亿元揽入危废处置业务"/>
      <w:r>
        <w:lastRenderedPageBreak/>
        <w:t>永清环保</w:t>
      </w:r>
      <w:r>
        <w:t>10</w:t>
      </w:r>
      <w:r>
        <w:t>亿元揽入危废处置业务</w:t>
      </w:r>
      <w:bookmarkEnd w:id="18"/>
    </w:p>
    <w:p w:rsidR="00CC2865" w:rsidRDefault="00582974">
      <w:pPr>
        <w:pStyle w:val="FirstParagraph"/>
        <w:rPr>
          <w:lang w:eastAsia="zh-CN"/>
        </w:rPr>
      </w:pPr>
      <w:r>
        <w:rPr>
          <w:lang w:eastAsia="zh-CN"/>
        </w:rPr>
        <w:t>近日披露的修订版重组预案显示，永清环保拟以</w:t>
      </w:r>
      <w:r>
        <w:rPr>
          <w:lang w:eastAsia="zh-CN"/>
        </w:rPr>
        <w:t>10.02</w:t>
      </w:r>
      <w:r>
        <w:rPr>
          <w:lang w:eastAsia="zh-CN"/>
        </w:rPr>
        <w:t>元</w:t>
      </w:r>
      <w:r>
        <w:rPr>
          <w:lang w:eastAsia="zh-CN"/>
        </w:rPr>
        <w:t>/</w:t>
      </w:r>
      <w:r>
        <w:rPr>
          <w:lang w:eastAsia="zh-CN"/>
        </w:rPr>
        <w:t>股价格发行股份，收购康博固废</w:t>
      </w:r>
      <w:r>
        <w:rPr>
          <w:lang w:eastAsia="zh-CN"/>
        </w:rPr>
        <w:t>100%</w:t>
      </w:r>
      <w:r>
        <w:rPr>
          <w:lang w:eastAsia="zh-CN"/>
        </w:rPr>
        <w:t>股权，并定于</w:t>
      </w:r>
      <w:r>
        <w:rPr>
          <w:lang w:eastAsia="zh-CN"/>
        </w:rPr>
        <w:t>2018</w:t>
      </w:r>
      <w:r>
        <w:rPr>
          <w:lang w:eastAsia="zh-CN"/>
        </w:rPr>
        <w:t>年</w:t>
      </w:r>
      <w:r>
        <w:rPr>
          <w:lang w:eastAsia="zh-CN"/>
        </w:rPr>
        <w:t>1</w:t>
      </w:r>
      <w:r>
        <w:rPr>
          <w:lang w:eastAsia="zh-CN"/>
        </w:rPr>
        <w:t>月</w:t>
      </w:r>
      <w:r>
        <w:rPr>
          <w:lang w:eastAsia="zh-CN"/>
        </w:rPr>
        <w:t>15</w:t>
      </w:r>
      <w:r>
        <w:rPr>
          <w:lang w:eastAsia="zh-CN"/>
        </w:rPr>
        <w:t>日复牌。康博固废</w:t>
      </w:r>
      <w:r>
        <w:rPr>
          <w:lang w:eastAsia="zh-CN"/>
        </w:rPr>
        <w:t>100%</w:t>
      </w:r>
      <w:r>
        <w:rPr>
          <w:lang w:eastAsia="zh-CN"/>
        </w:rPr>
        <w:t>股权作价</w:t>
      </w:r>
      <w:r>
        <w:rPr>
          <w:lang w:eastAsia="zh-CN"/>
        </w:rPr>
        <w:t>10.75</w:t>
      </w:r>
      <w:r>
        <w:rPr>
          <w:lang w:eastAsia="zh-CN"/>
        </w:rPr>
        <w:t>亿元，此前由杭湘鸿鹄持股</w:t>
      </w:r>
      <w:r>
        <w:rPr>
          <w:lang w:eastAsia="zh-CN"/>
        </w:rPr>
        <w:t>84.27%</w:t>
      </w:r>
      <w:r>
        <w:rPr>
          <w:lang w:eastAsia="zh-CN"/>
        </w:rPr>
        <w:t>，永清集团持股</w:t>
      </w:r>
      <w:r>
        <w:rPr>
          <w:lang w:eastAsia="zh-CN"/>
        </w:rPr>
        <w:t>15.73%</w:t>
      </w:r>
      <w:r>
        <w:rPr>
          <w:lang w:eastAsia="zh-CN"/>
        </w:rPr>
        <w:t>。借本次收购，永清环保将在稳健提升盈利水平的同时，进一步向环保运营类公司转型。</w:t>
      </w:r>
    </w:p>
    <w:p w:rsidR="00CC2865" w:rsidRDefault="00582974">
      <w:pPr>
        <w:pStyle w:val="BodyText"/>
        <w:rPr>
          <w:lang w:eastAsia="zh-CN"/>
        </w:rPr>
      </w:pPr>
      <w:r>
        <w:rPr>
          <w:lang w:eastAsia="zh-CN"/>
        </w:rPr>
        <w:t>以往，永清环保以</w:t>
      </w:r>
      <w:r>
        <w:rPr>
          <w:lang w:eastAsia="zh-CN"/>
        </w:rPr>
        <w:t>EPC</w:t>
      </w:r>
      <w:r>
        <w:rPr>
          <w:lang w:eastAsia="zh-CN"/>
        </w:rPr>
        <w:t>（工程总承包）为主。</w:t>
      </w:r>
      <w:r>
        <w:rPr>
          <w:lang w:eastAsia="zh-CN"/>
        </w:rPr>
        <w:t>EPC</w:t>
      </w:r>
      <w:r>
        <w:rPr>
          <w:lang w:eastAsia="zh-CN"/>
        </w:rPr>
        <w:t>业务尽管业绩弹性大，但业绩的持续性与稳定性不够。随着不断加大垃圾发电业务比重，及本次收购的危废处置资产，永清环保将持续增加环保运营业务的占比。在永清环保相关人士看来，持续抓好</w:t>
      </w:r>
      <w:r>
        <w:rPr>
          <w:lang w:eastAsia="zh-CN"/>
        </w:rPr>
        <w:t>EPC</w:t>
      </w:r>
      <w:r>
        <w:rPr>
          <w:lang w:eastAsia="zh-CN"/>
        </w:rPr>
        <w:t>业务的同时，进一步增加环保运营类业务，有助于提升稳定现金流及盈利，使得环保业务更趋稳健。据了解，危废处置在工艺、原料配比上具有一定难点，不少企业产能利用率不足</w:t>
      </w:r>
      <w:r>
        <w:rPr>
          <w:lang w:eastAsia="zh-CN"/>
        </w:rPr>
        <w:t>50%</w:t>
      </w:r>
      <w:r>
        <w:rPr>
          <w:lang w:eastAsia="zh-CN"/>
        </w:rPr>
        <w:t>，具备较大改良空间。</w:t>
      </w:r>
    </w:p>
    <w:p w:rsidR="00CC2865" w:rsidRDefault="00582974">
      <w:pPr>
        <w:pStyle w:val="BodyText"/>
      </w:pPr>
      <w:hyperlink r:id="rId21">
        <w:r>
          <w:t>http://company.stcn.com/2018/0115/13901810.shtml</w:t>
        </w:r>
      </w:hyperlink>
    </w:p>
    <w:p w:rsidR="00CC2865" w:rsidRDefault="00582974">
      <w:pPr>
        <w:pStyle w:val="Heading3"/>
      </w:pPr>
      <w:bookmarkStart w:id="19" w:name="富临运业拟收购泛远国际100股权"/>
      <w:r>
        <w:t>富临运业拟收购泛远国际</w:t>
      </w:r>
      <w:r>
        <w:t>100%</w:t>
      </w:r>
      <w:r>
        <w:t>股权</w:t>
      </w:r>
      <w:bookmarkEnd w:id="19"/>
    </w:p>
    <w:p w:rsidR="00CC2865" w:rsidRDefault="00582974">
      <w:pPr>
        <w:pStyle w:val="FirstParagraph"/>
        <w:rPr>
          <w:lang w:eastAsia="zh-CN"/>
        </w:rPr>
      </w:pPr>
      <w:r>
        <w:rPr>
          <w:lang w:eastAsia="zh-CN"/>
        </w:rPr>
        <w:t>停牌近</w:t>
      </w:r>
      <w:r>
        <w:rPr>
          <w:lang w:eastAsia="zh-CN"/>
        </w:rPr>
        <w:t>2</w:t>
      </w:r>
      <w:r>
        <w:rPr>
          <w:lang w:eastAsia="zh-CN"/>
        </w:rPr>
        <w:t>个月后，富临运业近日在重组进展公告中透露，公司拟以发行股份及支付现金的方式，购买杭州泛远国际物流股份有限公司（以下简称</w:t>
      </w:r>
      <w:r>
        <w:rPr>
          <w:lang w:eastAsia="zh-CN"/>
        </w:rPr>
        <w:t>“</w:t>
      </w:r>
      <w:r>
        <w:rPr>
          <w:lang w:eastAsia="zh-CN"/>
        </w:rPr>
        <w:t>泛远国际</w:t>
      </w:r>
      <w:r>
        <w:rPr>
          <w:lang w:eastAsia="zh-CN"/>
        </w:rPr>
        <w:t>”</w:t>
      </w:r>
      <w:r>
        <w:rPr>
          <w:lang w:eastAsia="zh-CN"/>
        </w:rPr>
        <w:t>）</w:t>
      </w:r>
      <w:r>
        <w:rPr>
          <w:lang w:eastAsia="zh-CN"/>
        </w:rPr>
        <w:t>100%</w:t>
      </w:r>
      <w:r>
        <w:rPr>
          <w:lang w:eastAsia="zh-CN"/>
        </w:rPr>
        <w:t>股权。公司表示，其已与交易对手签订《重大资产重组框架协议》，并就本次交易达成初步意向。</w:t>
      </w:r>
    </w:p>
    <w:p w:rsidR="00CC2865" w:rsidRDefault="00582974">
      <w:pPr>
        <w:pStyle w:val="BodyText"/>
        <w:rPr>
          <w:lang w:eastAsia="zh-CN"/>
        </w:rPr>
      </w:pPr>
      <w:r>
        <w:rPr>
          <w:lang w:eastAsia="zh-CN"/>
        </w:rPr>
        <w:t>资料显示，泛远国际控股股东为浙江泛远控股集团有限公司（以下简称</w:t>
      </w:r>
      <w:r>
        <w:rPr>
          <w:lang w:eastAsia="zh-CN"/>
        </w:rPr>
        <w:t>“</w:t>
      </w:r>
      <w:r>
        <w:rPr>
          <w:lang w:eastAsia="zh-CN"/>
        </w:rPr>
        <w:t>泛远集团</w:t>
      </w:r>
      <w:r>
        <w:rPr>
          <w:lang w:eastAsia="zh-CN"/>
        </w:rPr>
        <w:t>”</w:t>
      </w:r>
      <w:r>
        <w:rPr>
          <w:lang w:eastAsia="zh-CN"/>
        </w:rPr>
        <w:t>），实际控制人为自然人王泉。泛</w:t>
      </w:r>
      <w:r>
        <w:rPr>
          <w:lang w:eastAsia="zh-CN"/>
        </w:rPr>
        <w:t>远国际主要从事以国际货运代理业务为核心的跨境综合物流服务，致力于打造以涵盖国际货物运输所有业务门类的操作平台为核心，集仓储、分拨、配送、物流解决方案为一体，以跨境物流和全球仓储服务为基础的一站式集成跨境物流解决方案供应商。官网信息显示，泛远集团始创于</w:t>
      </w:r>
      <w:r>
        <w:rPr>
          <w:lang w:eastAsia="zh-CN"/>
        </w:rPr>
        <w:t>2000</w:t>
      </w:r>
      <w:r>
        <w:rPr>
          <w:lang w:eastAsia="zh-CN"/>
        </w:rPr>
        <w:t>年</w:t>
      </w:r>
      <w:r>
        <w:rPr>
          <w:lang w:eastAsia="zh-CN"/>
        </w:rPr>
        <w:t>1</w:t>
      </w:r>
      <w:r>
        <w:rPr>
          <w:lang w:eastAsia="zh-CN"/>
        </w:rPr>
        <w:t>月，总部位于杭州，是一家专业提供跨境电商综合服务的高技术企业。</w:t>
      </w:r>
    </w:p>
    <w:p w:rsidR="00CC2865" w:rsidRDefault="00582974">
      <w:pPr>
        <w:pStyle w:val="BodyText"/>
      </w:pPr>
      <w:hyperlink r:id="rId22">
        <w:r>
          <w:t>http://company.stcn.com/2</w:t>
        </w:r>
        <w:r>
          <w:t>018/0112/13897981.shtml</w:t>
        </w:r>
      </w:hyperlink>
    </w:p>
    <w:p w:rsidR="00CC2865" w:rsidRDefault="00582974">
      <w:pPr>
        <w:pStyle w:val="Heading3"/>
      </w:pPr>
      <w:bookmarkStart w:id="20" w:name="新开源牵手永泰生物将转化十多种生物制剂产品"/>
      <w:r>
        <w:t>新开源牵手永泰生物，将转化十多种生物制剂产品</w:t>
      </w:r>
      <w:bookmarkEnd w:id="20"/>
    </w:p>
    <w:p w:rsidR="00CC2865" w:rsidRDefault="00582974">
      <w:pPr>
        <w:pStyle w:val="FirstParagraph"/>
        <w:rPr>
          <w:lang w:eastAsia="zh-CN"/>
        </w:rPr>
      </w:pPr>
      <w:r>
        <w:rPr>
          <w:lang w:eastAsia="zh-CN"/>
        </w:rPr>
        <w:t>2018</w:t>
      </w:r>
      <w:r>
        <w:rPr>
          <w:lang w:eastAsia="zh-CN"/>
        </w:rPr>
        <w:t>年</w:t>
      </w:r>
      <w:r>
        <w:rPr>
          <w:lang w:eastAsia="zh-CN"/>
        </w:rPr>
        <w:t>1</w:t>
      </w:r>
      <w:r>
        <w:rPr>
          <w:lang w:eastAsia="zh-CN"/>
        </w:rPr>
        <w:t>月</w:t>
      </w:r>
      <w:r>
        <w:rPr>
          <w:lang w:eastAsia="zh-CN"/>
        </w:rPr>
        <w:t>14</w:t>
      </w:r>
      <w:r>
        <w:rPr>
          <w:lang w:eastAsia="zh-CN"/>
        </w:rPr>
        <w:t>日晚间，新开源公告称，与北京永泰生物制品有限公司（以下简称</w:t>
      </w:r>
      <w:r>
        <w:rPr>
          <w:lang w:eastAsia="zh-CN"/>
        </w:rPr>
        <w:t>“</w:t>
      </w:r>
      <w:r>
        <w:rPr>
          <w:lang w:eastAsia="zh-CN"/>
        </w:rPr>
        <w:t>永泰生物</w:t>
      </w:r>
      <w:r>
        <w:rPr>
          <w:lang w:eastAsia="zh-CN"/>
        </w:rPr>
        <w:t>”</w:t>
      </w:r>
      <w:r>
        <w:rPr>
          <w:lang w:eastAsia="zh-CN"/>
        </w:rPr>
        <w:t>）签订了《战略合作框架协议》，利用新开源上市公司品牌、渠道及现有资源，结合永泰生物的研发转化能力，实现强强合作、优势互补。</w:t>
      </w:r>
    </w:p>
    <w:p w:rsidR="00CC2865" w:rsidRDefault="00582974">
      <w:pPr>
        <w:pStyle w:val="BodyText"/>
        <w:rPr>
          <w:lang w:eastAsia="zh-CN"/>
        </w:rPr>
      </w:pPr>
      <w:r>
        <w:rPr>
          <w:lang w:eastAsia="zh-CN"/>
        </w:rPr>
        <w:t>双方此次合作，是基于新开源重金收购的美国</w:t>
      </w:r>
      <w:proofErr w:type="spellStart"/>
      <w:r>
        <w:rPr>
          <w:lang w:eastAsia="zh-CN"/>
        </w:rPr>
        <w:t>BioVision</w:t>
      </w:r>
      <w:proofErr w:type="spellEnd"/>
      <w:r>
        <w:rPr>
          <w:lang w:eastAsia="zh-CN"/>
        </w:rPr>
        <w:t>资产。本次与永泰生物的协议中约定，新开源收购</w:t>
      </w:r>
      <w:proofErr w:type="spellStart"/>
      <w:r>
        <w:rPr>
          <w:lang w:eastAsia="zh-CN"/>
        </w:rPr>
        <w:t>BioVision</w:t>
      </w:r>
      <w:proofErr w:type="spellEnd"/>
      <w:r>
        <w:rPr>
          <w:lang w:eastAsia="zh-CN"/>
        </w:rPr>
        <w:t>成功后，永泰生物与</w:t>
      </w:r>
      <w:proofErr w:type="spellStart"/>
      <w:r>
        <w:rPr>
          <w:lang w:eastAsia="zh-CN"/>
        </w:rPr>
        <w:t>BioVision</w:t>
      </w:r>
      <w:proofErr w:type="spellEnd"/>
      <w:r>
        <w:rPr>
          <w:lang w:eastAsia="zh-CN"/>
        </w:rPr>
        <w:t>将在重组蛋白与酶、生化药品、生物活性小分子、干细胞</w:t>
      </w:r>
      <w:r>
        <w:rPr>
          <w:lang w:eastAsia="zh-CN"/>
        </w:rPr>
        <w:t>研究等方面展开深度全球化合作。同时，永泰生物参与新开源收购</w:t>
      </w:r>
      <w:proofErr w:type="spellStart"/>
      <w:r>
        <w:rPr>
          <w:lang w:eastAsia="zh-CN"/>
        </w:rPr>
        <w:t>BioVision</w:t>
      </w:r>
      <w:proofErr w:type="spellEnd"/>
      <w:r>
        <w:rPr>
          <w:lang w:eastAsia="zh-CN"/>
        </w:rPr>
        <w:t>后的相关生物制剂产品的中国临床转化申报工作，尤其是与细胞免疫治疗相关制剂的转化，具体转化产品不少于十种。新开源表示，双方合作将对公司的精准医疗领域业务发展产生积极影响，有利于挖掘新的利润增长点。</w:t>
      </w:r>
    </w:p>
    <w:p w:rsidR="00CC2865" w:rsidRDefault="00582974">
      <w:pPr>
        <w:pStyle w:val="BodyText"/>
      </w:pPr>
      <w:hyperlink r:id="rId23">
        <w:r>
          <w:t>http://company.stcn.com/2018/0115/13901802.shtml</w:t>
        </w:r>
      </w:hyperlink>
    </w:p>
    <w:p w:rsidR="00CC2865" w:rsidRDefault="00582974">
      <w:pPr>
        <w:pStyle w:val="DisclaimerBold"/>
      </w:pPr>
      <w:r>
        <w:t>此法讯</w:t>
      </w:r>
      <w:r>
        <w:t>仅为提供相关资料信息之用，其内容并</w:t>
      </w:r>
    </w:p>
    <w:p w:rsidR="00CC2865" w:rsidRDefault="00582974">
      <w:pPr>
        <w:pStyle w:val="Disclaimer"/>
        <w:rPr>
          <w:lang w:eastAsia="zh-CN"/>
        </w:rPr>
      </w:pPr>
      <w:r>
        <w:rPr>
          <w:lang w:eastAsia="zh-CN"/>
        </w:rPr>
        <w:t>不构成法律建议及个案的法律分析。</w:t>
      </w:r>
    </w:p>
    <w:p w:rsidR="00CC2865" w:rsidRDefault="00582974">
      <w:pPr>
        <w:pStyle w:val="Disclaimer"/>
        <w:rPr>
          <w:lang w:eastAsia="zh-CN"/>
        </w:rPr>
      </w:pPr>
      <w:r>
        <w:rPr>
          <w:lang w:eastAsia="zh-CN"/>
        </w:rPr>
        <w:t>此法讯的发送并不是为了在易周律师行与用户或浏览者之间建立一种律师与客户之关系。</w:t>
      </w:r>
    </w:p>
    <w:p w:rsidR="00CC2865" w:rsidRDefault="00582974">
      <w:pPr>
        <w:pStyle w:val="Disclaimer"/>
        <w:rPr>
          <w:lang w:eastAsia="zh-CN"/>
        </w:rPr>
      </w:pPr>
      <w:r>
        <w:rPr>
          <w:lang w:eastAsia="zh-CN"/>
        </w:rPr>
        <w:t>易周律师行并不对可从互联网获得的任何第三方内容负责。</w:t>
      </w:r>
    </w:p>
    <w:p w:rsidR="00CC2865" w:rsidRDefault="00582974">
      <w:pPr>
        <w:pStyle w:val="Disclaimer"/>
        <w:rPr>
          <w:lang w:eastAsia="zh-CN"/>
        </w:rPr>
      </w:pPr>
      <w:r>
        <w:rPr>
          <w:lang w:eastAsia="zh-CN"/>
        </w:rPr>
        <w:t>如果您不希望收到该法讯，请电邮</w:t>
      </w:r>
      <w:r>
        <w:rPr>
          <w:lang w:eastAsia="zh-CN"/>
        </w:rPr>
        <w:t xml:space="preserve">  </w:t>
      </w:r>
      <w:hyperlink r:id="rId24">
        <w:r>
          <w:rPr>
            <w:lang w:eastAsia="zh-CN"/>
          </w:rPr>
          <w:t>unsubscribe@charltonslaw.com</w:t>
        </w:r>
      </w:hyperlink>
    </w:p>
    <w:p w:rsidR="00CC2865" w:rsidRDefault="00582974">
      <w:pPr>
        <w:pStyle w:val="BlackStrips"/>
      </w:pPr>
      <w:r>
        <w:t xml:space="preserve">Charltons - </w:t>
      </w:r>
      <w:proofErr w:type="spellStart"/>
      <w:r>
        <w:t>法讯</w:t>
      </w:r>
      <w:proofErr w:type="spellEnd"/>
      <w:r>
        <w:t xml:space="preserve"> - </w:t>
      </w:r>
      <w:r>
        <w:t>中国</w:t>
      </w:r>
      <w:r>
        <w:t xml:space="preserve"> - 2018</w:t>
      </w:r>
      <w:r>
        <w:t>年</w:t>
      </w:r>
      <w:r>
        <w:t>1</w:t>
      </w:r>
      <w:r>
        <w:t>月</w:t>
      </w:r>
      <w:r>
        <w:t>19</w:t>
      </w:r>
      <w:r>
        <w:t>日</w:t>
      </w:r>
    </w:p>
    <w:sectPr w:rsidR="00CC286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2974">
      <w:pPr>
        <w:spacing w:after="0"/>
      </w:pPr>
      <w:r>
        <w:separator/>
      </w:r>
    </w:p>
  </w:endnote>
  <w:endnote w:type="continuationSeparator" w:id="0">
    <w:p w:rsidR="00000000" w:rsidRDefault="005829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865" w:rsidRDefault="00582974">
      <w:r>
        <w:separator/>
      </w:r>
    </w:p>
  </w:footnote>
  <w:footnote w:type="continuationSeparator" w:id="0">
    <w:p w:rsidR="00CC2865" w:rsidRDefault="00582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279E4"/>
    <w:multiLevelType w:val="multilevel"/>
    <w:tmpl w:val="1316943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82974"/>
    <w:rsid w:val="00590D07"/>
    <w:rsid w:val="00784D58"/>
    <w:rsid w:val="008D6863"/>
    <w:rsid w:val="00B86B75"/>
    <w:rsid w:val="00BC48D5"/>
    <w:rsid w:val="00C36279"/>
    <w:rsid w:val="00CC2865"/>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zhong-guo-yin-jian-hui-fa-bu-guan-yu-yin-fa-yan-sheng-gong-ju-jiao-yi-dui-shou-wei-yue-feng-xian-zi-chan-ji-liang-gui-ze-de-tong-zhi" TargetMode="External"/><Relationship Id="rId13" Type="http://schemas.openxmlformats.org/officeDocument/2006/relationships/hyperlink" Target="http://xw.sinoins.com/2018-01/17/content_252824.htm" TargetMode="External"/><Relationship Id="rId18" Type="http://schemas.openxmlformats.org/officeDocument/2006/relationships/hyperlink" Target="http://www.gov.cn/xinwen/2018-01/14/content_5256458.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ompany.stcn.com/2018/0115/13901810.shtml" TargetMode="External"/><Relationship Id="rId7" Type="http://schemas.openxmlformats.org/officeDocument/2006/relationships/endnotes" Target="endnotes.xml"/><Relationship Id="rId12" Type="http://schemas.openxmlformats.org/officeDocument/2006/relationships/hyperlink" Target="http://kuaixun.stcn.com/2018/0118/13911373.shtml" TargetMode="External"/><Relationship Id="rId17" Type="http://schemas.openxmlformats.org/officeDocument/2006/relationships/hyperlink" Target="http://district.ce.cn/newarea/roll/201801/16/t20180116_27746822.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cn/xinwen/2018-01/16/content_5257113.htm" TargetMode="External"/><Relationship Id="rId20" Type="http://schemas.openxmlformats.org/officeDocument/2006/relationships/hyperlink" Target="http://company.stcn.com/2018/0115/13901825.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xinhuanet.com/fortune/2018-01/12/c_1122252748.htm"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www.sohu.com/a/216288184_118392" TargetMode="External"/><Relationship Id="rId23" Type="http://schemas.openxmlformats.org/officeDocument/2006/relationships/hyperlink" Target="http://company.stcn.com/2018/0115/13901802.shtml" TargetMode="External"/><Relationship Id="rId10" Type="http://schemas.openxmlformats.org/officeDocument/2006/relationships/hyperlink" Target="http://www.szse.cn/main/aboutus/bsyw/39776643.shtml" TargetMode="External"/><Relationship Id="rId19" Type="http://schemas.openxmlformats.org/officeDocument/2006/relationships/hyperlink" Target="http://company.stcn.com/2018/0115/13904225.shtml" TargetMode="External"/><Relationship Id="rId4" Type="http://schemas.openxmlformats.org/officeDocument/2006/relationships/settings" Target="settings.xml"/><Relationship Id="rId9" Type="http://schemas.openxmlformats.org/officeDocument/2006/relationships/hyperlink" Target="http://www.gov.cn/xinwen/2018-01/17/content_5257396.htm" TargetMode="External"/><Relationship Id="rId14" Type="http://schemas.openxmlformats.org/officeDocument/2006/relationships/hyperlink" Target="http://www.cfen.com.cn/cjxw/ss/201801/t20180104_2792454.html" TargetMode="External"/><Relationship Id="rId22" Type="http://schemas.openxmlformats.org/officeDocument/2006/relationships/hyperlink" Target="http://company.stcn.com/2018/0112/1389798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1247</Words>
  <Characters>7112</Characters>
  <Application>Microsoft Office Word</Application>
  <DocSecurity>0</DocSecurity>
  <Lines>59</Lines>
  <Paragraphs>16</Paragraphs>
  <ScaleCrop>false</ScaleCrop>
  <Company>C</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2018-01-19T04:14:00Z</dcterms:created>
  <dcterms:modified xsi:type="dcterms:W3CDTF">2018-01-19T04:40:00Z</dcterms:modified>
</cp:coreProperties>
</file>