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2350" w:rsidRDefault="00894216">
      <w:pPr>
        <w:pStyle w:val="BlackStrips"/>
        <w:rPr>
          <w:lang w:eastAsia="zh-CN"/>
        </w:rPr>
      </w:pPr>
      <w:r>
        <w:rPr>
          <w:lang w:eastAsia="zh-CN"/>
        </w:rPr>
        <w:t xml:space="preserve">Charltons - </w:t>
      </w:r>
      <w:r>
        <w:rPr>
          <w:lang w:eastAsia="zh-CN"/>
        </w:rPr>
        <w:t>法讯</w:t>
      </w:r>
      <w:r>
        <w:rPr>
          <w:lang w:eastAsia="zh-CN"/>
        </w:rPr>
        <w:t xml:space="preserve"> - </w:t>
      </w:r>
      <w:r>
        <w:rPr>
          <w:lang w:eastAsia="zh-CN"/>
        </w:rPr>
        <w:t>中国</w:t>
      </w:r>
      <w:r>
        <w:rPr>
          <w:lang w:eastAsia="zh-CN"/>
        </w:rPr>
        <w:t xml:space="preserve"> - 2018</w:t>
      </w:r>
      <w:r>
        <w:rPr>
          <w:lang w:eastAsia="zh-CN"/>
        </w:rPr>
        <w:t>年</w:t>
      </w:r>
      <w:r>
        <w:rPr>
          <w:lang w:eastAsia="zh-CN"/>
        </w:rPr>
        <w:t>2</w:t>
      </w:r>
      <w:r>
        <w:rPr>
          <w:lang w:eastAsia="zh-CN"/>
        </w:rPr>
        <w:t>月</w:t>
      </w:r>
      <w:r>
        <w:rPr>
          <w:lang w:eastAsia="zh-CN"/>
        </w:rPr>
        <w:t>2</w:t>
      </w:r>
      <w:r>
        <w:rPr>
          <w:lang w:eastAsia="zh-CN"/>
        </w:rPr>
        <w:t>日</w:t>
      </w:r>
    </w:p>
    <w:p w:rsidR="00532350" w:rsidRDefault="00894216">
      <w:pPr>
        <w:pStyle w:val="ReadOnline"/>
        <w:rPr>
          <w:lang w:eastAsia="zh-CN"/>
        </w:rPr>
      </w:pPr>
      <w:hyperlink r:id="rId8">
        <w:proofErr w:type="gramStart"/>
        <w:r>
          <w:rPr>
            <w:lang w:eastAsia="zh-CN"/>
          </w:rPr>
          <w:t>online</w:t>
        </w:r>
        <w:proofErr w:type="gramEnd"/>
        <w:r>
          <w:rPr>
            <w:lang w:eastAsia="zh-CN"/>
          </w:rPr>
          <w:t xml:space="preserve"> version</w:t>
        </w:r>
      </w:hyperlink>
    </w:p>
    <w:p w:rsidR="00532350" w:rsidRDefault="00894216">
      <w:pPr>
        <w:pStyle w:val="Title"/>
        <w:rPr>
          <w:lang w:eastAsia="zh-CN"/>
        </w:rPr>
      </w:pPr>
      <w:r>
        <w:rPr>
          <w:lang w:eastAsia="zh-CN"/>
        </w:rPr>
        <w:t>上海证券交易所发布《上市公司股份协议转让业务办理指引》</w:t>
      </w:r>
    </w:p>
    <w:p w:rsidR="00532350" w:rsidRDefault="00894216">
      <w:pPr>
        <w:pStyle w:val="Heading2"/>
        <w:rPr>
          <w:lang w:eastAsia="zh-CN"/>
        </w:rPr>
      </w:pPr>
      <w:bookmarkStart w:id="0" w:name="资本市场"/>
      <w:r>
        <w:rPr>
          <w:lang w:eastAsia="zh-CN"/>
        </w:rPr>
        <w:t>资本市场</w:t>
      </w:r>
      <w:bookmarkEnd w:id="0"/>
    </w:p>
    <w:p w:rsidR="00532350" w:rsidRDefault="00894216">
      <w:pPr>
        <w:pStyle w:val="Heading3"/>
        <w:rPr>
          <w:lang w:eastAsia="zh-CN"/>
        </w:rPr>
      </w:pPr>
      <w:bookmarkStart w:id="1" w:name="上海证券交易所发布上市公司股份协议转让业务办理指引"/>
      <w:r>
        <w:rPr>
          <w:lang w:eastAsia="zh-CN"/>
        </w:rPr>
        <w:t>上海证券交易所发布《上市公司股份协议转让业务办理指引》</w:t>
      </w:r>
      <w:bookmarkEnd w:id="1"/>
    </w:p>
    <w:p w:rsidR="00532350" w:rsidRDefault="00894216">
      <w:pPr>
        <w:pStyle w:val="FirstParagraph"/>
        <w:rPr>
          <w:lang w:eastAsia="zh-CN"/>
        </w:rPr>
      </w:pPr>
      <w:r>
        <w:rPr>
          <w:lang w:eastAsia="zh-CN"/>
        </w:rPr>
        <w:t>近日，上海证券交易所（以下简称</w:t>
      </w:r>
      <w:r>
        <w:rPr>
          <w:lang w:eastAsia="zh-CN"/>
        </w:rPr>
        <w:t>“</w:t>
      </w:r>
      <w:r>
        <w:rPr>
          <w:lang w:eastAsia="zh-CN"/>
        </w:rPr>
        <w:t>上交所</w:t>
      </w:r>
      <w:r>
        <w:rPr>
          <w:lang w:eastAsia="zh-CN"/>
        </w:rPr>
        <w:t>”</w:t>
      </w:r>
      <w:r>
        <w:rPr>
          <w:lang w:eastAsia="zh-CN"/>
        </w:rPr>
        <w:t>）发布实施了《上海证券交易所上市公司股份协议转让业务办理指引》（以下简称</w:t>
      </w:r>
      <w:r>
        <w:rPr>
          <w:lang w:eastAsia="zh-CN"/>
        </w:rPr>
        <w:t>“</w:t>
      </w:r>
      <w:r>
        <w:rPr>
          <w:lang w:eastAsia="zh-CN"/>
        </w:rPr>
        <w:t>《指引》</w:t>
      </w:r>
      <w:r>
        <w:rPr>
          <w:lang w:eastAsia="zh-CN"/>
        </w:rPr>
        <w:t>”</w:t>
      </w:r>
      <w:r>
        <w:rPr>
          <w:lang w:eastAsia="zh-CN"/>
        </w:rPr>
        <w:t>）。据悉，《指引》是为贯彻落实上市公司股份减持制度，进一步规范上市公司股份协议转让业务。</w:t>
      </w:r>
    </w:p>
    <w:p w:rsidR="00532350" w:rsidRDefault="00894216">
      <w:pPr>
        <w:pStyle w:val="BodyText"/>
        <w:rPr>
          <w:lang w:eastAsia="zh-CN"/>
        </w:rPr>
      </w:pPr>
      <w:r>
        <w:rPr>
          <w:lang w:eastAsia="zh-CN"/>
        </w:rPr>
        <w:t>《指引》对协议转让业务受理的要求、不予受理的情形、申请文件、具体办理流程等事项，做了明确规定。例如，对协议签署日与提交申请日间隔超过</w:t>
      </w:r>
      <w:r>
        <w:rPr>
          <w:lang w:eastAsia="zh-CN"/>
        </w:rPr>
        <w:t>6</w:t>
      </w:r>
      <w:r>
        <w:rPr>
          <w:lang w:eastAsia="zh-CN"/>
        </w:rPr>
        <w:t>个月且无正当理由，或者协议转让可能导致规避股份限售相关规定等情形，不予受理；对同一次协议转让申请涉及多个出让</w:t>
      </w:r>
      <w:r>
        <w:rPr>
          <w:lang w:eastAsia="zh-CN"/>
        </w:rPr>
        <w:t>方或者受让方，且被认定为属于一笔协议转让的，该笔协议转让的全部出让方、受让方应当同时办理股份过户手续，一次性完成过户登记，并且共同遵守后续减持的相关监管要求；协议转让后受让方持股比例达到</w:t>
      </w:r>
      <w:r>
        <w:rPr>
          <w:lang w:eastAsia="zh-CN"/>
        </w:rPr>
        <w:t>5%</w:t>
      </w:r>
      <w:r>
        <w:rPr>
          <w:lang w:eastAsia="zh-CN"/>
        </w:rPr>
        <w:t>以上，或者受让方为上市公司董事、监事和高级管理人员的，受让方须严格遵守《证券法》关于禁止短线交易的规定，承诺自本次协议转让股份过户后</w:t>
      </w:r>
      <w:r>
        <w:rPr>
          <w:lang w:eastAsia="zh-CN"/>
        </w:rPr>
        <w:t>6</w:t>
      </w:r>
      <w:r>
        <w:rPr>
          <w:lang w:eastAsia="zh-CN"/>
        </w:rPr>
        <w:t>个月内不得卖出公司股份。此外，《指引》还增加了相关监管处罚规定，对于协议转让业务办理和后续减持中出现的违法违规或者违反承诺等行为，将采取相应监管措施或者纪律处分。</w:t>
      </w:r>
    </w:p>
    <w:p w:rsidR="00532350" w:rsidRDefault="00894216">
      <w:pPr>
        <w:pStyle w:val="BodyText"/>
      </w:pPr>
      <w:hyperlink r:id="rId9">
        <w:r>
          <w:t>http://news.cnstock.com/news,bwkx-201801-4181298.htm</w:t>
        </w:r>
      </w:hyperlink>
    </w:p>
    <w:p w:rsidR="00532350" w:rsidRDefault="00894216">
      <w:pPr>
        <w:pStyle w:val="Heading3"/>
        <w:rPr>
          <w:lang w:eastAsia="zh-CN"/>
        </w:rPr>
      </w:pPr>
      <w:bookmarkStart w:id="2" w:name="商务部证监会等七部门印发对外投资备案报告暂行办法"/>
      <w:r>
        <w:rPr>
          <w:lang w:eastAsia="zh-CN"/>
        </w:rPr>
        <w:t>商务部、证监会等七部门印发对外投资备案报告暂行办法</w:t>
      </w:r>
      <w:bookmarkEnd w:id="2"/>
    </w:p>
    <w:p w:rsidR="00532350" w:rsidRDefault="00894216">
      <w:pPr>
        <w:pStyle w:val="FirstParagraph"/>
        <w:rPr>
          <w:lang w:eastAsia="zh-CN"/>
        </w:rPr>
      </w:pPr>
      <w:r>
        <w:rPr>
          <w:lang w:eastAsia="zh-CN"/>
        </w:rPr>
        <w:t>从商务部获悉，商务部、央行、国资委、银监会、证监会、保监会、外汇局联合印发《对外投资备案（核准）报告暂行办法》（以下简称《办法》）。</w:t>
      </w:r>
    </w:p>
    <w:p w:rsidR="00532350" w:rsidRDefault="00894216">
      <w:pPr>
        <w:pStyle w:val="BodyText"/>
        <w:rPr>
          <w:lang w:eastAsia="zh-CN"/>
        </w:rPr>
      </w:pPr>
      <w:r>
        <w:rPr>
          <w:lang w:eastAsia="zh-CN"/>
        </w:rPr>
        <w:t>根据《办法》，境内投资主体在开展对外投资的过程，按规定向相关主管部门报告其对外投资情况并提供相关信息</w:t>
      </w:r>
      <w:r>
        <w:rPr>
          <w:lang w:eastAsia="zh-CN"/>
        </w:rPr>
        <w:t>；相关主管部门依据其报告的情况和信息制定对外投资政策，开展对外投资监督、管理和服务。商务、金融、国资等主管部门依各自职能依法开展境内投资主体对外投资备案（核准）报告等工作，按照</w:t>
      </w:r>
      <w:r>
        <w:rPr>
          <w:lang w:eastAsia="zh-CN"/>
        </w:rPr>
        <w:t>“</w:t>
      </w:r>
      <w:r>
        <w:rPr>
          <w:lang w:eastAsia="zh-CN"/>
        </w:rPr>
        <w:t>横向协作、纵向联动</w:t>
      </w:r>
      <w:r>
        <w:rPr>
          <w:lang w:eastAsia="zh-CN"/>
        </w:rPr>
        <w:t>”</w:t>
      </w:r>
      <w:r>
        <w:rPr>
          <w:lang w:eastAsia="zh-CN"/>
        </w:rPr>
        <w:t>的原则，形成监管合力。《办法》指出，相关主管部门应根据各自职责按照</w:t>
      </w:r>
      <w:r>
        <w:rPr>
          <w:lang w:eastAsia="zh-CN"/>
        </w:rPr>
        <w:t>“</w:t>
      </w:r>
      <w:r>
        <w:rPr>
          <w:lang w:eastAsia="zh-CN"/>
        </w:rPr>
        <w:t>鼓励发展</w:t>
      </w:r>
      <w:r>
        <w:rPr>
          <w:lang w:eastAsia="zh-CN"/>
        </w:rPr>
        <w:t>+</w:t>
      </w:r>
      <w:r>
        <w:rPr>
          <w:lang w:eastAsia="zh-CN"/>
        </w:rPr>
        <w:t>负面清单</w:t>
      </w:r>
      <w:r>
        <w:rPr>
          <w:lang w:eastAsia="zh-CN"/>
        </w:rPr>
        <w:t>”</w:t>
      </w:r>
      <w:r>
        <w:rPr>
          <w:lang w:eastAsia="zh-CN"/>
        </w:rPr>
        <w:t>的模式建立健全相应的对外投资备案（核准）办法。</w:t>
      </w:r>
    </w:p>
    <w:p w:rsidR="00532350" w:rsidRDefault="00894216">
      <w:pPr>
        <w:pStyle w:val="BodyText"/>
      </w:pPr>
      <w:hyperlink r:id="rId10">
        <w:r>
          <w:t>http://news.cnsto</w:t>
        </w:r>
        <w:r>
          <w:t>ck.com/news,bwkx-201801-4180490.htm</w:t>
        </w:r>
      </w:hyperlink>
    </w:p>
    <w:p w:rsidR="00532350" w:rsidRDefault="00894216">
      <w:pPr>
        <w:pStyle w:val="Heading3"/>
        <w:rPr>
          <w:lang w:eastAsia="zh-CN"/>
        </w:rPr>
      </w:pPr>
      <w:bookmarkStart w:id="3" w:name="中国银监会严控个人贷款违规流入股市和房市"/>
      <w:r>
        <w:rPr>
          <w:lang w:eastAsia="zh-CN"/>
        </w:rPr>
        <w:t>中国银监会：严控个人贷款违规流入股市和房市</w:t>
      </w:r>
      <w:bookmarkEnd w:id="3"/>
    </w:p>
    <w:p w:rsidR="00532350" w:rsidRDefault="00894216">
      <w:pPr>
        <w:pStyle w:val="FirstParagraph"/>
        <w:rPr>
          <w:lang w:eastAsia="zh-CN"/>
        </w:rPr>
      </w:pPr>
      <w:r>
        <w:rPr>
          <w:lang w:eastAsia="zh-CN"/>
        </w:rPr>
        <w:t>全国银行业监督管理工作会议近日召开，中国银监会对当前银行业风险形势的判断为：风险总体可控，但形势依然严峻复杂，面临若干重大挑战。中国银监会表示，要严控对高负债企业融资、严控个人贷款违规流入股市和房市、清理规范金融控股集团、有序处置高风险机构等。</w:t>
      </w:r>
    </w:p>
    <w:p w:rsidR="00532350" w:rsidRDefault="00894216">
      <w:pPr>
        <w:pStyle w:val="BodyText"/>
        <w:rPr>
          <w:lang w:eastAsia="zh-CN"/>
        </w:rPr>
      </w:pPr>
      <w:r>
        <w:rPr>
          <w:lang w:eastAsia="zh-CN"/>
        </w:rPr>
        <w:t>银监会表示，要清理规范金融控股集团，推动加快出台金融控股公司监管办法。有序处置高风险机构，实行名单制管理，制定并有效实施风险压降规划和应急预案。严厉打</w:t>
      </w:r>
      <w:r>
        <w:rPr>
          <w:lang w:eastAsia="zh-CN"/>
        </w:rPr>
        <w:t>击非法金融活动，推动尽快出台处置非法集资条例。以改革促进银行业提高服务能力也是银监会</w:t>
      </w:r>
      <w:r>
        <w:rPr>
          <w:lang w:eastAsia="zh-CN"/>
        </w:rPr>
        <w:t>2018</w:t>
      </w:r>
      <w:r>
        <w:rPr>
          <w:lang w:eastAsia="zh-CN"/>
        </w:rPr>
        <w:t>年的工作重点。银监会表示，要加快建立有中国特色的现代银行制度，加强股东穿透监管，规范董事会、监事</w:t>
      </w:r>
      <w:r>
        <w:rPr>
          <w:lang w:eastAsia="zh-CN"/>
        </w:rPr>
        <w:lastRenderedPageBreak/>
        <w:t>会运作。全力推动银行业向高质量发展转变，重塑资产负债表和表外业务表两张报表，再造监督评价和监管评级两大体系。</w:t>
      </w:r>
    </w:p>
    <w:p w:rsidR="00532350" w:rsidRDefault="00894216">
      <w:pPr>
        <w:pStyle w:val="BodyText"/>
      </w:pPr>
      <w:hyperlink r:id="rId11">
        <w:r>
          <w:t>http://www.ch</w:t>
        </w:r>
        <w:r>
          <w:t>inalawinfo.com/News/NewsFullText.aspx?NewsId=89549&amp;NewsType=1</w:t>
        </w:r>
      </w:hyperlink>
    </w:p>
    <w:p w:rsidR="00532350" w:rsidRDefault="00894216">
      <w:pPr>
        <w:pStyle w:val="Heading3"/>
        <w:rPr>
          <w:lang w:eastAsia="zh-CN"/>
        </w:rPr>
      </w:pPr>
      <w:bookmarkStart w:id="4" w:name="中国证监会改革发行上市制度增加包容性适应性"/>
      <w:r>
        <w:rPr>
          <w:lang w:eastAsia="zh-CN"/>
        </w:rPr>
        <w:t>中国证监会：改革发行上市制度，增加包容性适应性</w:t>
      </w:r>
      <w:bookmarkEnd w:id="4"/>
    </w:p>
    <w:p w:rsidR="00532350" w:rsidRDefault="00894216">
      <w:pPr>
        <w:pStyle w:val="FirstParagraph"/>
        <w:rPr>
          <w:lang w:eastAsia="zh-CN"/>
        </w:rPr>
      </w:pPr>
      <w:r>
        <w:rPr>
          <w:lang w:eastAsia="zh-CN"/>
        </w:rPr>
        <w:t>近日，中国证监会系统</w:t>
      </w:r>
      <w:r>
        <w:rPr>
          <w:lang w:eastAsia="zh-CN"/>
        </w:rPr>
        <w:t>2018</w:t>
      </w:r>
      <w:r>
        <w:rPr>
          <w:lang w:eastAsia="zh-CN"/>
        </w:rPr>
        <w:t>年工作会议日前在北京召开。会议要求，全系统上下要坚定不移地落实全面从严治党各项要求。改革发行上市制度，努力增加制度的包容性和适应性，加大对新技术新产业新业态新模式的支持力度。继续深化新三板改革，大力发展创业投资、天使投资。大力推进监管智能化科技化。持续强化稽查执法，把保护投资者合法权益的工作提高到一个新水平。</w:t>
      </w:r>
    </w:p>
    <w:p w:rsidR="00532350" w:rsidRDefault="00894216">
      <w:pPr>
        <w:pStyle w:val="BodyText"/>
        <w:rPr>
          <w:lang w:eastAsia="zh-CN"/>
        </w:rPr>
      </w:pPr>
      <w:r>
        <w:rPr>
          <w:lang w:eastAsia="zh-CN"/>
        </w:rPr>
        <w:t>会议要求，要坚决打好防范化解资本市场重大风险攻坚战，加强股市、债市、期货市场风险监测和应对能力建设，坚决守住不发生系统性风险的底线。以服务国家战略、建设现代化经济体系为导向，吸收国际资本市场成熟有效有益的制度与方法，改革发行上市制度，努力增加制度的包容性和适应性，加大对新技术新产业新业态新模式的支持力度。加快多层次资本市场体系建设，继续深化新三板改革，促进区域性股权市场规范发展，大力发展创业投资、天使投资。</w:t>
      </w:r>
      <w:r>
        <w:rPr>
          <w:lang w:eastAsia="zh-CN"/>
        </w:rPr>
        <w:t xml:space="preserve"> </w:t>
      </w:r>
      <w:r>
        <w:rPr>
          <w:lang w:eastAsia="zh-CN"/>
        </w:rPr>
        <w:t>引导期货与衍生品市场健康发展。以深化改革和扩大双向开放促进各类市场主体核心竞争力的全面提升。持续强化</w:t>
      </w:r>
      <w:r>
        <w:rPr>
          <w:lang w:eastAsia="zh-CN"/>
        </w:rPr>
        <w:t>稽查执法，严厉打击各类违法违规行为，把保护投资者合法权益的工作提高到一个新水平。</w:t>
      </w:r>
    </w:p>
    <w:p w:rsidR="00532350" w:rsidRDefault="00894216">
      <w:pPr>
        <w:pStyle w:val="BodyText"/>
      </w:pPr>
      <w:hyperlink r:id="rId12">
        <w:r>
          <w:t>http://www.stcn.com/2018/0201/13946687.shtml</w:t>
        </w:r>
      </w:hyperlink>
    </w:p>
    <w:p w:rsidR="00532350" w:rsidRDefault="00894216">
      <w:pPr>
        <w:pStyle w:val="Heading2"/>
      </w:pPr>
      <w:bookmarkStart w:id="5" w:name="保险"/>
      <w:r>
        <w:t>保险</w:t>
      </w:r>
      <w:bookmarkEnd w:id="5"/>
    </w:p>
    <w:p w:rsidR="00532350" w:rsidRDefault="00894216">
      <w:pPr>
        <w:pStyle w:val="Heading3"/>
        <w:rPr>
          <w:lang w:eastAsia="zh-CN"/>
        </w:rPr>
      </w:pPr>
      <w:bookmarkStart w:id="6" w:name="中国保监会出台险资新规将加强对境外投资监管"/>
      <w:r>
        <w:rPr>
          <w:lang w:eastAsia="zh-CN"/>
        </w:rPr>
        <w:t>中国保监会出台险资</w:t>
      </w:r>
      <w:r>
        <w:rPr>
          <w:lang w:eastAsia="zh-CN"/>
        </w:rPr>
        <w:t>“</w:t>
      </w:r>
      <w:r>
        <w:rPr>
          <w:lang w:eastAsia="zh-CN"/>
        </w:rPr>
        <w:t>新规</w:t>
      </w:r>
      <w:r>
        <w:rPr>
          <w:lang w:eastAsia="zh-CN"/>
        </w:rPr>
        <w:t>”</w:t>
      </w:r>
      <w:r>
        <w:rPr>
          <w:lang w:eastAsia="zh-CN"/>
        </w:rPr>
        <w:t>，将加强对境外投资监管</w:t>
      </w:r>
      <w:bookmarkEnd w:id="6"/>
    </w:p>
    <w:p w:rsidR="00532350" w:rsidRDefault="00894216">
      <w:pPr>
        <w:pStyle w:val="FirstParagraph"/>
        <w:rPr>
          <w:lang w:eastAsia="zh-CN"/>
        </w:rPr>
      </w:pPr>
      <w:r>
        <w:rPr>
          <w:lang w:eastAsia="zh-CN"/>
        </w:rPr>
        <w:t>在《保险资金运用管理暂行办法》运行</w:t>
      </w:r>
      <w:r>
        <w:rPr>
          <w:lang w:eastAsia="zh-CN"/>
        </w:rPr>
        <w:t>7</w:t>
      </w:r>
      <w:r>
        <w:rPr>
          <w:lang w:eastAsia="zh-CN"/>
        </w:rPr>
        <w:t>年后，近日，中国保监会发布《保险资金运用管理办法》（以下简称《管理办法》），自</w:t>
      </w:r>
      <w:r>
        <w:rPr>
          <w:lang w:eastAsia="zh-CN"/>
        </w:rPr>
        <w:t>2018</w:t>
      </w:r>
      <w:r>
        <w:rPr>
          <w:lang w:eastAsia="zh-CN"/>
        </w:rPr>
        <w:t>年</w:t>
      </w:r>
      <w:r>
        <w:rPr>
          <w:lang w:eastAsia="zh-CN"/>
        </w:rPr>
        <w:t>4</w:t>
      </w:r>
      <w:r>
        <w:rPr>
          <w:lang w:eastAsia="zh-CN"/>
        </w:rPr>
        <w:t>月</w:t>
      </w:r>
      <w:r>
        <w:rPr>
          <w:lang w:eastAsia="zh-CN"/>
        </w:rPr>
        <w:t>1</w:t>
      </w:r>
      <w:r>
        <w:rPr>
          <w:lang w:eastAsia="zh-CN"/>
        </w:rPr>
        <w:t>日起实施。针对险资</w:t>
      </w:r>
      <w:r>
        <w:rPr>
          <w:lang w:eastAsia="zh-CN"/>
        </w:rPr>
        <w:t>“</w:t>
      </w:r>
      <w:r>
        <w:rPr>
          <w:lang w:eastAsia="zh-CN"/>
        </w:rPr>
        <w:t>举牌</w:t>
      </w:r>
      <w:r>
        <w:rPr>
          <w:lang w:eastAsia="zh-CN"/>
        </w:rPr>
        <w:t>”</w:t>
      </w:r>
      <w:r>
        <w:rPr>
          <w:lang w:eastAsia="zh-CN"/>
        </w:rPr>
        <w:t>、境外收购等近年来的新情况，办法要求，险资运用须以服务保险业为主要目标，同时险企股东不得违法违规干预保险资金运用。</w:t>
      </w:r>
    </w:p>
    <w:p w:rsidR="00532350" w:rsidRDefault="00894216">
      <w:pPr>
        <w:pStyle w:val="BodyText"/>
        <w:rPr>
          <w:lang w:eastAsia="zh-CN"/>
        </w:rPr>
      </w:pPr>
      <w:r>
        <w:rPr>
          <w:lang w:eastAsia="zh-CN"/>
        </w:rPr>
        <w:t>《管理办法》规定，保险资金从事境外投资的，应当符合中国保监会、中国人民银行和国家外汇管理局的相关规定。与此同时，保险集团（控股）公司、保险公司从事保险资金运用，不得直接从事房地产开发建设。保险资金投资股票，主要包括公开发行并上市交易的股票，以及上市公司向特定对象非公开发行的股票。此次的《管理办法》规定，险资开展股票投资分为一般股票投资、重大股票投资和上市公司收购等，保监会根据不同情形实施差别监</w:t>
      </w:r>
      <w:r>
        <w:rPr>
          <w:lang w:eastAsia="zh-CN"/>
        </w:rPr>
        <w:t>管。</w:t>
      </w:r>
      <w:r>
        <w:rPr>
          <w:lang w:eastAsia="zh-CN"/>
        </w:rPr>
        <w:t xml:space="preserve"> </w:t>
      </w:r>
      <w:r>
        <w:rPr>
          <w:lang w:eastAsia="zh-CN"/>
        </w:rPr>
        <w:t>另外，《管理办法》明确保险资金可以投资创业投资基金等私募基金和设立不动产、基础设施、养老等专业保险资产管理机构，进一步支持小微企业发展，提高保险资金支持基础设施、养老等重点领域产业的广度和深度。</w:t>
      </w:r>
    </w:p>
    <w:p w:rsidR="00532350" w:rsidRDefault="00894216">
      <w:pPr>
        <w:pStyle w:val="BodyText"/>
      </w:pPr>
      <w:hyperlink r:id="rId13">
        <w:r>
          <w:t>http://www.xinhuanet.com/fortune/2018-01/27/c_1122324019.htm</w:t>
        </w:r>
      </w:hyperlink>
    </w:p>
    <w:p w:rsidR="00532350" w:rsidRDefault="00894216">
      <w:pPr>
        <w:pStyle w:val="Heading2"/>
        <w:rPr>
          <w:lang w:eastAsia="zh-CN"/>
        </w:rPr>
      </w:pPr>
      <w:bookmarkStart w:id="7" w:name="税收"/>
      <w:r>
        <w:rPr>
          <w:lang w:eastAsia="zh-CN"/>
        </w:rPr>
        <w:t>税收</w:t>
      </w:r>
      <w:bookmarkEnd w:id="7"/>
    </w:p>
    <w:p w:rsidR="00532350" w:rsidRDefault="00894216">
      <w:pPr>
        <w:pStyle w:val="Heading3"/>
        <w:rPr>
          <w:lang w:eastAsia="zh-CN"/>
        </w:rPr>
      </w:pPr>
      <w:bookmarkStart w:id="8" w:name="国家税务总局财政部和海关总署发布关于扩大赋予海关特殊监管区域企业增值税一般纳税人"/>
      <w:r>
        <w:rPr>
          <w:lang w:eastAsia="zh-CN"/>
        </w:rPr>
        <w:t>国家税务总局、财政部和</w:t>
      </w:r>
      <w:r>
        <w:rPr>
          <w:lang w:eastAsia="zh-CN"/>
        </w:rPr>
        <w:t>海关总署发布《关于扩大赋予海关特殊监管区域企业增值税一般纳税人资格试点的公告》</w:t>
      </w:r>
      <w:bookmarkEnd w:id="8"/>
    </w:p>
    <w:p w:rsidR="00532350" w:rsidRDefault="00894216">
      <w:pPr>
        <w:pStyle w:val="FirstParagraph"/>
        <w:rPr>
          <w:lang w:eastAsia="zh-CN"/>
        </w:rPr>
      </w:pPr>
      <w:r>
        <w:rPr>
          <w:lang w:eastAsia="zh-CN"/>
        </w:rPr>
        <w:t>为进一步提升海关特殊监管区域企业统筹国际国内两个市场两种资源的能力，提高海关特殊监管区域发展的质量和效益，推动加工贸易转型升级，促进贸易便利化，结合前期试点情况，国家税务总局、财政部和海关总署发布《关于扩大赋予海关特殊监管区域企业增值税一般纳税人资格试点的公告》（以下简称《公告》）。</w:t>
      </w:r>
    </w:p>
    <w:p w:rsidR="00532350" w:rsidRDefault="00894216">
      <w:pPr>
        <w:pStyle w:val="BodyText"/>
        <w:rPr>
          <w:lang w:eastAsia="zh-CN"/>
        </w:rPr>
      </w:pPr>
      <w:r>
        <w:rPr>
          <w:lang w:eastAsia="zh-CN"/>
        </w:rPr>
        <w:lastRenderedPageBreak/>
        <w:t>《公告》主要内容有两方面：一是扩大试点的区域范围，包括浙江宁波出口加工区、成都高新综合保税区等</w:t>
      </w:r>
      <w:r>
        <w:rPr>
          <w:lang w:eastAsia="zh-CN"/>
        </w:rPr>
        <w:t>17</w:t>
      </w:r>
      <w:r>
        <w:rPr>
          <w:lang w:eastAsia="zh-CN"/>
        </w:rPr>
        <w:t>个海关特殊监管区域。二是退出机制的内容，申请一般纳税人资格试点满</w:t>
      </w:r>
      <w:r>
        <w:rPr>
          <w:lang w:eastAsia="zh-CN"/>
        </w:rPr>
        <w:t>36</w:t>
      </w:r>
      <w:r>
        <w:rPr>
          <w:lang w:eastAsia="zh-CN"/>
        </w:rPr>
        <w:t>个月的企业可申请退出试点。退出试点后，恢复执行海关特殊监管区域内非试点企业税收政策且</w:t>
      </w:r>
      <w:r>
        <w:rPr>
          <w:lang w:eastAsia="zh-CN"/>
        </w:rPr>
        <w:t>36</w:t>
      </w:r>
      <w:r>
        <w:rPr>
          <w:lang w:eastAsia="zh-CN"/>
        </w:rPr>
        <w:t>个月内不得再申请试点。申请退出试点企业应提前向主管税务机关和主管海关递交退出试点申请，经主管税务机关和主管海关核准后启动退出试点工作。试点企业在退出前，应结清税款，方可办理退出手续。对区内企业退出试点前的增值税留抵税额不予抵扣或退还，转成本处理。退出试点的企</w:t>
      </w:r>
      <w:r>
        <w:rPr>
          <w:lang w:eastAsia="zh-CN"/>
        </w:rPr>
        <w:t>业，除销售服务、无形资产或者不动产外，不得领用和开具增值税专用发票。</w:t>
      </w:r>
    </w:p>
    <w:p w:rsidR="00532350" w:rsidRDefault="00894216">
      <w:pPr>
        <w:pStyle w:val="BodyText"/>
      </w:pPr>
      <w:hyperlink r:id="rId14">
        <w:r>
          <w:t>http://www.ctax.org.cn/csyw/201801/t20180131_1071625.shtml</w:t>
        </w:r>
      </w:hyperlink>
    </w:p>
    <w:p w:rsidR="00532350" w:rsidRDefault="00894216">
      <w:pPr>
        <w:pStyle w:val="Heading2"/>
        <w:rPr>
          <w:lang w:eastAsia="zh-CN"/>
        </w:rPr>
      </w:pPr>
      <w:bookmarkStart w:id="9" w:name="行业"/>
      <w:r>
        <w:rPr>
          <w:lang w:eastAsia="zh-CN"/>
        </w:rPr>
        <w:t>行业</w:t>
      </w:r>
      <w:bookmarkEnd w:id="9"/>
    </w:p>
    <w:p w:rsidR="00532350" w:rsidRDefault="00894216">
      <w:pPr>
        <w:pStyle w:val="Heading3"/>
        <w:rPr>
          <w:lang w:eastAsia="zh-CN"/>
        </w:rPr>
      </w:pPr>
      <w:bookmarkStart w:id="10" w:name="工信部发布关于移动通信转售业务正式商用的通告征求意见稿"/>
      <w:r>
        <w:rPr>
          <w:lang w:eastAsia="zh-CN"/>
        </w:rPr>
        <w:t>工信部发布《关于移动通信转售业务正式商用的通告（征求意见稿）》</w:t>
      </w:r>
      <w:bookmarkEnd w:id="10"/>
    </w:p>
    <w:p w:rsidR="00532350" w:rsidRDefault="00894216">
      <w:pPr>
        <w:pStyle w:val="FirstParagraph"/>
        <w:rPr>
          <w:lang w:eastAsia="zh-CN"/>
        </w:rPr>
      </w:pPr>
      <w:r>
        <w:rPr>
          <w:lang w:eastAsia="zh-CN"/>
        </w:rPr>
        <w:t>近日，工信部研究起草的《关于移动通信转售业务正式商用的通告（征求意见稿）》（以下简称《通告（征求意</w:t>
      </w:r>
      <w:r>
        <w:rPr>
          <w:lang w:eastAsia="zh-CN"/>
        </w:rPr>
        <w:t>见稿）》）在工信部网站面向全社会公示</w:t>
      </w:r>
      <w:r>
        <w:rPr>
          <w:lang w:eastAsia="zh-CN"/>
        </w:rPr>
        <w:t>30</w:t>
      </w:r>
      <w:r>
        <w:rPr>
          <w:lang w:eastAsia="zh-CN"/>
        </w:rPr>
        <w:t>天。</w:t>
      </w:r>
    </w:p>
    <w:p w:rsidR="00532350" w:rsidRDefault="00894216">
      <w:pPr>
        <w:pStyle w:val="BodyText"/>
        <w:rPr>
          <w:lang w:eastAsia="zh-CN"/>
        </w:rPr>
      </w:pPr>
      <w:r>
        <w:rPr>
          <w:lang w:eastAsia="zh-CN"/>
        </w:rPr>
        <w:t>《通告（征求意见稿）》，明确了民营企业、国有企业以及外商投资企业可依法依规申请经营移动通信转售业务，提出了企业申请、试点衔接、号码分配、批发价格等政策保障，以及网络与信息安全、用户权益保护等监管要求。下一步，工业和信息化部将持续支持和引导民间资本进入电信领域，进一步鼓励商业模式和服务创新，加强市场和网络信息安全监管，切实保障用户合法权益，推动行业持续健康高质量发展。工信部表示，《通告》正式发布实施后，将按照</w:t>
      </w:r>
      <w:r>
        <w:rPr>
          <w:lang w:eastAsia="zh-CN"/>
        </w:rPr>
        <w:t>WTO</w:t>
      </w:r>
      <w:r>
        <w:rPr>
          <w:lang w:eastAsia="zh-CN"/>
        </w:rPr>
        <w:t>承诺及我国相关法律法规，对外资企业开放移动通信转售</w:t>
      </w:r>
      <w:r>
        <w:rPr>
          <w:lang w:eastAsia="zh-CN"/>
        </w:rPr>
        <w:t>业务。</w:t>
      </w:r>
      <w:bookmarkStart w:id="11" w:name="_GoBack"/>
      <w:bookmarkEnd w:id="11"/>
    </w:p>
    <w:p w:rsidR="00532350" w:rsidRDefault="00894216">
      <w:pPr>
        <w:pStyle w:val="BodyText"/>
      </w:pPr>
      <w:hyperlink r:id="rId15">
        <w:r>
          <w:t>http://www.chinanews.com/gn/2018/01-25/8432554.shtml</w:t>
        </w:r>
      </w:hyperlink>
    </w:p>
    <w:p w:rsidR="00532350" w:rsidRDefault="00894216">
      <w:pPr>
        <w:pStyle w:val="Heading3"/>
        <w:rPr>
          <w:lang w:eastAsia="zh-CN"/>
        </w:rPr>
      </w:pPr>
      <w:bookmarkStart w:id="12" w:name="国务院办公厅印发关于推进农业高新技术产业示范区建设发展的指导意见"/>
      <w:r>
        <w:rPr>
          <w:lang w:eastAsia="zh-CN"/>
        </w:rPr>
        <w:t>国务院办公厅印发《关于推进农业高新技术产业示范区建设发展的指导意见》</w:t>
      </w:r>
      <w:bookmarkEnd w:id="12"/>
    </w:p>
    <w:p w:rsidR="00532350" w:rsidRDefault="00894216">
      <w:pPr>
        <w:pStyle w:val="FirstParagraph"/>
        <w:rPr>
          <w:lang w:eastAsia="zh-CN"/>
        </w:rPr>
      </w:pPr>
      <w:r>
        <w:rPr>
          <w:lang w:eastAsia="zh-CN"/>
        </w:rPr>
        <w:t>日前，国务院办公厅印发《关于推进农业高新技术产业示范区建设发展的指导意见》（以下简称《意见》），对促进农业科技园区提质升级、推进农业高新技术产业示范区建设发展进行部署。</w:t>
      </w:r>
    </w:p>
    <w:p w:rsidR="00532350" w:rsidRDefault="00894216">
      <w:pPr>
        <w:pStyle w:val="BodyText"/>
        <w:rPr>
          <w:lang w:eastAsia="zh-CN"/>
        </w:rPr>
      </w:pPr>
      <w:r>
        <w:rPr>
          <w:lang w:eastAsia="zh-CN"/>
        </w:rPr>
        <w:t>《意见》提出了农业高新技术产业示范区建设发展的八个方面重点任务。一是培育创新主体，培育一批研发投入大、技术水平高、综合效益好的农业创新型企业。二是做强主导产业，加大高新技术研发和推广应用力度，着力提升主导产业技术创新水平。三是集聚科教资源，引导高等学校、科研院所的科技资源和人才向示范区集聚。四是培训职业农民，提升农民职业技能，优化农业从业者结构。五是促进融合共享，推进一二三产业融合发展，推动城乡融合发展</w:t>
      </w:r>
      <w:r>
        <w:rPr>
          <w:rFonts w:eastAsiaTheme="minorEastAsia" w:hint="eastAsia"/>
          <w:lang w:eastAsia="zh-CN"/>
        </w:rPr>
        <w:t>。</w:t>
      </w:r>
      <w:r>
        <w:rPr>
          <w:lang w:eastAsia="zh-CN"/>
        </w:rPr>
        <w:t>六是推动绿色发展，发展循环生态农业，推进农业资源高效利用。七是强化信息服务，促进信息技术与农业农村全面深</w:t>
      </w:r>
      <w:r>
        <w:rPr>
          <w:lang w:eastAsia="zh-CN"/>
        </w:rPr>
        <w:t>度融合，发展智慧农业。八是加强国际合作，结合</w:t>
      </w:r>
      <w:r>
        <w:rPr>
          <w:lang w:eastAsia="zh-CN"/>
        </w:rPr>
        <w:t>“</w:t>
      </w:r>
      <w:r>
        <w:rPr>
          <w:lang w:eastAsia="zh-CN"/>
        </w:rPr>
        <w:t>一带一路</w:t>
      </w:r>
      <w:r>
        <w:rPr>
          <w:lang w:eastAsia="zh-CN"/>
        </w:rPr>
        <w:t>”</w:t>
      </w:r>
      <w:r>
        <w:rPr>
          <w:lang w:eastAsia="zh-CN"/>
        </w:rPr>
        <w:t>建设和农业</w:t>
      </w:r>
      <w:r>
        <w:rPr>
          <w:lang w:eastAsia="zh-CN"/>
        </w:rPr>
        <w:t>“</w:t>
      </w:r>
      <w:r>
        <w:rPr>
          <w:lang w:eastAsia="zh-CN"/>
        </w:rPr>
        <w:t>走出去</w:t>
      </w:r>
      <w:r>
        <w:rPr>
          <w:lang w:eastAsia="zh-CN"/>
        </w:rPr>
        <w:t>”</w:t>
      </w:r>
      <w:r>
        <w:rPr>
          <w:lang w:eastAsia="zh-CN"/>
        </w:rPr>
        <w:t>，统筹利用国际国内两个市场、两种资源。</w:t>
      </w:r>
    </w:p>
    <w:p w:rsidR="00532350" w:rsidRDefault="00894216">
      <w:pPr>
        <w:pStyle w:val="BodyText"/>
      </w:pPr>
      <w:hyperlink r:id="rId16">
        <w:r>
          <w:t>http://www.xinhuanet.com/politics/2018-01/29/c_1122332588.htm</w:t>
        </w:r>
      </w:hyperlink>
    </w:p>
    <w:p w:rsidR="00532350" w:rsidRDefault="00894216">
      <w:pPr>
        <w:pStyle w:val="Heading3"/>
        <w:rPr>
          <w:lang w:eastAsia="zh-CN"/>
        </w:rPr>
      </w:pPr>
      <w:bookmarkStart w:id="13" w:name="国家安全监管总局将施行-冶金企业和有色金属企业安全生产规定"/>
      <w:r>
        <w:rPr>
          <w:lang w:eastAsia="zh-CN"/>
        </w:rPr>
        <w:t>国家安全监管总局将施行</w:t>
      </w:r>
      <w:r>
        <w:rPr>
          <w:lang w:eastAsia="zh-CN"/>
        </w:rPr>
        <w:t xml:space="preserve"> </w:t>
      </w:r>
      <w:r>
        <w:rPr>
          <w:lang w:eastAsia="zh-CN"/>
        </w:rPr>
        <w:t>《冶金企业和有色金属企业安全生产规定》</w:t>
      </w:r>
      <w:bookmarkEnd w:id="13"/>
    </w:p>
    <w:p w:rsidR="00532350" w:rsidRDefault="00894216">
      <w:pPr>
        <w:pStyle w:val="FirstParagraph"/>
        <w:rPr>
          <w:lang w:eastAsia="zh-CN"/>
        </w:rPr>
      </w:pPr>
      <w:r>
        <w:rPr>
          <w:lang w:eastAsia="zh-CN"/>
        </w:rPr>
        <w:t>为规范冶金、有色金属企业安全生产监督管理，强化</w:t>
      </w:r>
      <w:r>
        <w:rPr>
          <w:lang w:eastAsia="zh-CN"/>
        </w:rPr>
        <w:t>金属冶炼安全监管，落实企业安全生产主体责任，有效减少和防止生产安全事故，保护从业人员生命安全和健康，促进安全生产形势稳定好转。日前，国家安全监管总局制定出台了《冶金企业和有色金属企业安全生产规定》（以下简称《规定》）。</w:t>
      </w:r>
    </w:p>
    <w:p w:rsidR="00532350" w:rsidRDefault="00894216">
      <w:pPr>
        <w:pStyle w:val="BodyText"/>
        <w:rPr>
          <w:lang w:eastAsia="zh-CN"/>
        </w:rPr>
      </w:pPr>
      <w:r>
        <w:rPr>
          <w:lang w:eastAsia="zh-CN"/>
        </w:rPr>
        <w:t>《规定》要求，企业要将安全生产保障落实到位，全面落实企业安全生产主体责任。主要体现在安全生产责任制的建立、安全生产风险管控和隐患排查治理双重预防机制的建立、安全生产标准化建设、安全生产管理机构设置及人员配备、安全生产报告制度、存在金属冶炼工艺的建设项目安全设施</w:t>
      </w:r>
      <w:r>
        <w:rPr>
          <w:lang w:eastAsia="zh-CN"/>
        </w:rPr>
        <w:t>“</w:t>
      </w:r>
      <w:r>
        <w:rPr>
          <w:lang w:eastAsia="zh-CN"/>
        </w:rPr>
        <w:t>三同时</w:t>
      </w:r>
      <w:r>
        <w:rPr>
          <w:lang w:eastAsia="zh-CN"/>
        </w:rPr>
        <w:t>”</w:t>
      </w:r>
      <w:r>
        <w:rPr>
          <w:lang w:eastAsia="zh-CN"/>
        </w:rPr>
        <w:t>、危险和有害因素辨识管</w:t>
      </w:r>
      <w:r>
        <w:rPr>
          <w:lang w:eastAsia="zh-CN"/>
        </w:rPr>
        <w:t>理、职业病预防、相关方安全管理、煤气安全管理等</w:t>
      </w:r>
      <w:r>
        <w:rPr>
          <w:lang w:eastAsia="zh-CN"/>
        </w:rPr>
        <w:lastRenderedPageBreak/>
        <w:t>方面。同时，针对高温熔融金属冶炼、浸出、萃取、电解、铸造、金属压延加工过程均存在一定安全风险的现实，《规定》从建（构）筑物防护、起重机械、人员聚集场所设置、高温熔融金属防护、浸出萃取、电解、煤气作业、危险作业等方面提出了安全技术保障要求。</w:t>
      </w:r>
    </w:p>
    <w:p w:rsidR="00532350" w:rsidRDefault="00894216">
      <w:pPr>
        <w:pStyle w:val="BodyText"/>
      </w:pPr>
      <w:hyperlink r:id="rId17">
        <w:r>
          <w:t>https://item.btime.com/32gauistm1u8sua6eirj</w:t>
        </w:r>
        <w:r>
          <w:t>kg5h9nn</w:t>
        </w:r>
      </w:hyperlink>
    </w:p>
    <w:p w:rsidR="00532350" w:rsidRDefault="00894216">
      <w:pPr>
        <w:pStyle w:val="Heading3"/>
      </w:pPr>
      <w:bookmarkStart w:id="14" w:name="广东十一部门联合出台政策措施助推个体私营经济高质量发展"/>
      <w:r>
        <w:t>广东十一部门联合出台政策措施：助推个体私营经济高质量发展</w:t>
      </w:r>
      <w:bookmarkEnd w:id="14"/>
    </w:p>
    <w:p w:rsidR="00532350" w:rsidRDefault="00894216">
      <w:pPr>
        <w:pStyle w:val="FirstParagraph"/>
        <w:rPr>
          <w:lang w:eastAsia="zh-CN"/>
        </w:rPr>
      </w:pPr>
      <w:r>
        <w:rPr>
          <w:lang w:eastAsia="zh-CN"/>
        </w:rPr>
        <w:t>为促进广东经济结构优化，提高经济发展质量，经省政府批准，省工商局等十一部门联合印发《广东省推进个体工商户转型升级，促进经济结构优化的若干政策措施》（以下简称《措施》），出台推进广东个体工商户转型为企业（以下简称</w:t>
      </w:r>
      <w:r>
        <w:rPr>
          <w:lang w:eastAsia="zh-CN"/>
        </w:rPr>
        <w:t>“</w:t>
      </w:r>
      <w:r>
        <w:rPr>
          <w:lang w:eastAsia="zh-CN"/>
        </w:rPr>
        <w:t>个转企</w:t>
      </w:r>
      <w:r>
        <w:rPr>
          <w:lang w:eastAsia="zh-CN"/>
        </w:rPr>
        <w:t>”</w:t>
      </w:r>
      <w:r>
        <w:rPr>
          <w:lang w:eastAsia="zh-CN"/>
        </w:rPr>
        <w:t>）的八项措施，自</w:t>
      </w:r>
      <w:r>
        <w:rPr>
          <w:lang w:eastAsia="zh-CN"/>
        </w:rPr>
        <w:t>2018</w:t>
      </w:r>
      <w:r>
        <w:rPr>
          <w:lang w:eastAsia="zh-CN"/>
        </w:rPr>
        <w:t>年</w:t>
      </w:r>
      <w:r>
        <w:rPr>
          <w:lang w:eastAsia="zh-CN"/>
        </w:rPr>
        <w:t>1</w:t>
      </w:r>
      <w:r>
        <w:rPr>
          <w:lang w:eastAsia="zh-CN"/>
        </w:rPr>
        <w:t>月</w:t>
      </w:r>
      <w:r>
        <w:rPr>
          <w:lang w:eastAsia="zh-CN"/>
        </w:rPr>
        <w:t>1</w:t>
      </w:r>
      <w:r>
        <w:rPr>
          <w:lang w:eastAsia="zh-CN"/>
        </w:rPr>
        <w:t>日起施行。</w:t>
      </w:r>
    </w:p>
    <w:p w:rsidR="00532350" w:rsidRDefault="00894216">
      <w:pPr>
        <w:pStyle w:val="BodyText"/>
        <w:rPr>
          <w:lang w:eastAsia="zh-CN"/>
        </w:rPr>
      </w:pPr>
      <w:r>
        <w:rPr>
          <w:lang w:eastAsia="zh-CN"/>
        </w:rPr>
        <w:t>《措施》从商事登记便利化服务、开设</w:t>
      </w:r>
      <w:r>
        <w:rPr>
          <w:lang w:eastAsia="zh-CN"/>
        </w:rPr>
        <w:t>“</w:t>
      </w:r>
      <w:r>
        <w:rPr>
          <w:lang w:eastAsia="zh-CN"/>
        </w:rPr>
        <w:t>绿色通道</w:t>
      </w:r>
      <w:r>
        <w:rPr>
          <w:lang w:eastAsia="zh-CN"/>
        </w:rPr>
        <w:t>”</w:t>
      </w:r>
      <w:r>
        <w:rPr>
          <w:lang w:eastAsia="zh-CN"/>
        </w:rPr>
        <w:t>服务、降低税费负担、实施财政支持、加强金融扶持、简化土地等权利转移登记、加强知识产权保护等七个方面，联合推出</w:t>
      </w:r>
      <w:r>
        <w:rPr>
          <w:lang w:eastAsia="zh-CN"/>
        </w:rPr>
        <w:t>25</w:t>
      </w:r>
      <w:r>
        <w:rPr>
          <w:lang w:eastAsia="zh-CN"/>
        </w:rPr>
        <w:t>项具体扶持措施，</w:t>
      </w:r>
      <w:r>
        <w:rPr>
          <w:lang w:eastAsia="zh-CN"/>
        </w:rPr>
        <w:t>协同做好转前、转中、转后服务，支持个体工商户顺利转型并平稳过渡。其中，商事登记便利化措施</w:t>
      </w:r>
      <w:r>
        <w:rPr>
          <w:lang w:eastAsia="zh-CN"/>
        </w:rPr>
        <w:t>3</w:t>
      </w:r>
      <w:r>
        <w:rPr>
          <w:lang w:eastAsia="zh-CN"/>
        </w:rPr>
        <w:t>项，包括登记机关一并办理新设企业登记和原个体工商户注销登记，最大限度保留个体工商户字号和行业特点等。降低税费负担方面</w:t>
      </w:r>
      <w:r>
        <w:rPr>
          <w:lang w:eastAsia="zh-CN"/>
        </w:rPr>
        <w:t>6</w:t>
      </w:r>
      <w:r>
        <w:rPr>
          <w:lang w:eastAsia="zh-CN"/>
        </w:rPr>
        <w:t>项优惠扶持措施，包括减征企业所得税、个人所得税优惠、免征权属转移契税、免征教育费附加和地方教育附加、免征残疾人就业保障金和工会经费，以及可申请延期缴纳税款等多个税种多个环节等。</w:t>
      </w:r>
    </w:p>
    <w:p w:rsidR="00532350" w:rsidRDefault="00894216">
      <w:pPr>
        <w:pStyle w:val="BodyText"/>
      </w:pPr>
      <w:hyperlink r:id="rId18">
        <w:r>
          <w:t>http://www.gov.cn/xinwen/2018-01/30/content_5262026.htm</w:t>
        </w:r>
      </w:hyperlink>
    </w:p>
    <w:p w:rsidR="00532350" w:rsidRDefault="00894216">
      <w:pPr>
        <w:pStyle w:val="Heading3"/>
        <w:rPr>
          <w:lang w:eastAsia="zh-CN"/>
        </w:rPr>
      </w:pPr>
      <w:bookmarkStart w:id="15" w:name="民政部建立社会组织严重违法失信名单"/>
      <w:r>
        <w:rPr>
          <w:lang w:eastAsia="zh-CN"/>
        </w:rPr>
        <w:t>民政部：建立社会组织严重违法失信名单</w:t>
      </w:r>
      <w:bookmarkEnd w:id="15"/>
    </w:p>
    <w:p w:rsidR="00532350" w:rsidRDefault="00894216">
      <w:pPr>
        <w:pStyle w:val="FirstParagraph"/>
        <w:rPr>
          <w:lang w:eastAsia="zh-CN"/>
        </w:rPr>
      </w:pPr>
      <w:r>
        <w:rPr>
          <w:lang w:eastAsia="zh-CN"/>
        </w:rPr>
        <w:t>近日，民政部对外发布《社会组织信用信息管理办法》（以下简称《办法》），要求全国社会组织信用信息登记管理机关依据社会组织未依法履行义务或者存在违法违规行为的有关信用信息，建立社会组织活动异常名录和严重违法失信名单制度。</w:t>
      </w:r>
    </w:p>
    <w:p w:rsidR="00532350" w:rsidRDefault="00894216">
      <w:pPr>
        <w:pStyle w:val="BodyText"/>
        <w:rPr>
          <w:lang w:eastAsia="zh-CN"/>
        </w:rPr>
      </w:pPr>
      <w:r>
        <w:rPr>
          <w:lang w:eastAsia="zh-CN"/>
        </w:rPr>
        <w:t>《办法》指出，社会组织在被列入活动异常名录期间，再次出现应当列入活动异常名录情形的，列入时限重新计算。被列入活动异常名录</w:t>
      </w:r>
      <w:r>
        <w:rPr>
          <w:lang w:eastAsia="zh-CN"/>
        </w:rPr>
        <w:t>的社会组织按照规定履行相关义务或者完成整改要求的，可以向登记管理机关申请移出活动异常名录，登记管理机关应当自查实之日起</w:t>
      </w:r>
      <w:r>
        <w:rPr>
          <w:lang w:eastAsia="zh-CN"/>
        </w:rPr>
        <w:t>5</w:t>
      </w:r>
      <w:r>
        <w:rPr>
          <w:lang w:eastAsia="zh-CN"/>
        </w:rPr>
        <w:t>个工作日内将其移出活动异常名录。《办法》指出，列入严重违法失信名单所依据的行政处罚决定、撤销登记决定或者</w:t>
      </w:r>
      <w:r>
        <w:rPr>
          <w:lang w:eastAsia="zh-CN"/>
        </w:rPr>
        <w:t>“</w:t>
      </w:r>
      <w:r>
        <w:rPr>
          <w:lang w:eastAsia="zh-CN"/>
        </w:rPr>
        <w:t>失信被执行人</w:t>
      </w:r>
      <w:r>
        <w:rPr>
          <w:lang w:eastAsia="zh-CN"/>
        </w:rPr>
        <w:t>”</w:t>
      </w:r>
      <w:r>
        <w:rPr>
          <w:lang w:eastAsia="zh-CN"/>
        </w:rPr>
        <w:t>名单被依法撤销或者删除的，社会组织可以向登记管理机关提出移出申请，登记管理机关应当自查实之日起</w:t>
      </w:r>
      <w:r>
        <w:rPr>
          <w:lang w:eastAsia="zh-CN"/>
        </w:rPr>
        <w:t>5</w:t>
      </w:r>
      <w:r>
        <w:rPr>
          <w:lang w:eastAsia="zh-CN"/>
        </w:rPr>
        <w:t>个工作日内将其移出严重违法失信名单。社会组织的信用信息、活动异常名录和严重违法失信名单应当向社会公开。</w:t>
      </w:r>
    </w:p>
    <w:p w:rsidR="00532350" w:rsidRDefault="00894216">
      <w:pPr>
        <w:pStyle w:val="BodyText"/>
      </w:pPr>
      <w:hyperlink r:id="rId19">
        <w:r>
          <w:t>http://www.ce.cn/xwzx/gnsz/gdxw/201801/30/t20180130_27980734.shtml</w:t>
        </w:r>
      </w:hyperlink>
    </w:p>
    <w:p w:rsidR="00532350" w:rsidRDefault="00894216">
      <w:pPr>
        <w:pStyle w:val="Heading2"/>
        <w:rPr>
          <w:lang w:eastAsia="zh-CN"/>
        </w:rPr>
      </w:pPr>
      <w:bookmarkStart w:id="16" w:name="并购"/>
      <w:r>
        <w:rPr>
          <w:lang w:eastAsia="zh-CN"/>
        </w:rPr>
        <w:t>并购</w:t>
      </w:r>
      <w:bookmarkEnd w:id="16"/>
    </w:p>
    <w:p w:rsidR="00532350" w:rsidRDefault="00894216">
      <w:pPr>
        <w:pStyle w:val="Heading3"/>
        <w:rPr>
          <w:lang w:eastAsia="zh-CN"/>
        </w:rPr>
      </w:pPr>
      <w:bookmarkStart w:id="17" w:name="科瑞集团完成对德国biotest公司收购"/>
      <w:r>
        <w:rPr>
          <w:lang w:eastAsia="zh-CN"/>
        </w:rPr>
        <w:t>科瑞集团完成对德国</w:t>
      </w:r>
      <w:proofErr w:type="spellStart"/>
      <w:r>
        <w:rPr>
          <w:lang w:eastAsia="zh-CN"/>
        </w:rPr>
        <w:t>Biotest</w:t>
      </w:r>
      <w:proofErr w:type="spellEnd"/>
      <w:r>
        <w:rPr>
          <w:lang w:eastAsia="zh-CN"/>
        </w:rPr>
        <w:t>公司收购</w:t>
      </w:r>
      <w:bookmarkEnd w:id="17"/>
    </w:p>
    <w:p w:rsidR="00532350" w:rsidRDefault="00894216">
      <w:pPr>
        <w:pStyle w:val="FirstParagraph"/>
        <w:rPr>
          <w:lang w:eastAsia="zh-CN"/>
        </w:rPr>
      </w:pPr>
      <w:r>
        <w:rPr>
          <w:lang w:eastAsia="zh-CN"/>
        </w:rPr>
        <w:t>2018</w:t>
      </w:r>
      <w:r>
        <w:rPr>
          <w:lang w:eastAsia="zh-CN"/>
        </w:rPr>
        <w:t>年</w:t>
      </w:r>
      <w:r>
        <w:rPr>
          <w:lang w:eastAsia="zh-CN"/>
        </w:rPr>
        <w:t>1</w:t>
      </w:r>
      <w:r>
        <w:rPr>
          <w:lang w:eastAsia="zh-CN"/>
        </w:rPr>
        <w:t>月</w:t>
      </w:r>
      <w:r>
        <w:rPr>
          <w:lang w:eastAsia="zh-CN"/>
        </w:rPr>
        <w:t>31</w:t>
      </w:r>
      <w:r>
        <w:rPr>
          <w:lang w:eastAsia="zh-CN"/>
        </w:rPr>
        <w:t>日，德国</w:t>
      </w:r>
      <w:proofErr w:type="spellStart"/>
      <w:r>
        <w:rPr>
          <w:lang w:eastAsia="zh-CN"/>
        </w:rPr>
        <w:t>Biotest</w:t>
      </w:r>
      <w:proofErr w:type="spellEnd"/>
      <w:r>
        <w:rPr>
          <w:lang w:eastAsia="zh-CN"/>
        </w:rPr>
        <w:t xml:space="preserve"> AG</w:t>
      </w:r>
      <w:r>
        <w:rPr>
          <w:lang w:eastAsia="zh-CN"/>
        </w:rPr>
        <w:t>（以下简称</w:t>
      </w:r>
      <w:r>
        <w:rPr>
          <w:lang w:eastAsia="zh-CN"/>
        </w:rPr>
        <w:t>“</w:t>
      </w:r>
      <w:proofErr w:type="spellStart"/>
      <w:r>
        <w:rPr>
          <w:lang w:eastAsia="zh-CN"/>
        </w:rPr>
        <w:t>Biotest</w:t>
      </w:r>
      <w:proofErr w:type="spellEnd"/>
      <w:r>
        <w:rPr>
          <w:lang w:eastAsia="zh-CN"/>
        </w:rPr>
        <w:t>”</w:t>
      </w:r>
      <w:r>
        <w:rPr>
          <w:lang w:eastAsia="zh-CN"/>
        </w:rPr>
        <w:t>）公司公告称，来自中国的科瑞集团已经完成对其收购，相关股份已正式交割过户到科瑞集团相关收购主体名下。至此，这宗行业瞩目的全球血液制品并购案，历时一年多，历经</w:t>
      </w:r>
      <w:r>
        <w:rPr>
          <w:lang w:eastAsia="zh-CN"/>
        </w:rPr>
        <w:t>各国政府的层层审批，终于完成交割。</w:t>
      </w:r>
    </w:p>
    <w:p w:rsidR="00532350" w:rsidRDefault="00894216">
      <w:pPr>
        <w:pStyle w:val="BodyText"/>
        <w:rPr>
          <w:lang w:eastAsia="zh-CN"/>
        </w:rPr>
      </w:pPr>
      <w:r>
        <w:rPr>
          <w:lang w:eastAsia="zh-CN"/>
        </w:rPr>
        <w:t>此次交易完成后，科瑞集团旗下将拥有六家血液制品企业（上海莱士、</w:t>
      </w:r>
      <w:r>
        <w:rPr>
          <w:lang w:eastAsia="zh-CN"/>
        </w:rPr>
        <w:t>BPL</w:t>
      </w:r>
      <w:r>
        <w:rPr>
          <w:lang w:eastAsia="zh-CN"/>
        </w:rPr>
        <w:t>及</w:t>
      </w:r>
      <w:proofErr w:type="spellStart"/>
      <w:r>
        <w:rPr>
          <w:lang w:eastAsia="zh-CN"/>
        </w:rPr>
        <w:t>Biotest</w:t>
      </w:r>
      <w:proofErr w:type="spellEnd"/>
      <w:r>
        <w:rPr>
          <w:lang w:eastAsia="zh-CN"/>
        </w:rPr>
        <w:t>等），无论在浆站数量、产能还是产品种类上，都将正式跻身全球血液制品巨头行列。六家企业在血浆采集、制品生产、在研产品和销售网络等方面都将形成良好的优势互补，有望充分发挥协同效应，大大提升整体盈利能力。据公开资料介绍，</w:t>
      </w:r>
      <w:proofErr w:type="spellStart"/>
      <w:r>
        <w:rPr>
          <w:lang w:eastAsia="zh-CN"/>
        </w:rPr>
        <w:t>Biotest</w:t>
      </w:r>
      <w:proofErr w:type="spellEnd"/>
      <w:r>
        <w:rPr>
          <w:lang w:eastAsia="zh-CN"/>
        </w:rPr>
        <w:t xml:space="preserve"> AG</w:t>
      </w:r>
      <w:r>
        <w:rPr>
          <w:lang w:eastAsia="zh-CN"/>
        </w:rPr>
        <w:t>是一家具有</w:t>
      </w:r>
      <w:r>
        <w:rPr>
          <w:lang w:eastAsia="zh-CN"/>
        </w:rPr>
        <w:t>70</w:t>
      </w:r>
      <w:r>
        <w:rPr>
          <w:lang w:eastAsia="zh-CN"/>
        </w:rPr>
        <w:t>年血液制品制造经验的全球性全产业链血液制品公司，公司总部位于德国黑森州德赖埃希，现有业务主要为血浆采集与血液制品的生产和销售，其中血液制品包括人</w:t>
      </w:r>
      <w:r>
        <w:rPr>
          <w:lang w:eastAsia="zh-CN"/>
        </w:rPr>
        <w:t>血白蛋白、免疫球蛋白和凝血因子三大类。</w:t>
      </w:r>
    </w:p>
    <w:p w:rsidR="00532350" w:rsidRDefault="00894216">
      <w:pPr>
        <w:pStyle w:val="BodyText"/>
      </w:pPr>
      <w:hyperlink r:id="rId20">
        <w:r>
          <w:t>http://company.stcn.com/2018/0201/13947010.shtml</w:t>
        </w:r>
      </w:hyperlink>
    </w:p>
    <w:p w:rsidR="00532350" w:rsidRDefault="00894216">
      <w:pPr>
        <w:pStyle w:val="Heading3"/>
      </w:pPr>
      <w:bookmarkStart w:id="18" w:name="中国铝业拟127亿元收购4家子公司股权"/>
      <w:r>
        <w:t>中国铝业拟</w:t>
      </w:r>
      <w:r>
        <w:t>127</w:t>
      </w:r>
      <w:r>
        <w:t>亿元收购</w:t>
      </w:r>
      <w:r>
        <w:t>4</w:t>
      </w:r>
      <w:r>
        <w:t>家子公司股权</w:t>
      </w:r>
      <w:bookmarkEnd w:id="18"/>
    </w:p>
    <w:p w:rsidR="00532350" w:rsidRDefault="00894216">
      <w:pPr>
        <w:pStyle w:val="FirstParagraph"/>
        <w:rPr>
          <w:lang w:eastAsia="zh-CN"/>
        </w:rPr>
      </w:pPr>
      <w:r>
        <w:rPr>
          <w:lang w:eastAsia="zh-CN"/>
        </w:rPr>
        <w:t>中国铝业</w:t>
      </w:r>
      <w:r>
        <w:rPr>
          <w:lang w:eastAsia="zh-CN"/>
        </w:rPr>
        <w:t>2018</w:t>
      </w:r>
      <w:r>
        <w:rPr>
          <w:lang w:eastAsia="zh-CN"/>
        </w:rPr>
        <w:t>年</w:t>
      </w:r>
      <w:r>
        <w:rPr>
          <w:lang w:eastAsia="zh-CN"/>
        </w:rPr>
        <w:t>1</w:t>
      </w:r>
      <w:r>
        <w:rPr>
          <w:lang w:eastAsia="zh-CN"/>
        </w:rPr>
        <w:t>月</w:t>
      </w:r>
      <w:r>
        <w:rPr>
          <w:lang w:eastAsia="zh-CN"/>
        </w:rPr>
        <w:t>31</w:t>
      </w:r>
      <w:r>
        <w:rPr>
          <w:lang w:eastAsia="zh-CN"/>
        </w:rPr>
        <w:t>日晚公告称，拟采用发行股份购买资产的方式，向华融瑞通、中国人寿、招平投资等</w:t>
      </w:r>
      <w:r>
        <w:rPr>
          <w:lang w:eastAsia="zh-CN"/>
        </w:rPr>
        <w:t>8</w:t>
      </w:r>
      <w:r>
        <w:rPr>
          <w:lang w:eastAsia="zh-CN"/>
        </w:rPr>
        <w:t>名交易对方购买其合计持有的包头铝业</w:t>
      </w:r>
      <w:r>
        <w:rPr>
          <w:lang w:eastAsia="zh-CN"/>
        </w:rPr>
        <w:t>25.67%</w:t>
      </w:r>
      <w:r>
        <w:rPr>
          <w:lang w:eastAsia="zh-CN"/>
        </w:rPr>
        <w:t>股权、中铝山东</w:t>
      </w:r>
      <w:r>
        <w:rPr>
          <w:lang w:eastAsia="zh-CN"/>
        </w:rPr>
        <w:t>30.80%</w:t>
      </w:r>
      <w:r>
        <w:rPr>
          <w:lang w:eastAsia="zh-CN"/>
        </w:rPr>
        <w:t>股权、中州铝业</w:t>
      </w:r>
      <w:r>
        <w:rPr>
          <w:lang w:eastAsia="zh-CN"/>
        </w:rPr>
        <w:t>36.90%</w:t>
      </w:r>
      <w:r>
        <w:rPr>
          <w:lang w:eastAsia="zh-CN"/>
        </w:rPr>
        <w:t>股权和中铝矿业</w:t>
      </w:r>
      <w:r>
        <w:rPr>
          <w:lang w:eastAsia="zh-CN"/>
        </w:rPr>
        <w:t>81.14%</w:t>
      </w:r>
      <w:r>
        <w:rPr>
          <w:lang w:eastAsia="zh-CN"/>
        </w:rPr>
        <w:t>股权。上述交易标的资产预估值总计约</w:t>
      </w:r>
      <w:r>
        <w:rPr>
          <w:lang w:eastAsia="zh-CN"/>
        </w:rPr>
        <w:t>127.04</w:t>
      </w:r>
      <w:r>
        <w:rPr>
          <w:lang w:eastAsia="zh-CN"/>
        </w:rPr>
        <w:t>亿元。本次购买资产的股份发行价格为</w:t>
      </w:r>
      <w:r>
        <w:rPr>
          <w:lang w:eastAsia="zh-CN"/>
        </w:rPr>
        <w:t>6</w:t>
      </w:r>
      <w:r>
        <w:rPr>
          <w:lang w:eastAsia="zh-CN"/>
        </w:rPr>
        <w:t>元</w:t>
      </w:r>
      <w:r>
        <w:rPr>
          <w:lang w:eastAsia="zh-CN"/>
        </w:rPr>
        <w:t>/</w:t>
      </w:r>
      <w:r>
        <w:rPr>
          <w:lang w:eastAsia="zh-CN"/>
        </w:rPr>
        <w:t>股，发行股票数量约为</w:t>
      </w:r>
      <w:r>
        <w:rPr>
          <w:lang w:eastAsia="zh-CN"/>
        </w:rPr>
        <w:t>21.17</w:t>
      </w:r>
      <w:r>
        <w:rPr>
          <w:lang w:eastAsia="zh-CN"/>
        </w:rPr>
        <w:t>亿股。本次发行股份购买资产实施完成后，标的公司将成为上市公司全资子公司。</w:t>
      </w:r>
    </w:p>
    <w:p w:rsidR="00532350" w:rsidRDefault="00894216">
      <w:pPr>
        <w:pStyle w:val="BodyText"/>
        <w:rPr>
          <w:lang w:eastAsia="zh-CN"/>
        </w:rPr>
      </w:pPr>
      <w:r>
        <w:rPr>
          <w:lang w:eastAsia="zh-CN"/>
        </w:rPr>
        <w:t>公司表示，从业务角度来看，本次交易系中国铝业收购控股子公司包头铝业、中铝山东、中州铝业和中铝矿业</w:t>
      </w:r>
      <w:r>
        <w:rPr>
          <w:lang w:eastAsia="zh-CN"/>
        </w:rPr>
        <w:t>的少数股东权益，交易前后中国铝业的主营业务范围未发生变化。本次发行股份购买资产实施后，将有利于降低上市公司整体资产负债率、增强标的公司可持续发展能力，提高中国铝业中长期市场竞争力和盈利能力。但公司总股本规模将扩大，短期内存在即期回报指标被摊薄的风险。根据公告，本次交易完成后，公司的控制权未发生变化，控股股东仍为中铝集团，实际控制人仍为国务院国资委。公司股票继续停牌。</w:t>
      </w:r>
    </w:p>
    <w:p w:rsidR="00532350" w:rsidRDefault="00894216">
      <w:pPr>
        <w:pStyle w:val="BodyText"/>
        <w:rPr>
          <w:lang w:eastAsia="zh-CN"/>
        </w:rPr>
      </w:pPr>
      <w:hyperlink r:id="rId21">
        <w:r>
          <w:rPr>
            <w:lang w:eastAsia="zh-CN"/>
          </w:rPr>
          <w:t>htt</w:t>
        </w:r>
        <w:r>
          <w:rPr>
            <w:lang w:eastAsia="zh-CN"/>
          </w:rPr>
          <w:t>p://company.stcn.com/2018/0201/13946757.shtml</w:t>
        </w:r>
      </w:hyperlink>
    </w:p>
    <w:p w:rsidR="00532350" w:rsidRDefault="00894216">
      <w:pPr>
        <w:pStyle w:val="Heading3"/>
        <w:rPr>
          <w:lang w:eastAsia="zh-CN"/>
        </w:rPr>
      </w:pPr>
      <w:bookmarkStart w:id="19" w:name="汤臣倍健拟6.9亿澳元收购澳洲益生菌企业"/>
      <w:r>
        <w:rPr>
          <w:lang w:eastAsia="zh-CN"/>
        </w:rPr>
        <w:t>汤臣倍健拟</w:t>
      </w:r>
      <w:r>
        <w:rPr>
          <w:lang w:eastAsia="zh-CN"/>
        </w:rPr>
        <w:t>6.9</w:t>
      </w:r>
      <w:r>
        <w:rPr>
          <w:lang w:eastAsia="zh-CN"/>
        </w:rPr>
        <w:t>亿澳元收购澳洲益生菌企业</w:t>
      </w:r>
      <w:bookmarkEnd w:id="19"/>
    </w:p>
    <w:p w:rsidR="00532350" w:rsidRDefault="00894216">
      <w:pPr>
        <w:pStyle w:val="FirstParagraph"/>
        <w:rPr>
          <w:lang w:eastAsia="zh-CN"/>
        </w:rPr>
      </w:pPr>
      <w:r>
        <w:rPr>
          <w:lang w:eastAsia="zh-CN"/>
        </w:rPr>
        <w:t>汤臣倍健于</w:t>
      </w:r>
      <w:r>
        <w:rPr>
          <w:lang w:eastAsia="zh-CN"/>
        </w:rPr>
        <w:t>2018</w:t>
      </w:r>
      <w:r>
        <w:rPr>
          <w:lang w:eastAsia="zh-CN"/>
        </w:rPr>
        <w:t>年</w:t>
      </w:r>
      <w:r>
        <w:rPr>
          <w:lang w:eastAsia="zh-CN"/>
        </w:rPr>
        <w:t>1</w:t>
      </w:r>
      <w:r>
        <w:rPr>
          <w:lang w:eastAsia="zh-CN"/>
        </w:rPr>
        <w:t>月</w:t>
      </w:r>
      <w:r>
        <w:rPr>
          <w:lang w:eastAsia="zh-CN"/>
        </w:rPr>
        <w:t>31</w:t>
      </w:r>
      <w:r>
        <w:rPr>
          <w:lang w:eastAsia="zh-CN"/>
        </w:rPr>
        <w:t>日晚公告称，公司澳大利亚全资子公司拟以现金方式购买澳洲益生菌企业</w:t>
      </w:r>
      <w:r>
        <w:rPr>
          <w:lang w:eastAsia="zh-CN"/>
        </w:rPr>
        <w:t>Life-Space</w:t>
      </w:r>
      <w:r>
        <w:rPr>
          <w:lang w:eastAsia="zh-CN"/>
        </w:rPr>
        <w:t>集团的</w:t>
      </w:r>
      <w:r>
        <w:rPr>
          <w:lang w:eastAsia="zh-CN"/>
        </w:rPr>
        <w:t>100%</w:t>
      </w:r>
      <w:r>
        <w:rPr>
          <w:lang w:eastAsia="zh-CN"/>
        </w:rPr>
        <w:t>股权，本次交易最终对价将不高于</w:t>
      </w:r>
      <w:r>
        <w:rPr>
          <w:lang w:eastAsia="zh-CN"/>
        </w:rPr>
        <w:t>6.9</w:t>
      </w:r>
      <w:r>
        <w:rPr>
          <w:lang w:eastAsia="zh-CN"/>
        </w:rPr>
        <w:t>亿澳元。</w:t>
      </w:r>
    </w:p>
    <w:p w:rsidR="00532350" w:rsidRDefault="00894216">
      <w:pPr>
        <w:pStyle w:val="BodyText"/>
        <w:rPr>
          <w:lang w:eastAsia="zh-CN"/>
        </w:rPr>
      </w:pPr>
      <w:proofErr w:type="spellStart"/>
      <w:r>
        <w:t>公司表示，</w:t>
      </w:r>
      <w:r>
        <w:t>Life-Space</w:t>
      </w:r>
      <w:r>
        <w:t>集团旗下主要品牌为</w:t>
      </w:r>
      <w:r>
        <w:t>Life-Space</w:t>
      </w:r>
      <w:r>
        <w:t>，产品覆盖全年龄段人群</w:t>
      </w:r>
      <w:proofErr w:type="spellEnd"/>
      <w:r>
        <w:t>。</w:t>
      </w:r>
      <w:r>
        <w:t xml:space="preserve"> 2014</w:t>
      </w:r>
      <w:r>
        <w:t>年，</w:t>
      </w:r>
      <w:r>
        <w:t>Life-Space</w:t>
      </w:r>
      <w:r>
        <w:t>通过</w:t>
      </w:r>
      <w:r>
        <w:t>“</w:t>
      </w:r>
      <w:proofErr w:type="spellStart"/>
      <w:r>
        <w:t>跨境电商</w:t>
      </w:r>
      <w:r>
        <w:t>”</w:t>
      </w:r>
      <w:r>
        <w:t>进入中国市场，目前</w:t>
      </w:r>
      <w:r>
        <w:t>Life-Space</w:t>
      </w:r>
      <w:r>
        <w:t>益生菌产品在澳洲和中国市场</w:t>
      </w:r>
      <w:r>
        <w:t>积累了良好的体验口碑和品牌基础</w:t>
      </w:r>
      <w:proofErr w:type="spellEnd"/>
      <w:r>
        <w:t>。</w:t>
      </w:r>
      <w:r>
        <w:rPr>
          <w:lang w:eastAsia="zh-CN"/>
        </w:rPr>
        <w:t>此外，公司表示，本次交易构成重大资产重组。具体方案正在进一步洽谈、沟通当中，尚存在不确定性。根据深圳证券交易所相关规定，公司股票自</w:t>
      </w:r>
      <w:r>
        <w:rPr>
          <w:lang w:eastAsia="zh-CN"/>
        </w:rPr>
        <w:t>2018</w:t>
      </w:r>
      <w:r>
        <w:rPr>
          <w:lang w:eastAsia="zh-CN"/>
        </w:rPr>
        <w:t>年</w:t>
      </w:r>
      <w:r>
        <w:rPr>
          <w:lang w:eastAsia="zh-CN"/>
        </w:rPr>
        <w:t>2</w:t>
      </w:r>
      <w:r>
        <w:rPr>
          <w:lang w:eastAsia="zh-CN"/>
        </w:rPr>
        <w:t>月</w:t>
      </w:r>
      <w:r>
        <w:rPr>
          <w:lang w:eastAsia="zh-CN"/>
        </w:rPr>
        <w:t>1</w:t>
      </w:r>
      <w:r>
        <w:rPr>
          <w:lang w:eastAsia="zh-CN"/>
        </w:rPr>
        <w:t>日开市起停牌。</w:t>
      </w:r>
    </w:p>
    <w:p w:rsidR="00532350" w:rsidRDefault="00894216">
      <w:pPr>
        <w:pStyle w:val="BodyText"/>
      </w:pPr>
      <w:hyperlink r:id="rId22">
        <w:r>
          <w:t>http://company.stcn.com/2018/0201/13946746.shtml</w:t>
        </w:r>
      </w:hyperlink>
    </w:p>
    <w:p w:rsidR="00532350" w:rsidRDefault="00894216">
      <w:pPr>
        <w:pStyle w:val="Heading3"/>
      </w:pPr>
      <w:bookmarkStart w:id="20" w:name="亿美汇金拟被上市公司控股收购估值11.6亿元"/>
      <w:r>
        <w:t>亿美汇金拟被上市公司控股收购，估值</w:t>
      </w:r>
      <w:r>
        <w:t>11.6</w:t>
      </w:r>
      <w:r>
        <w:t>亿元</w:t>
      </w:r>
      <w:bookmarkEnd w:id="20"/>
    </w:p>
    <w:p w:rsidR="00532350" w:rsidRDefault="00894216">
      <w:pPr>
        <w:pStyle w:val="FirstParagraph"/>
        <w:rPr>
          <w:lang w:eastAsia="zh-CN"/>
        </w:rPr>
      </w:pPr>
      <w:r>
        <w:rPr>
          <w:lang w:eastAsia="zh-CN"/>
        </w:rPr>
        <w:t>亿美汇金</w:t>
      </w:r>
      <w:r>
        <w:rPr>
          <w:lang w:eastAsia="zh-CN"/>
        </w:rPr>
        <w:t>2018</w:t>
      </w:r>
      <w:r>
        <w:rPr>
          <w:lang w:eastAsia="zh-CN"/>
        </w:rPr>
        <w:t>年</w:t>
      </w:r>
      <w:r>
        <w:rPr>
          <w:lang w:eastAsia="zh-CN"/>
        </w:rPr>
        <w:t>1</w:t>
      </w:r>
      <w:r>
        <w:rPr>
          <w:lang w:eastAsia="zh-CN"/>
        </w:rPr>
        <w:t>月</w:t>
      </w:r>
      <w:r>
        <w:rPr>
          <w:lang w:eastAsia="zh-CN"/>
        </w:rPr>
        <w:t>30</w:t>
      </w:r>
      <w:r>
        <w:rPr>
          <w:lang w:eastAsia="zh-CN"/>
        </w:rPr>
        <w:t>日公告，上</w:t>
      </w:r>
      <w:r>
        <w:rPr>
          <w:lang w:eastAsia="zh-CN"/>
        </w:rPr>
        <w:t>海钰昌投资管理有限公司拟以现金方式，收购亿美汇金</w:t>
      </w:r>
      <w:r>
        <w:rPr>
          <w:lang w:eastAsia="zh-CN"/>
        </w:rPr>
        <w:t>5561.66</w:t>
      </w:r>
      <w:r>
        <w:rPr>
          <w:lang w:eastAsia="zh-CN"/>
        </w:rPr>
        <w:t>万股股票，资金总额为</w:t>
      </w:r>
      <w:r>
        <w:rPr>
          <w:lang w:eastAsia="zh-CN"/>
        </w:rPr>
        <w:t>6.38</w:t>
      </w:r>
      <w:r>
        <w:rPr>
          <w:lang w:eastAsia="zh-CN"/>
        </w:rPr>
        <w:t>亿元。上述收购实施前，收购人上海钰昌未持有亿美汇金股份。此次交易完成后，上海钰昌持有亿美汇</w:t>
      </w:r>
      <w:r>
        <w:rPr>
          <w:lang w:eastAsia="zh-CN"/>
        </w:rPr>
        <w:t>5561.66</w:t>
      </w:r>
      <w:r>
        <w:rPr>
          <w:lang w:eastAsia="zh-CN"/>
        </w:rPr>
        <w:t>万股股份，占亿美汇金股份总数的</w:t>
      </w:r>
      <w:r>
        <w:rPr>
          <w:lang w:eastAsia="zh-CN"/>
        </w:rPr>
        <w:t>55%</w:t>
      </w:r>
      <w:r>
        <w:rPr>
          <w:lang w:eastAsia="zh-CN"/>
        </w:rPr>
        <w:t>。</w:t>
      </w:r>
    </w:p>
    <w:p w:rsidR="00532350" w:rsidRDefault="00894216">
      <w:pPr>
        <w:pStyle w:val="BodyText"/>
        <w:rPr>
          <w:lang w:eastAsia="zh-CN"/>
        </w:rPr>
      </w:pPr>
      <w:r>
        <w:rPr>
          <w:lang w:eastAsia="zh-CN"/>
        </w:rPr>
        <w:t>据公告，上海钰昌为中昌数据的全资子公司，其收购亿美汇金的目的是进一步深耕大数据产业领域，以企业客户忠诚度营销与管理综合服务为新的立足点，致力于为保险、银行、电信、航空等领域的大型机构提供客户忠诚度管理服务。收购人未来将利用亿美汇金存量用户数据建立客户忠诚度管理体系，逐步扩大大数</w:t>
      </w:r>
      <w:r>
        <w:rPr>
          <w:lang w:eastAsia="zh-CN"/>
        </w:rPr>
        <w:t>据商业化领域。按照亿美汇金近两年的财报，该公司需业绩保持大幅增长，才能实现股东承诺的利润。</w:t>
      </w:r>
    </w:p>
    <w:p w:rsidR="00532350" w:rsidRDefault="00894216">
      <w:pPr>
        <w:pStyle w:val="BodyText"/>
      </w:pPr>
      <w:hyperlink r:id="rId23">
        <w:r>
          <w:t>http://sanban.stcn.com/2018/0131/13943658.shtml</w:t>
        </w:r>
      </w:hyperlink>
    </w:p>
    <w:p w:rsidR="00532350" w:rsidRDefault="00894216">
      <w:pPr>
        <w:pStyle w:val="DisclaimerBold"/>
      </w:pPr>
      <w:r>
        <w:t>此法讯仅为提供相关资料信息之用，其内容并</w:t>
      </w:r>
    </w:p>
    <w:p w:rsidR="00532350" w:rsidRDefault="00894216">
      <w:pPr>
        <w:pStyle w:val="Disclaimer"/>
        <w:rPr>
          <w:lang w:eastAsia="zh-CN"/>
        </w:rPr>
      </w:pPr>
      <w:r>
        <w:rPr>
          <w:lang w:eastAsia="zh-CN"/>
        </w:rPr>
        <w:t>不构成法律建议及个案的法律分析。</w:t>
      </w:r>
    </w:p>
    <w:p w:rsidR="00532350" w:rsidRDefault="00894216">
      <w:pPr>
        <w:pStyle w:val="Disclaimer"/>
        <w:rPr>
          <w:lang w:eastAsia="zh-CN"/>
        </w:rPr>
      </w:pPr>
      <w:r>
        <w:rPr>
          <w:lang w:eastAsia="zh-CN"/>
        </w:rPr>
        <w:t>此法讯的发送并不是为了在易周律师行与用户或浏览者之间建立一种律师与客户之关系。</w:t>
      </w:r>
    </w:p>
    <w:p w:rsidR="00532350" w:rsidRDefault="00894216">
      <w:pPr>
        <w:pStyle w:val="Disclaimer"/>
        <w:rPr>
          <w:lang w:eastAsia="zh-CN"/>
        </w:rPr>
      </w:pPr>
      <w:r>
        <w:rPr>
          <w:lang w:eastAsia="zh-CN"/>
        </w:rPr>
        <w:t>易周律师行并不对可从互联网获得的任</w:t>
      </w:r>
      <w:r>
        <w:rPr>
          <w:lang w:eastAsia="zh-CN"/>
        </w:rPr>
        <w:t>何第三方内容负责。</w:t>
      </w:r>
    </w:p>
    <w:p w:rsidR="00532350" w:rsidRDefault="00894216">
      <w:pPr>
        <w:pStyle w:val="Disclaimer"/>
        <w:rPr>
          <w:lang w:eastAsia="zh-CN"/>
        </w:rPr>
      </w:pPr>
      <w:r>
        <w:rPr>
          <w:lang w:eastAsia="zh-CN"/>
        </w:rPr>
        <w:t>如果您不希望收到该法讯，请电邮</w:t>
      </w:r>
      <w:r>
        <w:rPr>
          <w:lang w:eastAsia="zh-CN"/>
        </w:rPr>
        <w:t xml:space="preserve">  </w:t>
      </w:r>
      <w:hyperlink r:id="rId24">
        <w:r>
          <w:rPr>
            <w:lang w:eastAsia="zh-CN"/>
          </w:rPr>
          <w:t>unsubscribe@charltonslaw.com</w:t>
        </w:r>
      </w:hyperlink>
    </w:p>
    <w:p w:rsidR="00532350" w:rsidRDefault="00894216">
      <w:pPr>
        <w:pStyle w:val="BlackStrips"/>
      </w:pPr>
      <w:r>
        <w:lastRenderedPageBreak/>
        <w:t xml:space="preserve">Charltons - </w:t>
      </w:r>
      <w:proofErr w:type="spellStart"/>
      <w:r>
        <w:t>法讯</w:t>
      </w:r>
      <w:proofErr w:type="spellEnd"/>
      <w:r>
        <w:t xml:space="preserve"> - </w:t>
      </w:r>
      <w:r>
        <w:t>中国</w:t>
      </w:r>
      <w:r>
        <w:t xml:space="preserve"> - 2018</w:t>
      </w:r>
      <w:r>
        <w:t>年</w:t>
      </w:r>
      <w:r>
        <w:t>2</w:t>
      </w:r>
      <w:r>
        <w:t>月</w:t>
      </w:r>
      <w:r>
        <w:t>2</w:t>
      </w:r>
      <w:r>
        <w:t>日</w:t>
      </w:r>
    </w:p>
    <w:sectPr w:rsidR="00532350">
      <w:pgSz w:w="11906" w:h="16838"/>
      <w:pgMar w:top="864" w:right="864" w:bottom="864" w:left="864" w:header="0" w:footer="0" w:gutter="0"/>
      <w:cols w:space="720"/>
      <w:formProt w:val="0"/>
      <w:docGrid w:linePitch="24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894216">
      <w:pPr>
        <w:spacing w:after="0"/>
      </w:pPr>
      <w:r>
        <w:separator/>
      </w:r>
    </w:p>
  </w:endnote>
  <w:endnote w:type="continuationSeparator" w:id="0">
    <w:p w:rsidR="00000000" w:rsidRDefault="0089421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Liberation Sans">
    <w:altName w:val="Arial"/>
    <w:charset w:val="01"/>
    <w:family w:val="roman"/>
    <w:pitch w:val="variable"/>
  </w:font>
  <w:font w:name="Microsoft YaHei">
    <w:panose1 w:val="020B0503020204020204"/>
    <w:charset w:val="86"/>
    <w:family w:val="swiss"/>
    <w:pitch w:val="variable"/>
    <w:sig w:usb0="80000287" w:usb1="280F3C52" w:usb2="00000016" w:usb3="00000000" w:csb0="0004001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2350" w:rsidRDefault="00894216">
      <w:r>
        <w:separator/>
      </w:r>
    </w:p>
  </w:footnote>
  <w:footnote w:type="continuationSeparator" w:id="0">
    <w:p w:rsidR="00532350" w:rsidRDefault="008942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262F39"/>
    <w:multiLevelType w:val="multilevel"/>
    <w:tmpl w:val="5A68BA12"/>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90D07"/>
    <w:rsid w:val="00011C8B"/>
    <w:rsid w:val="004E29B3"/>
    <w:rsid w:val="00532350"/>
    <w:rsid w:val="00590D07"/>
    <w:rsid w:val="00784D58"/>
    <w:rsid w:val="00894216"/>
    <w:rsid w:val="008D6863"/>
    <w:rsid w:val="00B86B75"/>
    <w:rsid w:val="00BC48D5"/>
    <w:rsid w:val="00C36279"/>
    <w:rsid w:val="00E315A3"/>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4"/>
        <w:lang w:val="en-US" w:eastAsia="en-US" w:bidi="ar-SA"/>
      </w:rPr>
    </w:rPrDefault>
    <w:pPrDefault/>
  </w:docDefaults>
  <w:latentStyles w:defLockedState="0" w:defUIPriority="0" w:defSemiHidden="0" w:defUnhideWhenUsed="0" w:defQFormat="0" w:count="267"/>
  <w:style w:type="paragraph" w:default="1" w:styleId="Normal">
    <w:name w:val="Normal"/>
    <w:qFormat/>
    <w:pPr>
      <w:spacing w:after="200"/>
    </w:pPr>
    <w:rPr>
      <w:rFonts w:eastAsiaTheme="minorHAnsi"/>
      <w:color w:val="00000A"/>
      <w:sz w:val="24"/>
    </w:rPr>
  </w:style>
  <w:style w:type="paragraph" w:styleId="Heading1">
    <w:name w:val="heading 1"/>
    <w:basedOn w:val="Normal"/>
    <w:uiPriority w:val="9"/>
    <w:qFormat/>
    <w:pPr>
      <w:keepNext/>
      <w:keepLines/>
      <w:spacing w:before="480" w:after="0"/>
      <w:outlineLvl w:val="0"/>
    </w:pPr>
    <w:rPr>
      <w:rFonts w:asciiTheme="majorHAnsi" w:eastAsiaTheme="majorEastAsia" w:hAnsiTheme="majorHAnsi" w:cstheme="majorBidi"/>
      <w:b/>
      <w:bCs/>
      <w:color w:val="C0143C"/>
      <w:sz w:val="32"/>
      <w:szCs w:val="32"/>
    </w:rPr>
  </w:style>
  <w:style w:type="paragraph" w:styleId="Heading2">
    <w:name w:val="heading 2"/>
    <w:basedOn w:val="Normal"/>
    <w:uiPriority w:val="9"/>
    <w:unhideWhenUsed/>
    <w:qFormat/>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uiPriority w:val="9"/>
    <w:unhideWhenUsed/>
    <w:qFormat/>
    <w:pPr>
      <w:keepNext/>
      <w:keepLines/>
      <w:spacing w:before="200" w:after="0"/>
      <w:outlineLvl w:val="2"/>
    </w:pPr>
    <w:rPr>
      <w:rFonts w:asciiTheme="majorHAnsi" w:eastAsiaTheme="majorEastAsia" w:hAnsiTheme="majorHAnsi" w:cstheme="majorBidi"/>
      <w:b/>
      <w:bCs/>
      <w:color w:val="C0143C"/>
      <w:sz w:val="28"/>
      <w:szCs w:val="28"/>
    </w:rPr>
  </w:style>
  <w:style w:type="paragraph" w:styleId="Heading4">
    <w:name w:val="heading 4"/>
    <w:basedOn w:val="Normal"/>
    <w:uiPriority w:val="9"/>
    <w:unhideWhenUsed/>
    <w:qFormat/>
    <w:pPr>
      <w:keepNext/>
      <w:keepLines/>
      <w:spacing w:before="200" w:after="0"/>
      <w:outlineLvl w:val="3"/>
    </w:pPr>
    <w:rPr>
      <w:rFonts w:asciiTheme="majorHAnsi" w:eastAsiaTheme="majorEastAsia" w:hAnsiTheme="majorHAnsi" w:cstheme="majorBidi"/>
      <w:b/>
      <w:bCs/>
      <w:color w:val="C0143C"/>
    </w:rPr>
  </w:style>
  <w:style w:type="paragraph" w:styleId="Heading5">
    <w:name w:val="heading 5"/>
    <w:basedOn w:val="Normal"/>
    <w:uiPriority w:val="9"/>
    <w:unhideWhenUsed/>
    <w:qFormat/>
    <w:pPr>
      <w:keepNext/>
      <w:keepLines/>
      <w:spacing w:before="200" w:after="0"/>
      <w:outlineLvl w:val="4"/>
    </w:pPr>
    <w:rPr>
      <w:rFonts w:asciiTheme="majorHAnsi" w:eastAsiaTheme="majorEastAsia" w:hAnsiTheme="majorHAnsi" w:cstheme="majorBidi"/>
      <w:i/>
      <w:iCs/>
      <w:color w:val="C0143C"/>
    </w:rPr>
  </w:style>
  <w:style w:type="paragraph" w:styleId="Heading6">
    <w:name w:val="heading 6"/>
    <w:basedOn w:val="Normal"/>
    <w:uiPriority w:val="9"/>
    <w:unhideWhenUsed/>
    <w:qFormat/>
    <w:pPr>
      <w:keepNext/>
      <w:keepLines/>
      <w:spacing w:before="200" w:after="0"/>
      <w:outlineLvl w:val="5"/>
    </w:pPr>
    <w:rPr>
      <w:rFonts w:asciiTheme="majorHAnsi" w:eastAsiaTheme="majorEastAsia" w:hAnsiTheme="majorHAnsi" w:cstheme="majorBidi"/>
      <w:color w:val="C0143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Anchor">
    <w:name w:val="Footnote Anchor"/>
    <w:basedOn w:val="CaptionChar"/>
    <w:rPr>
      <w:vertAlign w:val="superscript"/>
    </w:rPr>
  </w:style>
  <w:style w:type="character" w:customStyle="1" w:styleId="InternetLink">
    <w:name w:val="Internet Link"/>
    <w:basedOn w:val="CaptionChar"/>
    <w:rPr>
      <w:color w:val="C0143C"/>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qFormat/>
    <w:pPr>
      <w:spacing w:before="180" w:after="180"/>
      <w:jc w:val="both"/>
    </w:pPr>
  </w:style>
  <w:style w:type="paragraph" w:styleId="List">
    <w:name w:val="List"/>
    <w:basedOn w:val="BodyText"/>
    <w:rPr>
      <w:rFonts w:cs="Arial Unicode M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Arial Unicode MS"/>
    </w:rPr>
  </w:style>
  <w:style w:type="paragraph" w:customStyle="1" w:styleId="FirstParagraph">
    <w:name w:val="First Paragraph"/>
    <w:basedOn w:val="BodyText"/>
    <w:qFormat/>
  </w:style>
  <w:style w:type="paragraph" w:customStyle="1" w:styleId="Compact">
    <w:name w:val="Compact"/>
    <w:basedOn w:val="BodyText"/>
    <w:qFormat/>
    <w:pPr>
      <w:spacing w:before="36" w:after="36"/>
    </w:pPr>
  </w:style>
  <w:style w:type="paragraph" w:styleId="Title">
    <w:name w:val="Title"/>
    <w:basedOn w:val="Normal"/>
    <w:qFormat/>
    <w:pPr>
      <w:keepNext/>
      <w:keepLines/>
      <w:spacing w:before="480" w:after="240"/>
    </w:pPr>
    <w:rPr>
      <w:rFonts w:asciiTheme="majorHAnsi" w:eastAsiaTheme="majorEastAsia" w:hAnsiTheme="majorHAnsi" w:cstheme="majorBidi"/>
      <w:b/>
      <w:bCs/>
      <w:color w:val="C0143C"/>
      <w:sz w:val="36"/>
      <w:szCs w:val="36"/>
    </w:rPr>
  </w:style>
  <w:style w:type="paragraph" w:styleId="Subtitle">
    <w:name w:val="Subtitle"/>
    <w:basedOn w:val="Title"/>
    <w:qFormat/>
    <w:pPr>
      <w:spacing w:before="240"/>
      <w:jc w:val="center"/>
    </w:pPr>
    <w:rPr>
      <w:sz w:val="30"/>
      <w:szCs w:val="30"/>
    </w:rPr>
  </w:style>
  <w:style w:type="paragraph" w:customStyle="1" w:styleId="Author">
    <w:name w:val="Author"/>
    <w:qFormat/>
    <w:pPr>
      <w:keepNext/>
      <w:keepLines/>
      <w:jc w:val="center"/>
    </w:pPr>
    <w:rPr>
      <w:rFonts w:eastAsiaTheme="minorHAnsi"/>
      <w:color w:val="00000A"/>
      <w:sz w:val="24"/>
    </w:rPr>
  </w:style>
  <w:style w:type="paragraph" w:styleId="Date">
    <w:name w:val="Date"/>
    <w:qFormat/>
    <w:pPr>
      <w:keepNext/>
      <w:keepLines/>
      <w:jc w:val="center"/>
    </w:pPr>
    <w:rPr>
      <w:rFonts w:eastAsiaTheme="minorHAnsi"/>
      <w:color w:val="00000A"/>
      <w:sz w:val="24"/>
    </w:rPr>
  </w:style>
  <w:style w:type="paragraph" w:customStyle="1" w:styleId="Abstract">
    <w:name w:val="Abstract"/>
    <w:basedOn w:val="Normal"/>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styleId="TOCHeading">
    <w:name w:val="TOC Heading"/>
    <w:basedOn w:val="Heading1"/>
    <w:uiPriority w:val="39"/>
    <w:unhideWhenUsed/>
    <w:qFormat/>
    <w:pPr>
      <w:spacing w:before="240" w:line="259" w:lineRule="auto"/>
    </w:pPr>
    <w:rPr>
      <w:b w:val="0"/>
      <w:bCs w:val="0"/>
    </w:rPr>
  </w:style>
  <w:style w:type="paragraph" w:customStyle="1" w:styleId="Disclaimer">
    <w:name w:val="Disclaimer"/>
    <w:basedOn w:val="Normal"/>
    <w:qFormat/>
    <w:pPr>
      <w:pBdr>
        <w:top w:val="single" w:sz="2" w:space="1" w:color="000001"/>
        <w:left w:val="single" w:sz="2" w:space="1" w:color="000001"/>
        <w:bottom w:val="single" w:sz="2" w:space="1" w:color="000001"/>
        <w:right w:val="single" w:sz="2" w:space="1" w:color="000001"/>
      </w:pBdr>
      <w:shd w:val="clear" w:color="auto" w:fill="DDDDDD"/>
      <w:spacing w:before="101" w:after="101"/>
      <w:jc w:val="both"/>
    </w:pPr>
  </w:style>
  <w:style w:type="paragraph" w:customStyle="1" w:styleId="BlackStrips">
    <w:name w:val="Black Strips"/>
    <w:basedOn w:val="Normal"/>
    <w:qFormat/>
    <w:pPr>
      <w:shd w:val="clear" w:color="auto" w:fill="000000"/>
      <w:jc w:val="center"/>
    </w:pPr>
    <w:rPr>
      <w:color w:val="FFFFFF"/>
    </w:rPr>
  </w:style>
  <w:style w:type="paragraph" w:customStyle="1" w:styleId="DisclaimerBold">
    <w:name w:val="Disclaimer Bold"/>
    <w:basedOn w:val="Disclaimer"/>
    <w:qFormat/>
    <w:pPr>
      <w:jc w:val="left"/>
    </w:pPr>
    <w:rPr>
      <w:b/>
    </w:rPr>
  </w:style>
  <w:style w:type="paragraph" w:customStyle="1" w:styleId="ReadOnline">
    <w:name w:val="Read Online"/>
    <w:basedOn w:val="Normal"/>
    <w:qFormat/>
    <w:pPr>
      <w:jc w:val="center"/>
    </w:pPr>
    <w:rPr>
      <w:sz w:val="28"/>
      <w:u w:val="single"/>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arltonslaw.com.cn/shang-hai-zheng-quan-jiao-yi-suo-fa-bu-shang-shi-gong-si-gu-fen-xie-yi-zhuan-rang-ye-wu-ban-li-zhi-yin" TargetMode="External"/><Relationship Id="rId13" Type="http://schemas.openxmlformats.org/officeDocument/2006/relationships/hyperlink" Target="http://www.xinhuanet.com/fortune/2018-01/27/c_1122324019.htm" TargetMode="External"/><Relationship Id="rId18" Type="http://schemas.openxmlformats.org/officeDocument/2006/relationships/hyperlink" Target="http://www.gov.cn/xinwen/2018-01/30/content_5262026.htm"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company.stcn.com/2018/0201/13946757.shtml" TargetMode="External"/><Relationship Id="rId7" Type="http://schemas.openxmlformats.org/officeDocument/2006/relationships/endnotes" Target="endnotes.xml"/><Relationship Id="rId12" Type="http://schemas.openxmlformats.org/officeDocument/2006/relationships/hyperlink" Target="http://www.stcn.com/2018/0201/13946687.shtml" TargetMode="External"/><Relationship Id="rId17" Type="http://schemas.openxmlformats.org/officeDocument/2006/relationships/hyperlink" Target="https://item.btime.com/32gauistm1u8sua6eirjkg5h9nn"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xinhuanet.com/politics/2018-01/29/c_1122332588.htm" TargetMode="External"/><Relationship Id="rId20" Type="http://schemas.openxmlformats.org/officeDocument/2006/relationships/hyperlink" Target="http://company.stcn.com/2018/0201/13947010.sht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hinalawinfo.com/News/NewsFullText.aspx?NewsId=89549&amp;NewsType=1" TargetMode="External"/><Relationship Id="rId24" Type="http://schemas.openxmlformats.org/officeDocument/2006/relationships/hyperlink" Target="mailto:unsubscribe@charltonslaw.com?subject=unsubscribe%20-Hong%20Kong%20Law-" TargetMode="External"/><Relationship Id="rId5" Type="http://schemas.openxmlformats.org/officeDocument/2006/relationships/webSettings" Target="webSettings.xml"/><Relationship Id="rId15" Type="http://schemas.openxmlformats.org/officeDocument/2006/relationships/hyperlink" Target="http://www.chinanews.com/gn/2018/01-25/8432554.shtml" TargetMode="External"/><Relationship Id="rId23" Type="http://schemas.openxmlformats.org/officeDocument/2006/relationships/hyperlink" Target="http://sanban.stcn.com/2018/0131/13943658.shtml" TargetMode="External"/><Relationship Id="rId10" Type="http://schemas.openxmlformats.org/officeDocument/2006/relationships/hyperlink" Target="http://news.cnstock.com/news,bwkx-201801-4180490.htm" TargetMode="External"/><Relationship Id="rId19" Type="http://schemas.openxmlformats.org/officeDocument/2006/relationships/hyperlink" Target="http://www.ce.cn/xwzx/gnsz/gdxw/201801/30/t20180130_27980734.shtml" TargetMode="External"/><Relationship Id="rId4" Type="http://schemas.openxmlformats.org/officeDocument/2006/relationships/settings" Target="settings.xml"/><Relationship Id="rId9" Type="http://schemas.openxmlformats.org/officeDocument/2006/relationships/hyperlink" Target="http://news.cnstock.com/news,bwkx-201801-4181298.htm" TargetMode="External"/><Relationship Id="rId14" Type="http://schemas.openxmlformats.org/officeDocument/2006/relationships/hyperlink" Target="http://www.ctax.org.cn/csyw/201801/t20180131_1071625.shtml" TargetMode="External"/><Relationship Id="rId22" Type="http://schemas.openxmlformats.org/officeDocument/2006/relationships/hyperlink" Target="http://company.stcn.com/2018/0201/13946746.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6</Pages>
  <Words>1295</Words>
  <Characters>7386</Characters>
  <Application>Microsoft Office Word</Application>
  <DocSecurity>0</DocSecurity>
  <Lines>61</Lines>
  <Paragraphs>17</Paragraphs>
  <ScaleCrop>false</ScaleCrop>
  <Company>C</Company>
  <LinksUpToDate>false</LinksUpToDate>
  <CharactersWithSpaces>8664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Charltons</cp:lastModifiedBy>
  <cp:revision>2</cp:revision>
  <dcterms:created xsi:type="dcterms:W3CDTF">2018-02-02T04:34:00Z</dcterms:created>
  <dcterms:modified xsi:type="dcterms:W3CDTF">2018-02-02T10:03:00Z</dcterms:modified>
</cp:coreProperties>
</file>