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- 2018年3月2日</w:t>
      </w:r>
    </w:p>
    <w:p>
      <w:pPr>
        <w:pStyle w:val="ReadOnline"/>
      </w:pPr>
      <w:hyperlink r:id="rId9">
        <w:r>
          <w:rPr/>
          <w:t>online version</w:t>
        </w:r>
      </w:hyperlink>
    </w:p>
    <w:p>
      <w:pPr>
        <w:pStyle w:val="Title"/>
      </w:pPr>
      <w:r>
        <w:t>中国银监会发布《中国银监会关于修改〈中国银监会外资银行行政许可事项实施办法〉的决定》</w:t>
      </w:r>
    </w:p>
    <w:p>
      <w:pPr>
        <w:pStyle w:val="Heading2"/>
      </w:pPr>
      <w:bookmarkStart w:id="21" w:name="资本市场"/>
      <w:r>
        <w:t xml:space="preserve">资本市场</w:t>
      </w:r>
      <w:bookmarkEnd w:id="21"/>
    </w:p>
    <w:p>
      <w:pPr>
        <w:pStyle w:val="Heading3"/>
      </w:pPr>
      <w:bookmarkStart w:id="22" w:name="中国银监会发布中国银监会关于修改中国银监会外资银行行政许可事项实施办法的决定"/>
      <w:r>
        <w:t xml:space="preserve">中国银监会发布《中国银监会关于修改〈中国银监会外资银行行政许可事项实施办法〉的决定》</w:t>
      </w:r>
      <w:bookmarkEnd w:id="22"/>
    </w:p>
    <w:p>
      <w:pPr>
        <w:pStyle w:val="FirstParagraph"/>
      </w:pPr>
      <w:r>
        <w:t xml:space="preserve">根据全国金融工作会议要求，进一步扩大对外开放，持续推进行政审批制度改革，中国银监会决定对《中国银监会外资银行行政许可事项实施办法》进行修订，形成了《中国银监会关于修改〈中国银监会外资银行行政许可事项实施办法〉的决定》（以下简称《决定》）。</w:t>
      </w:r>
    </w:p>
    <w:p>
      <w:pPr>
        <w:pStyle w:val="TextBody"/>
      </w:pPr>
      <w:r>
        <w:t xml:space="preserve">《决定》对《中国银监会外资银行行政许可事项实施办法》主要作了如下三个方面的修改：一是增加了关于外资法人银行投资设立、入股境内银行业金融机构的许可条件、程序和申请材料等规定，为外资法人银行开展对银行业金融机构的股权投资提供了明确的法律依据。 二是取消了外资银行开办代客境外理财业务、代客境外理财托管业务、证券投资基金托管业务、被清算的外资金融机构提取生息资产等四项业务的审批，实行报告制。三是进一步统一中外资银行市场准入标准：合并支行筹建和开业审批程序，仅保留支行开业审批；优化外资银行募集发行债务、资本补充工具的条件；简化高管资格审核程序，对于同质同类外资银行机构间的平级调动或改任较低职务的情形，由事前核准改为备案制。</w:t>
      </w:r>
    </w:p>
    <w:p>
      <w:pPr>
        <w:pStyle w:val="TextBody"/>
      </w:pPr>
      <w:hyperlink r:id="rId23">
        <w:r>
          <w:rPr>
            <w:rStyle w:val="Hyperlink"/>
          </w:rPr>
          <w:t xml:space="preserve">http://www.cbrc.gov.cn/chinese/home/docView/2D06B6B5270047F1AA08543657265435.html</w:t>
        </w:r>
      </w:hyperlink>
    </w:p>
    <w:p>
      <w:pPr>
        <w:pStyle w:val="Heading3"/>
      </w:pPr>
      <w:bookmarkStart w:id="24" w:name="中国人民银行掌控好流动性尺度中性适度仍是调控目标"/>
      <w:r>
        <w:t xml:space="preserve">中国人民银行：掌控好流动性尺度，中性适度仍是调控目标</w:t>
      </w:r>
      <w:bookmarkEnd w:id="24"/>
    </w:p>
    <w:p>
      <w:pPr>
        <w:pStyle w:val="FirstParagraph"/>
      </w:pPr>
      <w:r>
        <w:t xml:space="preserve">中国人民银行近日发布的《2017年第四季度中国货币政策执行报告》（以下简称《报告》）首次出现了“流动性尺度”这一新措辞，《报告》提出，一方面要掌控好流动性尺度，助力去杠杆和防范化解金融风险；另一方面，综合考虑金融监管政策的宏观效应及对金融业态和市场运行格局的影响，加强监管协调，灵活运用多种货币政策工具组合，合理安排工具搭配和操作节奏，“削峰填谷”维护流动性合理稳定。</w:t>
      </w:r>
    </w:p>
    <w:p>
      <w:pPr>
        <w:pStyle w:val="TextBody"/>
      </w:pPr>
      <w:r>
        <w:t xml:space="preserve">对于“流动性尺度”这一措辞，兴业研究分析师郭于玮认为，这意味着，流动性既不可过紧导致流动性风险，也不可过松使金融机构过度加杠杆。掌控好流动性尺度，既需要依赖价格手段，也需要掌握好结构的平衡。此外，在金融去杠杆与维护流动性合理稳定的背景下，货币市场的融资结构也开始出现变化。《报告》显示，2017年第四季度，城商行、农商行和农合行等小型银行第四季度通过质押式回购融入资金规模大幅减少。当季，上述银行通过质押式回购净融入资金19.8万亿元，占全年净融入资金的21.9%，比前三季度平均水平减少3.8万亿元。郭于玮表示，这可能反映了小型金融机构正在调整资产结构并降低杠杆率。</w:t>
      </w:r>
    </w:p>
    <w:p>
      <w:pPr>
        <w:pStyle w:val="TextBody"/>
      </w:pPr>
      <w:hyperlink r:id="rId25">
        <w:r>
          <w:rPr>
            <w:rStyle w:val="Hyperlink"/>
          </w:rPr>
          <w:t xml:space="preserve">http://www.chinaforex.com.cn/index.php/cms/item-view-id-46413.shtml</w:t>
        </w:r>
      </w:hyperlink>
    </w:p>
    <w:p>
      <w:pPr>
        <w:pStyle w:val="Heading3"/>
      </w:pPr>
      <w:bookmarkStart w:id="26" w:name="中国银行业资产规模超过250万亿元"/>
      <w:r>
        <w:t xml:space="preserve">中国银行业资产规模超过250万亿元</w:t>
      </w:r>
      <w:bookmarkEnd w:id="26"/>
    </w:p>
    <w:p>
      <w:pPr>
        <w:pStyle w:val="FirstParagraph"/>
      </w:pPr>
      <w:r>
        <w:t xml:space="preserve">来自中国银监会的数据显示，截至2017年底，我国银行业金融机构总资产首次突破250万亿元，达到252万亿元，同比增长8.7%。与2012年末的133.6万亿元相比，五年间我国银行业资产规模增长了88.6%。</w:t>
      </w:r>
    </w:p>
    <w:p>
      <w:pPr>
        <w:pStyle w:val="TextBody"/>
      </w:pPr>
      <w:r>
        <w:t xml:space="preserve">银行业是中国金融业的主体，近年来，在中国经济面临下行压力的背景下，银行业资产规模扩张速度较以往有所放缓，防风险成为第一要务。尤其是在2017年强监管的背景下，商业银行开始主动调整发展模式，资产规模增长平稳。在一系列改革措施的推进下，银行业金融机构体系日趋完善。截至2017年末，我国共有银行业金融机构法人4549家。多元化的机构体系为实体经济、广大百姓提供了差异化、多层次的金融服务。资产规模平稳增长的同时，风险防控取得积极成效，银行业资产质量压力有所缓解。银行业是实体经济主要的资金来源。稳健运行的银行业服务实体经济的能力进一步提升。截至2017年底，我国银行业金融机构各项贷款129万亿元，同比增长12.4%。贷款增速超过资产增速，银行业回归本源、专注主业趋势明显，尤其是对经济薄弱环节的支持力度增强。</w:t>
      </w:r>
    </w:p>
    <w:p>
      <w:pPr>
        <w:pStyle w:val="TextBody"/>
      </w:pPr>
      <w:hyperlink r:id="rId27">
        <w:r>
          <w:rPr>
            <w:rStyle w:val="Hyperlink"/>
          </w:rPr>
          <w:t xml:space="preserve">http://www.cfen.com.cn/zyxw/yw/201802/t20180228_2822791.html</w:t>
        </w:r>
      </w:hyperlink>
    </w:p>
    <w:p>
      <w:pPr>
        <w:pStyle w:val="Heading3"/>
      </w:pPr>
      <w:bookmarkStart w:id="28" w:name="爱奇艺赴美申请在纳斯达克上市计划募资15亿美元"/>
      <w:r>
        <w:t xml:space="preserve">爱奇艺赴美申请在纳斯达克上市，计划募资15亿美元</w:t>
      </w:r>
      <w:bookmarkEnd w:id="28"/>
    </w:p>
    <w:p>
      <w:pPr>
        <w:pStyle w:val="FirstParagraph"/>
      </w:pPr>
      <w:r>
        <w:t xml:space="preserve">爱奇艺近日正式递交招股书，申请在纳斯达克上市，招股书显示，爱奇艺拟募集资金15亿美元，其中50%用于扩展和加强内容，10%用于加强技术，40%为运营资金及其他公司事务。此外，还包括相关产品、技术及服务的收购等。此外，美团点评、小米等新科技公司今年均有海外上市的预期。</w:t>
      </w:r>
    </w:p>
    <w:p>
      <w:pPr>
        <w:pStyle w:val="TextBody"/>
      </w:pPr>
      <w:r>
        <w:t xml:space="preserve">最新曝光的股东结构显示，百度目前持有爱奇艺69.6%股权，为最大股东，其他包括龚宇持股1.8%，小米持股8.4%。上市完成后，百度仍将是爱奇艺控股股东，双方的业务合作也将更为紧密。据了解，爱奇艺今年1月与百度签署了主业务合作协议，将在包括但不限于人工智能、智能设备、云服务、在线广告、互联网流量、数据和内容领域开展相互合作。值得注意的是，2011年爱奇艺开始发力付费业务，用户数在2015年6月突破500万，进而带动了整个视频行业进入付费会员时代，而这也令爱奇艺找到了与大股东百度更为契合的盈利模式。</w:t>
      </w:r>
    </w:p>
    <w:p>
      <w:pPr>
        <w:pStyle w:val="TextBody"/>
      </w:pPr>
      <w:hyperlink r:id="rId29">
        <w:r>
          <w:rPr>
            <w:rStyle w:val="Hyperlink"/>
          </w:rPr>
          <w:t xml:space="preserve">http://stock.stcn.com/2018/0301/13995226.shtml</w:t>
        </w:r>
      </w:hyperlink>
    </w:p>
    <w:p>
      <w:pPr>
        <w:pStyle w:val="Heading2"/>
      </w:pPr>
      <w:bookmarkStart w:id="30" w:name="保险"/>
      <w:r>
        <w:t xml:space="preserve">保险</w:t>
      </w:r>
      <w:bookmarkEnd w:id="30"/>
    </w:p>
    <w:p>
      <w:pPr>
        <w:pStyle w:val="Heading3"/>
      </w:pPr>
      <w:bookmarkStart w:id="31" w:name="中国保监会印发反保险欺诈指引防范和化解保险欺诈风险"/>
      <w:r>
        <w:t xml:space="preserve">中国保监会印发《反保险欺诈指引》，防范和化解保险欺诈风险</w:t>
      </w:r>
      <w:bookmarkEnd w:id="31"/>
    </w:p>
    <w:p>
      <w:pPr>
        <w:pStyle w:val="FirstParagraph"/>
      </w:pPr>
      <w:r>
        <w:t xml:space="preserve">中国保监会近日印发了《反保险欺诈指引》（以下简称《指引》），旨在构建保险行业欺诈风险管理规范和反欺诈技术标准，进一步防范和化解保险欺诈风险，据悉，《指引》将于2018年4月1日起施行。</w:t>
      </w:r>
    </w:p>
    <w:p>
      <w:pPr>
        <w:pStyle w:val="TextBody"/>
      </w:pPr>
      <w:r>
        <w:t xml:space="preserve">《指引》明确保险机构承担欺诈风险管理的主体责任。要求保险机构建立健全欺诈风险制度体系与组织架构，明确董事会及其专门委员会、监事会（监事）、管理层以及相关部门在欺诈风险管理中的作用、职责及报告路径，规范操作流程，完善基础数据和信息系统，严格考核、问责制度执行，妥善处置欺诈风险，履行报告义务。另外，《指引》还明确了保监会及其派出机构的职责。明确保监会及其派出机构依法对保险机构的欺诈风险管理工作实施监管，在反保险欺诈中发挥规划、协调、指导和监督作用。 要求保监会及其派出机构应定期对保险机构欺诈风险管理体系的健全性和有效性进行检查和评估，并通过监管评级、风险提示、通报、约谈等方式对保险机构欺诈风险管理进行持续监管。</w:t>
      </w:r>
    </w:p>
    <w:p>
      <w:pPr>
        <w:pStyle w:val="TextBody"/>
      </w:pPr>
      <w:hyperlink r:id="rId32">
        <w:r>
          <w:rPr>
            <w:rStyle w:val="Hyperlink"/>
          </w:rPr>
          <w:t xml:space="preserve">http://www.chinanews.com/cj/2018/02-23/8452892.shtml</w:t>
        </w:r>
      </w:hyperlink>
    </w:p>
    <w:p>
      <w:pPr>
        <w:pStyle w:val="Heading2"/>
      </w:pPr>
      <w:bookmarkStart w:id="33" w:name="税收"/>
      <w:r>
        <w:t xml:space="preserve">税收</w:t>
      </w:r>
      <w:bookmarkEnd w:id="33"/>
    </w:p>
    <w:p>
      <w:pPr>
        <w:pStyle w:val="Heading3"/>
      </w:pPr>
      <w:bookmarkStart w:id="34" w:name="国家税务总局税收政策红利不断释放助推经济高质量发展"/>
      <w:r>
        <w:t xml:space="preserve">国家税务总局：税收政策红利不断释放，助推经济高质量发展</w:t>
      </w:r>
      <w:bookmarkEnd w:id="34"/>
    </w:p>
    <w:p>
      <w:pPr>
        <w:pStyle w:val="FirstParagraph"/>
      </w:pPr>
      <w:r>
        <w:t xml:space="preserve">2018年2月27日，国家税务总局举行2018年第一季度税收政策解读新闻发布会，就完善企业境外所得税收抵免政策、企业所得税年度纳税申报表修订、环境保护税相关政策等内容进行解读。</w:t>
      </w:r>
    </w:p>
    <w:p>
      <w:pPr>
        <w:pStyle w:val="TextBody"/>
      </w:pPr>
      <w:r>
        <w:t xml:space="preserve">据税务总局所得税司副司长刘宝柱介绍，财政部、税务总局近日联合印发了《关于完善企业境外所得税收抵免政策问题的通知》，从两个方面对境外所得税收抵免政策进行了完善，一是在原来单一的分国不分项抵免方法基础上增加综合抵免法，并赋予企业自行选择的权利；二是将境外股息间接抵免的层级由三层调整到五层。 同时，为更好地适应形势变化和企业遇到的新情况，税务总局发布了《关于税收协定中“受益所有人”有关问题的公告》和《关于税收协定执行若干问题的公告》，进一步完善“受益所有人”规则，对税收协定中常设机构、海运和空运、演艺人员和运动员条款，以及合伙企业适用税收协定等有关事项作出了进一步明确，方便纳税人享受税收协定待遇。</w:t>
      </w:r>
    </w:p>
    <w:p>
      <w:pPr>
        <w:pStyle w:val="TextBody"/>
      </w:pPr>
      <w:hyperlink r:id="rId35">
        <w:r>
          <w:rPr>
            <w:rStyle w:val="Hyperlink"/>
          </w:rPr>
          <w:t xml:space="preserve">http://www.cfen.com.cn/cjxw/ss/201802/t20180228_2823371.html</w:t>
        </w:r>
      </w:hyperlink>
    </w:p>
    <w:p>
      <w:pPr>
        <w:pStyle w:val="Heading2"/>
      </w:pPr>
      <w:bookmarkStart w:id="36" w:name="知识产权"/>
      <w:r>
        <w:t xml:space="preserve">知识产权</w:t>
      </w:r>
      <w:bookmarkEnd w:id="36"/>
    </w:p>
    <w:p>
      <w:pPr>
        <w:pStyle w:val="Heading3"/>
      </w:pPr>
      <w:bookmarkStart w:id="37" w:name="两办加大司法保护力度遏制侵犯知识产权行为"/>
      <w:r>
        <w:t xml:space="preserve">两办：加大司法保护力度，遏制侵犯知识产权行为</w:t>
      </w:r>
      <w:bookmarkEnd w:id="37"/>
    </w:p>
    <w:p>
      <w:pPr>
        <w:pStyle w:val="FirstParagraph"/>
      </w:pPr>
      <w:r>
        <w:t xml:space="preserve">近日，中共中央办公厅、国务院办公厅印发了《关于加强知识产权审判领域改革创新若干问题的意见》（以下简称《意见》），并发出通知，要求各地区各部门结合实际认真贯彻落实。</w:t>
      </w:r>
    </w:p>
    <w:p>
      <w:pPr>
        <w:pStyle w:val="TextBody"/>
      </w:pPr>
      <w:r>
        <w:t xml:space="preserve">《意见》指出，要根据知识产权无形性、时间性和地域性等特点，完善证据保全制度，发挥专家辅助人作用，适当加大人民法院依职权调查取证力度，建立激励当事人积极、主动提供证据的诉讼机制。通过多种方式充分发挥公证在知识产权案件中固定证据的作用。加强知识产权领域的诉讼诚信体系建设，探索建立证据披露、证据妨碍排除等规则，合理分配举证责任，适当减轻权利人举证负担，着力破解知识产权权利人“举证难”问题； 要根据知识产权无形性、时间性和地域性等特点，完善证据保全制度，发挥专家辅助人作用，适当加大人民法院依职权调查取证力度，建立激励当事人积极、主动提供证据的诉讼机制。通过多种方式充分发挥公证在知识产权案件中固定证据的作用。</w:t>
      </w:r>
    </w:p>
    <w:p>
      <w:pPr>
        <w:pStyle w:val="TextBody"/>
      </w:pPr>
      <w:hyperlink r:id="rId38">
        <w:r>
          <w:rPr>
            <w:rStyle w:val="Hyperlink"/>
          </w:rPr>
          <w:t xml:space="preserve">http://news.jcrb.com/jxsw/201802/t20180228_1844543.html</w:t>
        </w:r>
      </w:hyperlink>
    </w:p>
    <w:p>
      <w:pPr>
        <w:pStyle w:val="Heading2"/>
      </w:pPr>
      <w:bookmarkStart w:id="39" w:name="行业"/>
      <w:r>
        <w:t xml:space="preserve">行业</w:t>
      </w:r>
      <w:bookmarkEnd w:id="39"/>
    </w:p>
    <w:p>
      <w:pPr>
        <w:pStyle w:val="Heading3"/>
      </w:pPr>
      <w:bookmarkStart w:id="40" w:name="国土资源部印发关于全面实行永久基本农田特殊保护的通知"/>
      <w:r>
        <w:t xml:space="preserve">国土资源部印发《关于全面实行永久基本农田特殊保护的通知》</w:t>
      </w:r>
      <w:bookmarkEnd w:id="40"/>
    </w:p>
    <w:p>
      <w:pPr>
        <w:pStyle w:val="FirstParagraph"/>
      </w:pPr>
      <w:r>
        <w:t xml:space="preserve">近日，国土资源部印发《关于全面实行永久基本农田特殊保护的通知》（以下简称《通知》），以守住永久基本农田控制线为目标，以建立健全“划、建、管、补、护”长效机制为重点，巩固永久基本农田划定成果，完善保护措施，提高监管水平，确保到2020年，全国永久基本农田保护面积不少于15.46亿亩，基本形成保护有力、建设有效、管理有序的永久基本农田特殊保护格局。</w:t>
      </w:r>
    </w:p>
    <w:p>
      <w:pPr>
        <w:pStyle w:val="TextBody"/>
      </w:pPr>
      <w:r>
        <w:t xml:space="preserve">《通知》提出，巩固永久基本农田划定成果。守住永久基本农田控制线，已经划定的永久基本农田特别是城市周边永久基本农田原则上不得随意调整和占用。重大建设项目、生态建设等经国务院批准占用或调整永久基本农田的，按照有关要求补划相当数量和质量的永久基本农田。统筹永久基本农田保护与各类规划衔接，协同推进生态保护红线、永久基本农田、城镇开发边界三条控制线划定工作。《通知》明确要加强永久基本农田管理。从严管控非农建设占用永久基本农田，永久基本农田一经划定，任何单位和个人不得擅自占用或者擅自改变用途，严禁通过擅自调整县乡土地利用总体规划规避占用永久基本农田的审批，严禁未经审批违法违规占用。</w:t>
      </w:r>
    </w:p>
    <w:p>
      <w:pPr>
        <w:pStyle w:val="TextBody"/>
      </w:pPr>
      <w:hyperlink r:id="rId41">
        <w:r>
          <w:rPr>
            <w:rStyle w:val="Hyperlink"/>
          </w:rPr>
          <w:t xml:space="preserve">https://finance.qq.com/a/20180226/006292.htm</w:t>
        </w:r>
      </w:hyperlink>
    </w:p>
    <w:p>
      <w:pPr>
        <w:pStyle w:val="Heading3"/>
      </w:pPr>
      <w:bookmarkStart w:id="42" w:name="最高人民法院出台执行和解执行担保仲裁裁决执行司法解释"/>
      <w:r>
        <w:t xml:space="preserve">最高人民法院出台执行和解、执行担保、仲裁裁决执行司法解释</w:t>
      </w:r>
      <w:bookmarkEnd w:id="42"/>
    </w:p>
    <w:p>
      <w:pPr>
        <w:pStyle w:val="FirstParagraph"/>
      </w:pPr>
      <w:r>
        <w:t xml:space="preserve">近日，最高人民法院召开新闻发布会，公布了《关于执行和解若干问题的规定》（以下简称《执行和解规定》）、《关于执行担保若干问题的规定》（以下简称《执行担保规定》）和《关于人民法院办理仲裁裁决执行案件若干问题的规定》（以下简称《仲裁裁决执行规定》）三个执行司法解释。</w:t>
      </w:r>
    </w:p>
    <w:p>
      <w:pPr>
        <w:pStyle w:val="TextBody"/>
      </w:pPr>
      <w:r>
        <w:t xml:space="preserve">《执行和解规定》对执行和解与执行外和解作了明确区分，并分别规定了不同的法律效果。《执行担保规定》明确了执行担保的担保事项，将执行担保明确限定在民事诉讼法第二百三十一条，即为被执行人履行生效法律文书确定义务提供的担保。《仲裁裁决执行规定》对仲裁裁决执行案件管辖进行了适当调整：一方面，坚持以中级人民法院管辖为原则；另一方面，当执行案件符合基层人民法院一审民商事案件级别管辖受理范围，并经上级人民法院批准后，可以由被执行人住所地或者被执行财产所在地的基层人民法院管辖，但对不予执行申请的审查仍由中级人民法院负责，即使案件已指定基层人民法院管辖的，也应移送原执行法院另行立案审查处理。</w:t>
      </w:r>
    </w:p>
    <w:p>
      <w:pPr>
        <w:pStyle w:val="TextBody"/>
      </w:pPr>
      <w:hyperlink r:id="rId43">
        <w:r>
          <w:rPr>
            <w:rStyle w:val="Hyperlink"/>
          </w:rPr>
          <w:t xml:space="preserve">http://www.court.gov.cn/zixun-xiangqing-81992.html</w:t>
        </w:r>
      </w:hyperlink>
    </w:p>
    <w:p>
      <w:pPr>
        <w:pStyle w:val="Heading3"/>
      </w:pPr>
      <w:bookmarkStart w:id="44" w:name="四部门不得对新能源汽车采取任何地方保护措施"/>
      <w:r>
        <w:t xml:space="preserve">四部门：不得对新能源汽车采取任何地方保护措施</w:t>
      </w:r>
      <w:bookmarkEnd w:id="44"/>
    </w:p>
    <w:p>
      <w:pPr>
        <w:pStyle w:val="FirstParagraph"/>
      </w:pPr>
      <w:r>
        <w:t xml:space="preserve">近日，财政部、工业和信息化部、科技部和国家发展改革委联合发布的通知指出，要破除地方保护，建立统一市场。各地不得采取任何形式的地方保护措施，包括但不限于设置地方目录或备案、限制补贴资金发放、对新能源汽车进行重复检验、要求生产企业在本地设厂、要求整车企业采购本地零部件等措施。</w:t>
      </w:r>
    </w:p>
    <w:p>
      <w:pPr>
        <w:pStyle w:val="TextBody"/>
      </w:pPr>
      <w:r>
        <w:t xml:space="preserve">通知指出，地方应不断加大基础设施建设力度和改善新能源汽车使用环境，从2018年起将新能源汽车地方购置补贴资金逐渐转为支持充电基础设施建设和运营、新能源汽车使用和运营等环节。与此同时，通知还要求根据动力电池技术进步情况，进一步提高纯电动乘用车、非快充类纯电动客车、专用车动力电池系统能量密度门槛要求，鼓励高性能动力电池应用。提高新能源汽车整车能耗要求，鼓励低能耗产品推广。不断提高燃料电池汽车技术门槛。</w:t>
      </w:r>
    </w:p>
    <w:p>
      <w:pPr>
        <w:pStyle w:val="TextBody"/>
      </w:pPr>
      <w:hyperlink r:id="rId45">
        <w:r>
          <w:rPr>
            <w:rStyle w:val="Hyperlink"/>
          </w:rPr>
          <w:t xml:space="preserve">http://www.xinhuanet.com/fortune/2018-02/15/c_1122421166.htm</w:t>
        </w:r>
      </w:hyperlink>
    </w:p>
    <w:p>
      <w:pPr>
        <w:pStyle w:val="Heading3"/>
      </w:pPr>
      <w:bookmarkStart w:id="46" w:name="两部门发文重申企业债券谁借谁还风险自担"/>
      <w:r>
        <w:t xml:space="preserve">两部门发文重申企业债券“谁借谁还、风险自担”</w:t>
      </w:r>
      <w:bookmarkEnd w:id="46"/>
    </w:p>
    <w:p>
      <w:pPr>
        <w:pStyle w:val="FirstParagraph"/>
      </w:pPr>
      <w:r>
        <w:t xml:space="preserve">财政部和国家发展改革委日前联合下发通知，要求进一步发挥企业债券直接融资功能，增强金融服务实体经济能力，并切实做到“谁借谁还、风险自担”。</w:t>
      </w:r>
    </w:p>
    <w:p>
      <w:pPr>
        <w:pStyle w:val="TextBody"/>
      </w:pPr>
      <w:r>
        <w:t xml:space="preserve">通知要求，申报企业应当实现业务市场化、实体化运营，依法合规开展市场化融资，并充分论证、科学决策利用债券资金支持投资项目建设的必要性、可行性和经济性。申报企业应当依托自身信用制定本息偿付计划和落实偿债保障措施，确保债券本息按期兑付，切实做到“谁借谁还、风险自担”。通知要求规范以政府和社会资本合作（PPP）项目发行债券融资。严格PPP模式适用范围，审慎评估政府付费类PPP项目、可行性缺口补助PPP项目发债风险，严禁采用PPP模式违法违规或变相举债融资。</w:t>
      </w:r>
    </w:p>
    <w:p>
      <w:pPr>
        <w:pStyle w:val="TextBody"/>
      </w:pPr>
      <w:hyperlink r:id="rId47">
        <w:r>
          <w:rPr>
            <w:rStyle w:val="Hyperlink"/>
          </w:rPr>
          <w:t xml:space="preserve">http://www.xinhuanet.com/fortune/2018-02/16/c_1122422911.htm</w:t>
        </w:r>
      </w:hyperlink>
    </w:p>
    <w:p>
      <w:pPr>
        <w:pStyle w:val="Heading2"/>
      </w:pPr>
      <w:bookmarkStart w:id="48" w:name="并购"/>
      <w:r>
        <w:t xml:space="preserve">并购</w:t>
      </w:r>
      <w:bookmarkEnd w:id="48"/>
    </w:p>
    <w:p>
      <w:pPr>
        <w:pStyle w:val="Heading3"/>
      </w:pPr>
      <w:bookmarkStart w:id="49" w:name="上市公司深圳惠程估值20亿收购新三板爱酷游控股权"/>
      <w:r>
        <w:t xml:space="preserve">上市公司深圳惠程估值20亿收购新三板爱酷游控股权</w:t>
      </w:r>
      <w:bookmarkEnd w:id="49"/>
    </w:p>
    <w:p>
      <w:pPr>
        <w:pStyle w:val="FirstParagraph"/>
      </w:pPr>
      <w:r>
        <w:t xml:space="preserve">近日，爱酷游和深圳惠程均发布公告，确定深圳惠程要收购爱酷游部分股权。根据公告，深圳惠程拟以发行股份及支付现金的方式，向爱酷游实控人郭鹏在内的5名转让方及其他股东，购买其合计持有的爱酷游不低于51%的股份。此次收购中，爱酷游100%股权的预估值为18-20亿元人民币。</w:t>
      </w:r>
    </w:p>
    <w:p>
      <w:pPr>
        <w:pStyle w:val="TextBody"/>
      </w:pPr>
      <w:r>
        <w:t xml:space="preserve">深圳惠程是一家电气设备企业，公司正积极从传统企业向互联网转型。公告显示，深圳惠程拟将爱酷游打造成为互联网综合服务提供商。爱酷游的主营业务为移动端应用软件的开发、渠道销售及其他增值服务。主要通过旗下"乐市场"等，为游戏商提供精准流量获客。2016年四季度以来，爱酷游和腾讯达成手游用户充值分成合作，为《王者荣耀》共享千万级的用户充值，还为腾讯旗下的《光荣使命》、《穿越火线》，网易旗下的《荒野行动》、《阴阳师》等游戏进行推广。</w:t>
      </w:r>
    </w:p>
    <w:p>
      <w:pPr>
        <w:pStyle w:val="TextBody"/>
      </w:pPr>
      <w:hyperlink r:id="rId50">
        <w:r>
          <w:rPr>
            <w:rStyle w:val="Hyperlink"/>
          </w:rPr>
          <w:t xml:space="preserve">http://sanban.stcn.com/2018/0301/13995158.shtml</w:t>
        </w:r>
      </w:hyperlink>
    </w:p>
    <w:p>
      <w:pPr>
        <w:pStyle w:val="Heading3"/>
      </w:pPr>
      <w:bookmarkStart w:id="51" w:name="恒力股份拟收购绿色纤维40股权强化聚酯和工业丝领域行业地位"/>
      <w:r>
        <w:t xml:space="preserve">恒力股份拟收购绿色纤维40%股权，强化聚酯和工业丝领域行业地位</w:t>
      </w:r>
      <w:bookmarkEnd w:id="51"/>
    </w:p>
    <w:p>
      <w:pPr>
        <w:pStyle w:val="FirstParagraph"/>
      </w:pPr>
      <w:r>
        <w:t xml:space="preserve">2018年2月28日，恒力股份发布《恒力石化股份有限公司关于下属子公司签署股权收购框架协议的公告》。公司下属子公司恒力化纤拟向浙江古纤道新材料股份有限公司（以下简称“古纤道新材料”）收购其所持有的浙江古纤道绿色纤维有限公司（以下简称“绿色纤维”）40%的股权，交易对价暂定为人民币15亿元。</w:t>
      </w:r>
    </w:p>
    <w:p>
      <w:pPr>
        <w:pStyle w:val="TextBody"/>
      </w:pPr>
      <w:r>
        <w:t xml:space="preserve">公告披露，公司本次拟收购的资产不仅包括标的公司绿色纤维资产，还包括其母公司古纤道新材料将整合到绿色纤维名下的古纤道全部聚酯相关业务及资产。古纤道聚酯的核心资产主要为100万吨的聚合产能，包括20万吨的民用丝产能、40万吨的切片产能和40万吨的工业丝产能。 恒力股份公告同时表示，此次收购有利于双方以股权关系为纽带，以业务合作为基础，加强双方在产业链上下游的战略协同，加强各自在供应链协作、原材料采购、技术研发、市场拓展等方面的深度整合，有利于公司发挥“芳烃-PTA-聚酯-民用丝和工业丝”全产业链一体化的平台竞争优势，进一步夯实和强化公司在聚酯和工业丝业务环节的竞争优势和行业地位。</w:t>
      </w:r>
    </w:p>
    <w:p>
      <w:pPr>
        <w:pStyle w:val="TextBody"/>
      </w:pPr>
      <w:hyperlink r:id="rId52">
        <w:r>
          <w:rPr>
            <w:rStyle w:val="Hyperlink"/>
          </w:rPr>
          <w:t xml:space="preserve">http://company.stcn.com/2018/0228/13992524.shtml</w:t>
        </w:r>
      </w:hyperlink>
    </w:p>
    <w:p>
      <w:pPr>
        <w:pStyle w:val="Heading3"/>
      </w:pPr>
      <w:bookmarkStart w:id="53" w:name="环球印务拟购三家印刷包装行业公司"/>
      <w:r>
        <w:t xml:space="preserve">环球印务拟购三家印刷包装行业公司</w:t>
      </w:r>
      <w:bookmarkEnd w:id="53"/>
    </w:p>
    <w:p>
      <w:pPr>
        <w:pStyle w:val="FirstParagraph"/>
      </w:pPr>
      <w:r>
        <w:t xml:space="preserve">2018年2月28日晚间，环球印务发布公告称，正在筹划重大资产重组事项，拟收购三家印刷、包装行业公司。</w:t>
      </w:r>
    </w:p>
    <w:p>
      <w:pPr>
        <w:pStyle w:val="TextBody"/>
      </w:pPr>
      <w:r>
        <w:t xml:space="preserve">公告显示，此次收购的标的资产之一为北京金印联国际供应链管理股份有限公司，主要从事印刷材料、油墨配色、图像技术、环保设备、印刷标准化服务，销售的主要产品水性光油、胶印油墨、进口白卡纸、专色墨、橡皮布、润版液等是下游印刷企业在进行胶版印刷时需要使用的印刷材料。 标的资产之二为天津市津卫药品包装有限公司，主要从事生产和销售药用塑料瓶、食品级保健品用塑料瓶、药用塑料袋、药用PVC硬片。环球印务拟采用现金交易或现金交易与发行股份相结合的方式，购买上述两家公司100%股权并募集配套资金，具体交易方案尚待进一步明确。此外，环球印务还拟收购一家塑料软包装薄膜的研发、生产企业，具体详细信息将在重大资产重组进展公告中披露。</w:t>
      </w:r>
    </w:p>
    <w:p>
      <w:pPr>
        <w:pStyle w:val="TextBody"/>
      </w:pPr>
      <w:hyperlink r:id="rId54">
        <w:r>
          <w:rPr>
            <w:rStyle w:val="Hyperlink"/>
          </w:rPr>
          <w:t xml:space="preserve">http://company.stcn.com/2018/0301/13995041.shtml</w:t>
        </w:r>
      </w:hyperlink>
    </w:p>
    <w:p>
      <w:pPr>
        <w:pStyle w:val="Heading3"/>
      </w:pPr>
      <w:bookmarkStart w:id="55" w:name="光正集团拟现金收购新视界眼科51股权"/>
      <w:r>
        <w:t xml:space="preserve">光正集团拟现金收购新视界眼科51%股权</w:t>
      </w:r>
      <w:bookmarkEnd w:id="55"/>
    </w:p>
    <w:p>
      <w:pPr>
        <w:pStyle w:val="FirstParagraph"/>
      </w:pPr>
      <w:r>
        <w:t xml:space="preserve">从2017年12月18日起因筹划重大事项而停牌的光正集团，近日发布最新进展公告称，本次交易的标的资产为上海新视界眼科医院投资股份有限公司（以下简称 “新视界眼科”）51%股权。据介绍，新视界眼科主要从事眼科医院的投资与管理，在全国多地开设了多家眼科医院，是一家全国连锁眼科机构。</w:t>
      </w:r>
    </w:p>
    <w:p>
      <w:pPr>
        <w:pStyle w:val="TextBody"/>
      </w:pPr>
      <w:r>
        <w:t xml:space="preserve">根据公告，光正集团初步确定拟以支付现金的方式购买交易对方持有的新视界眼科51%股权。本次交易不会导致公司实际控制权发生变更，本次交易不涉及发行股份。截至目前，公司已与交易对方初步就本次交易达成共识并签署了《重组框架协议》，最终交易价格将再由各方协商确定。此外，主要交易对方同意对新视界眼科2018年、2019年、2020年净利润进行承诺，对承诺业绩未实现部分进行补偿，具体承诺、补偿条款以最终签订的交易协议为准。</w:t>
      </w:r>
    </w:p>
    <w:p>
      <w:pPr>
        <w:pStyle w:val="TextBody"/>
      </w:pPr>
      <w:hyperlink r:id="rId56">
        <w:r>
          <w:rPr>
            <w:rStyle w:val="Hyperlink"/>
          </w:rPr>
          <w:t xml:space="preserve">http://company.stcn.com/2018/0228/13991739.shtml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10">
        <w:r>
          <w:rPr/>
          <w:t>unsubscribe@charltonslaw.com</w:t>
        </w:r>
      </w:hyperlink>
    </w:p>
    <w:p>
      <w:pPr>
        <w:pStyle w:val="BlackStrips"/>
      </w:pPr>
      <w:r>
        <w:t>Charltons - 法讯 - 中国 - 2018年3月2日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67cef3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6" Type="http://schemas.openxmlformats.org/officeDocument/2006/relationships/hyperlink" Target="http://company.stcn.com/2018/0228/13991739.shtml" TargetMode="External"/><Relationship Id="rId52" Type="http://schemas.openxmlformats.org/officeDocument/2006/relationships/hyperlink" Target="http://company.stcn.com/2018/0228/13992524.shtml" TargetMode="External"/><Relationship Id="rId54" Type="http://schemas.openxmlformats.org/officeDocument/2006/relationships/hyperlink" Target="http://company.stcn.com/2018/0301/13995041.shtml" TargetMode="External"/><Relationship Id="rId38" Type="http://schemas.openxmlformats.org/officeDocument/2006/relationships/hyperlink" Target="http://news.jcrb.com/jxsw/201802/t20180228_1844543.html" TargetMode="External"/><Relationship Id="rId50" Type="http://schemas.openxmlformats.org/officeDocument/2006/relationships/hyperlink" Target="http://sanban.stcn.com/2018/0301/13995158.shtml" TargetMode="External"/><Relationship Id="rId29" Type="http://schemas.openxmlformats.org/officeDocument/2006/relationships/hyperlink" Target="http://stock.stcn.com/2018/0301/13995226.shtml" TargetMode="External"/><Relationship Id="rId23" Type="http://schemas.openxmlformats.org/officeDocument/2006/relationships/hyperlink" Target="http://www.cbrc.gov.cn/chinese/home/docView/2D06B6B5270047F1AA08543657265435.html" TargetMode="External"/><Relationship Id="rId35" Type="http://schemas.openxmlformats.org/officeDocument/2006/relationships/hyperlink" Target="http://www.cfen.com.cn/cjxw/ss/201802/t20180228_2823371.html" TargetMode="External"/><Relationship Id="rId27" Type="http://schemas.openxmlformats.org/officeDocument/2006/relationships/hyperlink" Target="http://www.cfen.com.cn/zyxw/yw/201802/t20180228_2822791.html" TargetMode="External"/><Relationship Id="rId25" Type="http://schemas.openxmlformats.org/officeDocument/2006/relationships/hyperlink" Target="http://www.chinaforex.com.cn/index.php/cms/item-view-id-46413.shtml" TargetMode="External"/><Relationship Id="rId32" Type="http://schemas.openxmlformats.org/officeDocument/2006/relationships/hyperlink" Target="http://www.chinanews.com/cj/2018/02-23/8452892.shtml" TargetMode="External"/><Relationship Id="rId43" Type="http://schemas.openxmlformats.org/officeDocument/2006/relationships/hyperlink" Target="http://www.court.gov.cn/zixun-xiangqing-81992.html" TargetMode="External"/><Relationship Id="rId45" Type="http://schemas.openxmlformats.org/officeDocument/2006/relationships/hyperlink" Target="http://www.xinhuanet.com/fortune/2018-02/15/c_1122421166.htm" TargetMode="External"/><Relationship Id="rId47" Type="http://schemas.openxmlformats.org/officeDocument/2006/relationships/hyperlink" Target="http://www.xinhuanet.com/fortune/2018-02/16/c_1122422911.htm" TargetMode="External"/><Relationship Id="rId41" Type="http://schemas.openxmlformats.org/officeDocument/2006/relationships/hyperlink" Target="https://finance.qq.com/a/20180226/006292.htm" TargetMode="External"/><Relationship Id="rId9" Type="http://schemas.openxmlformats.org/officeDocument/2006/relationships/hyperlink" Target="http://www.charltonslaw.com.cn/zhong-guo-yin-jian-hui-fa-bu-zhong-guo-yin-jian-hui-guan-yu-xiu-gai-zhong-guo-yin-jian-hui-wai-zi-yin-hang-xing-zheng-xu-ke-shi-xiang-shi-shi-ban-fa-de-jue-di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6" Type="http://schemas.openxmlformats.org/officeDocument/2006/relationships/hyperlink" Target="http://company.stcn.com/2018/0228/13991739.shtml" TargetMode="External"/><Relationship Id="rId52" Type="http://schemas.openxmlformats.org/officeDocument/2006/relationships/hyperlink" Target="http://company.stcn.com/2018/0228/13992524.shtml" TargetMode="External"/><Relationship Id="rId54" Type="http://schemas.openxmlformats.org/officeDocument/2006/relationships/hyperlink" Target="http://company.stcn.com/2018/0301/13995041.shtml" TargetMode="External"/><Relationship Id="rId38" Type="http://schemas.openxmlformats.org/officeDocument/2006/relationships/hyperlink" Target="http://news.jcrb.com/jxsw/201802/t20180228_1844543.html" TargetMode="External"/><Relationship Id="rId50" Type="http://schemas.openxmlformats.org/officeDocument/2006/relationships/hyperlink" Target="http://sanban.stcn.com/2018/0301/13995158.shtml" TargetMode="External"/><Relationship Id="rId29" Type="http://schemas.openxmlformats.org/officeDocument/2006/relationships/hyperlink" Target="http://stock.stcn.com/2018/0301/13995226.shtml" TargetMode="External"/><Relationship Id="rId23" Type="http://schemas.openxmlformats.org/officeDocument/2006/relationships/hyperlink" Target="http://www.cbrc.gov.cn/chinese/home/docView/2D06B6B5270047F1AA08543657265435.html" TargetMode="External"/><Relationship Id="rId35" Type="http://schemas.openxmlformats.org/officeDocument/2006/relationships/hyperlink" Target="http://www.cfen.com.cn/cjxw/ss/201802/t20180228_2823371.html" TargetMode="External"/><Relationship Id="rId27" Type="http://schemas.openxmlformats.org/officeDocument/2006/relationships/hyperlink" Target="http://www.cfen.com.cn/zyxw/yw/201802/t20180228_2822791.html" TargetMode="External"/><Relationship Id="rId25" Type="http://schemas.openxmlformats.org/officeDocument/2006/relationships/hyperlink" Target="http://www.chinaforex.com.cn/index.php/cms/item-view-id-46413.shtml" TargetMode="External"/><Relationship Id="rId32" Type="http://schemas.openxmlformats.org/officeDocument/2006/relationships/hyperlink" Target="http://www.chinanews.com/cj/2018/02-23/8452892.shtml" TargetMode="External"/><Relationship Id="rId43" Type="http://schemas.openxmlformats.org/officeDocument/2006/relationships/hyperlink" Target="http://www.court.gov.cn/zixun-xiangqing-81992.html" TargetMode="External"/><Relationship Id="rId45" Type="http://schemas.openxmlformats.org/officeDocument/2006/relationships/hyperlink" Target="http://www.xinhuanet.com/fortune/2018-02/15/c_1122421166.htm" TargetMode="External"/><Relationship Id="rId47" Type="http://schemas.openxmlformats.org/officeDocument/2006/relationships/hyperlink" Target="http://www.xinhuanet.com/fortune/2018-02/16/c_1122422911.htm" TargetMode="External"/><Relationship Id="rId41" Type="http://schemas.openxmlformats.org/officeDocument/2006/relationships/hyperlink" Target="https://finance.qq.com/a/20180226/00629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2018-03-02T04:06:58Z</dcterms:created>
  <dcterms:modified xsi:type="dcterms:W3CDTF">2018-03-02T04:06:58Z</dcterms:modified>
</cp:coreProperties>
</file>